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0" w:firstLineChars="0"/>
        <w:jc w:val="center"/>
        <w:textAlignment w:val="baseline"/>
        <w:outlineLvl w:val="0"/>
        <w:rPr>
          <w:rFonts w:ascii="宋体" w:hAnsi="宋体" w:eastAsia="宋体" w:cs="宋体"/>
          <w:sz w:val="47"/>
          <w:szCs w:val="47"/>
        </w:rPr>
      </w:pPr>
      <w:bookmarkStart w:id="0" w:name="_Toc3467"/>
      <w:r>
        <w:rPr>
          <w:rFonts w:hint="eastAsia" w:ascii="宋体" w:hAnsi="宋体" w:cs="宋体"/>
          <w:spacing w:val="10"/>
          <w:sz w:val="47"/>
          <w:szCs w:val="47"/>
          <w:lang w:val="en-US" w:eastAsia="zh-CN"/>
          <w14:textOutline w14:w="8717" w14:cap="sq" w14:cmpd="sng">
            <w14:solidFill>
              <w14:srgbClr w14:val="000000"/>
            </w14:solidFill>
            <w14:prstDash w14:val="solid"/>
            <w14:bevel/>
          </w14:textOutline>
        </w:rPr>
        <w:t>开发区2017年基础设施建设项目配套道路及附属工程</w:t>
      </w:r>
      <w:r>
        <w:rPr>
          <w:rFonts w:ascii="宋体" w:hAnsi="宋体" w:eastAsia="宋体" w:cs="宋体"/>
          <w:spacing w:val="10"/>
          <w:sz w:val="47"/>
          <w:szCs w:val="47"/>
          <w14:textOutline w14:w="8717" w14:cap="sq" w14:cmpd="sng">
            <w14:solidFill>
              <w14:srgbClr w14:val="000000"/>
            </w14:solidFill>
            <w14:prstDash w14:val="solid"/>
            <w14:bevel/>
          </w14:textOutline>
        </w:rPr>
        <w:t>竣工环境保护验收调查报告</w:t>
      </w:r>
      <w:bookmarkEnd w:id="0"/>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3" w:lineRule="auto"/>
      </w:pPr>
    </w:p>
    <w:p>
      <w:pPr>
        <w:pStyle w:val="9"/>
        <w:spacing w:line="244" w:lineRule="auto"/>
      </w:pPr>
    </w:p>
    <w:p>
      <w:pPr>
        <w:spacing w:before="114" w:line="225" w:lineRule="auto"/>
        <w:ind w:firstLine="2208" w:firstLineChars="600"/>
        <w:jc w:val="both"/>
        <w:rPr>
          <w:rFonts w:ascii="宋体" w:hAnsi="宋体" w:eastAsia="宋体" w:cs="宋体"/>
          <w:sz w:val="35"/>
          <w:szCs w:val="35"/>
        </w:rPr>
      </w:pPr>
      <w:r>
        <w:rPr>
          <w:rFonts w:ascii="宋体" w:hAnsi="宋体" w:eastAsia="宋体" w:cs="宋体"/>
          <w:spacing w:val="9"/>
          <w:sz w:val="35"/>
          <w:szCs w:val="35"/>
          <w14:textOutline w14:w="6537" w14:cap="sq" w14:cmpd="sng">
            <w14:solidFill>
              <w14:srgbClr w14:val="000000"/>
            </w14:solidFill>
            <w14:prstDash w14:val="solid"/>
            <w14:bevel/>
          </w14:textOutline>
        </w:rPr>
        <w:t>建设单位：</w:t>
      </w:r>
      <w:r>
        <w:rPr>
          <w:rFonts w:hint="eastAsia" w:ascii="宋体" w:hAnsi="宋体" w:eastAsia="宋体" w:cs="宋体"/>
          <w:spacing w:val="9"/>
          <w:sz w:val="35"/>
          <w:szCs w:val="35"/>
          <w:lang w:val="en-US" w:eastAsia="zh-CN"/>
          <w14:textOutline w14:w="6537" w14:cap="sq" w14:cmpd="sng">
            <w14:solidFill>
              <w14:srgbClr w14:val="000000"/>
            </w14:solidFill>
            <w14:prstDash w14:val="solid"/>
            <w14:bevel/>
          </w14:textOutline>
        </w:rPr>
        <w:t>新疆润盛投资发展有限公司</w:t>
      </w:r>
    </w:p>
    <w:p>
      <w:pPr>
        <w:spacing w:before="197" w:line="224" w:lineRule="auto"/>
        <w:jc w:val="center"/>
        <w:rPr>
          <w:rFonts w:ascii="宋体" w:hAnsi="宋体" w:eastAsia="宋体" w:cs="宋体"/>
          <w:sz w:val="35"/>
          <w:szCs w:val="35"/>
        </w:rPr>
      </w:pPr>
      <w:r>
        <w:rPr>
          <w:rFonts w:ascii="宋体" w:hAnsi="宋体" w:eastAsia="宋体" w:cs="宋体"/>
          <w:spacing w:val="10"/>
          <w:sz w:val="35"/>
          <w:szCs w:val="35"/>
          <w14:textOutline w14:w="6537" w14:cap="sq" w14:cmpd="sng">
            <w14:solidFill>
              <w14:srgbClr w14:val="000000"/>
            </w14:solidFill>
            <w14:prstDash w14:val="solid"/>
            <w14:bevel/>
          </w14:textOutline>
        </w:rPr>
        <w:t>编制单位：</w:t>
      </w:r>
      <w:r>
        <w:rPr>
          <w:rFonts w:hint="eastAsia" w:ascii="宋体" w:hAnsi="宋体" w:eastAsia="宋体" w:cs="宋体"/>
          <w:spacing w:val="9"/>
          <w:sz w:val="35"/>
          <w:szCs w:val="35"/>
          <w:lang w:val="en-US" w:eastAsia="zh-CN"/>
          <w14:textOutline w14:w="6537" w14:cap="sq" w14:cmpd="sng">
            <w14:solidFill>
              <w14:srgbClr w14:val="000000"/>
            </w14:solidFill>
            <w14:prstDash w14:val="solid"/>
            <w14:bevel/>
          </w14:textOutline>
        </w:rPr>
        <w:t>新疆新农丽景环境工程咨询有限公司</w:t>
      </w:r>
    </w:p>
    <w:p>
      <w:pPr>
        <w:pStyle w:val="9"/>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pPr>
    </w:p>
    <w:p>
      <w:pPr>
        <w:pStyle w:val="9"/>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pPr>
    </w:p>
    <w:p>
      <w:pPr>
        <w:keepNext w:val="0"/>
        <w:keepLines w:val="0"/>
        <w:pageBreakBefore w:val="0"/>
        <w:widowControl/>
        <w:kinsoku/>
        <w:wordWrap/>
        <w:overflowPunct/>
        <w:topLinePunct w:val="0"/>
        <w:autoSpaceDE/>
        <w:autoSpaceDN/>
        <w:bidi w:val="0"/>
        <w:adjustRightInd/>
        <w:snapToGrid/>
        <w:spacing w:line="226" w:lineRule="auto"/>
        <w:ind w:left="0" w:firstLine="0" w:firstLineChars="0"/>
        <w:jc w:val="center"/>
        <w:textAlignment w:val="baseline"/>
        <w:rPr>
          <w:rFonts w:ascii="宋体" w:hAnsi="宋体" w:eastAsia="宋体" w:cs="宋体"/>
          <w:sz w:val="35"/>
          <w:szCs w:val="35"/>
        </w:rPr>
      </w:pPr>
      <w:r>
        <w:rPr>
          <w:rFonts w:ascii="Times New Roman" w:hAnsi="Times New Roman" w:eastAsia="Times New Roman" w:cs="Times New Roman"/>
          <w:b/>
          <w:bCs/>
          <w:spacing w:val="5"/>
          <w:sz w:val="35"/>
          <w:szCs w:val="35"/>
        </w:rPr>
        <w:t>20</w:t>
      </w:r>
      <w:r>
        <w:rPr>
          <w:rFonts w:hint="eastAsia" w:ascii="Times New Roman" w:hAnsi="Times New Roman" w:eastAsia="宋体" w:cs="Times New Roman"/>
          <w:b/>
          <w:bCs/>
          <w:spacing w:val="5"/>
          <w:sz w:val="35"/>
          <w:szCs w:val="35"/>
          <w:lang w:val="en-US" w:eastAsia="zh-CN"/>
        </w:rPr>
        <w:t>24</w:t>
      </w:r>
      <w:r>
        <w:rPr>
          <w:rFonts w:ascii="宋体" w:hAnsi="宋体" w:eastAsia="宋体" w:cs="宋体"/>
          <w:spacing w:val="5"/>
          <w:sz w:val="35"/>
          <w:szCs w:val="35"/>
          <w14:textOutline w14:w="6537" w14:cap="sq" w14:cmpd="sng">
            <w14:solidFill>
              <w14:srgbClr w14:val="000000"/>
            </w14:solidFill>
            <w14:prstDash w14:val="solid"/>
            <w14:bevel/>
          </w14:textOutline>
        </w:rPr>
        <w:t>年</w:t>
      </w:r>
      <w:r>
        <w:rPr>
          <w:rFonts w:hint="eastAsia" w:ascii="Times New Roman" w:hAnsi="Times New Roman" w:eastAsia="宋体" w:cs="Times New Roman"/>
          <w:b/>
          <w:bCs/>
          <w:spacing w:val="5"/>
          <w:sz w:val="35"/>
          <w:szCs w:val="35"/>
          <w:lang w:val="en-US" w:eastAsia="zh-CN"/>
        </w:rPr>
        <w:t>4</w:t>
      </w:r>
      <w:r>
        <w:rPr>
          <w:rFonts w:ascii="宋体" w:hAnsi="宋体" w:eastAsia="宋体" w:cs="宋体"/>
          <w:spacing w:val="5"/>
          <w:sz w:val="35"/>
          <w:szCs w:val="35"/>
          <w14:textOutline w14:w="6537" w14:cap="sq" w14:cmpd="sng">
            <w14:solidFill>
              <w14:srgbClr w14:val="000000"/>
            </w14:solidFill>
            <w14:prstDash w14:val="solid"/>
            <w14:bevel/>
          </w14:textOutline>
        </w:rPr>
        <w:t>月</w:t>
      </w:r>
    </w:p>
    <w:p>
      <w:pPr>
        <w:spacing w:line="225" w:lineRule="auto"/>
        <w:rPr>
          <w:rFonts w:ascii="宋体" w:hAnsi="宋体" w:eastAsia="宋体" w:cs="宋体"/>
          <w:sz w:val="35"/>
          <w:szCs w:val="35"/>
        </w:rPr>
        <w:sectPr>
          <w:pgSz w:w="11906" w:h="16839"/>
          <w:pgMar w:top="1431" w:right="1127" w:bottom="0" w:left="1163" w:header="992" w:footer="992" w:gutter="0"/>
          <w:pgBorders>
            <w:top w:val="none" w:sz="0" w:space="0"/>
            <w:left w:val="none" w:sz="0" w:space="0"/>
            <w:bottom w:val="none" w:sz="0" w:space="0"/>
            <w:right w:val="none" w:sz="0" w:space="0"/>
          </w:pgBorders>
          <w:cols w:space="720" w:num="1"/>
        </w:sectPr>
      </w:pP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outlineLvl w:val="0"/>
        <w:rPr>
          <w:rFonts w:hint="eastAsia" w:ascii="仿宋_GB2312" w:hAnsi="仿宋" w:eastAsia="仿宋_GB2312"/>
          <w:b/>
          <w:color w:val="000000"/>
          <w:sz w:val="28"/>
          <w:szCs w:val="28"/>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bookmarkStart w:id="1" w:name="_Toc28319"/>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outlineLvl w:val="0"/>
        <w:rPr>
          <w:rFonts w:hint="default" w:ascii="仿宋_GB2312" w:hAnsi="仿宋" w:eastAsia="仿宋_GB2312" w:cs="Times New Roman"/>
          <w:b/>
          <w:color w:val="000000"/>
          <w:sz w:val="28"/>
          <w:szCs w:val="28"/>
          <w:lang w:val="en-US" w:eastAsia="zh-CN"/>
        </w:rPr>
      </w:pPr>
      <w:r>
        <w:rPr>
          <w:rFonts w:hint="eastAsia" w:ascii="仿宋_GB2312" w:hAnsi="仿宋" w:eastAsia="仿宋_GB2312"/>
          <w:b/>
          <w:color w:val="000000"/>
          <w:sz w:val="28"/>
          <w:szCs w:val="28"/>
        </w:rPr>
        <w:t>建设单位：</w:t>
      </w:r>
      <w:r>
        <w:rPr>
          <w:rFonts w:hint="eastAsia" w:ascii="仿宋" w:hAnsi="仿宋" w:eastAsia="仿宋" w:cs="仿宋"/>
          <w:b/>
          <w:bCs w:val="0"/>
          <w:color w:val="000000"/>
          <w:sz w:val="28"/>
          <w:szCs w:val="28"/>
          <w:lang w:val="en-US" w:eastAsia="zh-CN"/>
        </w:rPr>
        <w:t>新疆润盛投资发展有限公司</w:t>
      </w:r>
      <w:bookmarkEnd w:id="1"/>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法人代表：</w:t>
      </w:r>
      <w:r>
        <w:rPr>
          <w:rFonts w:hint="eastAsia" w:ascii="仿宋_GB2312" w:hAnsi="仿宋" w:eastAsia="仿宋_GB2312" w:cs="Times New Roman"/>
          <w:b/>
          <w:color w:val="000000"/>
          <w:sz w:val="28"/>
          <w:szCs w:val="28"/>
          <w:lang w:val="en-US" w:eastAsia="zh-CN"/>
        </w:rPr>
        <w:t xml:space="preserve">          </w:t>
      </w:r>
      <w:r>
        <w:rPr>
          <w:rFonts w:hint="eastAsia" w:ascii="仿宋_GB2312" w:hAnsi="仿宋" w:eastAsia="仿宋_GB2312" w:cs="Times New Roman"/>
          <w:b/>
          <w:color w:val="000000"/>
          <w:sz w:val="28"/>
          <w:szCs w:val="28"/>
        </w:rPr>
        <w:t>（签字）</w:t>
      </w:r>
    </w:p>
    <w:p>
      <w:pPr>
        <w:spacing w:line="480" w:lineRule="auto"/>
        <w:outlineLvl w:val="0"/>
        <w:rPr>
          <w:rFonts w:hint="eastAsia" w:ascii="仿宋_GB2312" w:hAnsi="仿宋" w:eastAsia="仿宋_GB2312" w:cs="Times New Roman"/>
          <w:b/>
          <w:color w:val="000000"/>
          <w:sz w:val="28"/>
          <w:szCs w:val="28"/>
        </w:rPr>
      </w:pPr>
      <w:bookmarkStart w:id="2" w:name="_Toc32118"/>
      <w:r>
        <w:rPr>
          <w:rFonts w:hint="eastAsia" w:ascii="仿宋_GB2312" w:hAnsi="仿宋" w:eastAsia="仿宋_GB2312" w:cs="Times New Roman"/>
          <w:b/>
          <w:color w:val="000000"/>
          <w:sz w:val="28"/>
          <w:szCs w:val="28"/>
        </w:rPr>
        <w:t>编制单位：</w:t>
      </w:r>
      <w:r>
        <w:rPr>
          <w:rFonts w:hint="eastAsia" w:ascii="仿宋_GB2312" w:hAnsi="仿宋" w:eastAsia="仿宋_GB2312" w:cs="Times New Roman"/>
          <w:b/>
          <w:color w:val="000000"/>
          <w:sz w:val="28"/>
          <w:szCs w:val="28"/>
          <w:lang w:val="en-US" w:eastAsia="zh-CN"/>
        </w:rPr>
        <w:t>新疆新农丽景环境工程咨询有限公司</w:t>
      </w:r>
      <w:bookmarkEnd w:id="2"/>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ascii="仿宋_GB2312" w:hAnsi="仿宋" w:eastAsia="仿宋_GB2312"/>
          <w:b/>
          <w:color w:val="000000"/>
          <w:sz w:val="28"/>
          <w:szCs w:val="28"/>
        </w:rPr>
      </w:pPr>
      <w:r>
        <w:rPr>
          <w:rFonts w:hint="eastAsia" w:ascii="仿宋_GB2312" w:hAnsi="仿宋" w:eastAsia="仿宋_GB2312"/>
          <w:b/>
          <w:color w:val="000000"/>
          <w:sz w:val="28"/>
          <w:szCs w:val="28"/>
        </w:rPr>
        <w:t>法人代表：</w:t>
      </w:r>
      <w:r>
        <w:rPr>
          <w:rFonts w:hint="eastAsia" w:ascii="仿宋_GB2312" w:hAnsi="仿宋" w:eastAsia="仿宋_GB2312"/>
          <w:b/>
          <w:color w:val="000000"/>
          <w:sz w:val="28"/>
          <w:szCs w:val="28"/>
          <w:lang w:val="en-US" w:eastAsia="zh-CN"/>
        </w:rPr>
        <w:t xml:space="preserve">            </w:t>
      </w:r>
      <w:r>
        <w:rPr>
          <w:rFonts w:hint="eastAsia" w:ascii="仿宋_GB2312" w:hAnsi="仿宋" w:eastAsia="仿宋_GB2312"/>
          <w:b/>
          <w:color w:val="000000"/>
          <w:sz w:val="28"/>
          <w:szCs w:val="28"/>
        </w:rPr>
        <w:t>（签字）</w:t>
      </w:r>
    </w:p>
    <w:p>
      <w:pPr>
        <w:spacing w:line="480" w:lineRule="auto"/>
        <w:rPr>
          <w:rFonts w:hint="eastAsia" w:ascii="仿宋_GB2312" w:hAnsi="仿宋" w:eastAsia="仿宋_GB2312"/>
          <w:b/>
          <w:color w:val="000000"/>
          <w:sz w:val="28"/>
          <w:szCs w:val="28"/>
          <w:lang w:eastAsia="zh-CN"/>
        </w:rPr>
      </w:pPr>
      <w:r>
        <w:rPr>
          <w:rFonts w:hint="eastAsia" w:ascii="仿宋_GB2312" w:hAnsi="仿宋" w:eastAsia="仿宋_GB2312"/>
          <w:b/>
          <w:color w:val="000000"/>
          <w:sz w:val="28"/>
          <w:szCs w:val="28"/>
        </w:rPr>
        <w:t>项 目 负 责 人：</w:t>
      </w:r>
    </w:p>
    <w:p>
      <w:pPr>
        <w:spacing w:line="480" w:lineRule="auto"/>
        <w:rPr>
          <w:rFonts w:hint="eastAsia" w:ascii="仿宋_GB2312" w:hAnsi="仿宋" w:eastAsia="仿宋_GB2312"/>
          <w:b/>
          <w:color w:val="000000"/>
          <w:sz w:val="28"/>
          <w:szCs w:val="28"/>
          <w:lang w:eastAsia="zh-CN"/>
        </w:rPr>
      </w:pPr>
      <w:r>
        <w:rPr>
          <w:rFonts w:hint="eastAsia" w:ascii="仿宋_GB2312" w:hAnsi="仿宋" w:eastAsia="仿宋_GB2312"/>
          <w:b/>
          <w:color w:val="000000"/>
          <w:sz w:val="28"/>
          <w:szCs w:val="28"/>
        </w:rPr>
        <w:t>项目审核／审定人：</w:t>
      </w:r>
    </w:p>
    <w:p>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rPr>
        <w:t>报 告 编 写 人：</w:t>
      </w:r>
    </w:p>
    <w:p>
      <w:pPr>
        <w:pStyle w:val="18"/>
        <w:jc w:val="both"/>
      </w:pPr>
    </w:p>
    <w:p>
      <w:pPr>
        <w:pStyle w:val="18"/>
      </w:pPr>
    </w:p>
    <w:p>
      <w:pPr>
        <w:pStyle w:val="18"/>
      </w:pPr>
    </w:p>
    <w:p>
      <w:pPr>
        <w:pStyle w:val="18"/>
      </w:pPr>
    </w:p>
    <w:p>
      <w:pPr>
        <w:pStyle w:val="18"/>
      </w:pPr>
    </w:p>
    <w:p>
      <w:pPr>
        <w:pStyle w:val="18"/>
      </w:pPr>
    </w:p>
    <w:p>
      <w:pPr>
        <w:pStyle w:val="18"/>
      </w:pPr>
    </w:p>
    <w:tbl>
      <w:tblPr>
        <w:tblStyle w:val="12"/>
        <w:tblpPr w:leftFromText="180" w:rightFromText="180" w:vertAnchor="text" w:horzAnchor="page" w:tblpX="1235" w:tblpY="705"/>
        <w:tblOverlap w:val="never"/>
        <w:tblW w:w="9980" w:type="dxa"/>
        <w:tblInd w:w="0" w:type="dxa"/>
        <w:tblLayout w:type="fixed"/>
        <w:tblCellMar>
          <w:top w:w="0" w:type="dxa"/>
          <w:left w:w="108" w:type="dxa"/>
          <w:bottom w:w="0" w:type="dxa"/>
          <w:right w:w="108" w:type="dxa"/>
        </w:tblCellMar>
      </w:tblPr>
      <w:tblGrid>
        <w:gridCol w:w="4990"/>
        <w:gridCol w:w="4990"/>
      </w:tblGrid>
      <w:tr>
        <w:tblPrEx>
          <w:tblCellMar>
            <w:top w:w="0" w:type="dxa"/>
            <w:left w:w="108" w:type="dxa"/>
            <w:bottom w:w="0" w:type="dxa"/>
            <w:right w:w="108" w:type="dxa"/>
          </w:tblCellMar>
        </w:tblPrEx>
        <w:trPr>
          <w:trHeight w:val="1235"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建设单位</w:t>
            </w:r>
            <w:r>
              <w:rPr>
                <w:rFonts w:hint="eastAsia" w:ascii="Times New Roman" w:hAnsi="Times New Roman" w:eastAsia="仿宋_GB2312" w:cs="Times New Roman"/>
                <w:color w:val="000000"/>
                <w:sz w:val="28"/>
                <w:lang w:val="en-US" w:eastAsia="zh-CN"/>
              </w:rPr>
              <w:t>：</w:t>
            </w:r>
          </w:p>
          <w:p>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firstLine="560" w:firstLineChars="200"/>
              <w:jc w:val="both"/>
              <w:textAlignment w:val="baseline"/>
              <w:rPr>
                <w:rFonts w:hint="default" w:ascii="Times New Roman" w:hAnsi="Times New Roman" w:eastAsia="仿宋_GB2312" w:cs="Times New Roman"/>
                <w:color w:val="000000"/>
                <w:sz w:val="28"/>
                <w:lang w:val="en-US" w:eastAsia="zh-CN"/>
              </w:rPr>
            </w:pPr>
            <w:r>
              <w:rPr>
                <w:rFonts w:hint="eastAsia" w:ascii="仿宋" w:hAnsi="仿宋" w:eastAsia="仿宋" w:cs="仿宋"/>
                <w:color w:val="000000"/>
                <w:sz w:val="28"/>
                <w:szCs w:val="28"/>
                <w:lang w:val="en-US" w:eastAsia="zh-CN"/>
              </w:rPr>
              <w:t>新疆润盛投资发展有限公司</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编制单位</w:t>
            </w:r>
            <w:r>
              <w:rPr>
                <w:rFonts w:hint="eastAsia" w:ascii="Times New Roman" w:hAnsi="Times New Roman" w:eastAsia="仿宋_GB2312" w:cs="Times New Roman"/>
                <w:color w:val="000000"/>
                <w:sz w:val="28"/>
                <w:lang w:val="en-US" w:eastAsia="zh-CN"/>
              </w:rPr>
              <w:t>：</w:t>
            </w:r>
          </w:p>
          <w:p>
            <w:pPr>
              <w:keepNext w:val="0"/>
              <w:keepLines w:val="0"/>
              <w:widowControl/>
              <w:suppressLineNumbers w:val="0"/>
              <w:adjustRightInd w:val="0"/>
              <w:snapToGrid w:val="0"/>
              <w:spacing w:before="0" w:beforeAutospacing="0" w:after="0" w:afterAutospacing="0"/>
              <w:ind w:left="0" w:leftChars="0" w:right="0" w:firstLine="280" w:firstLineChars="10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新疆新农丽景环境工程咨询有限公司</w:t>
            </w:r>
          </w:p>
        </w:tc>
      </w:tr>
      <w:tr>
        <w:tblPrEx>
          <w:tblCellMar>
            <w:top w:w="0" w:type="dxa"/>
            <w:left w:w="108" w:type="dxa"/>
            <w:bottom w:w="0" w:type="dxa"/>
            <w:right w:w="108" w:type="dxa"/>
          </w:tblCellMar>
        </w:tblPrEx>
        <w:trPr>
          <w:trHeight w:val="687"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lang w:val="en-US"/>
              </w:rPr>
            </w:pPr>
            <w:r>
              <w:rPr>
                <w:rFonts w:hint="default" w:ascii="Times New Roman" w:hAnsi="Times New Roman" w:eastAsia="仿宋_GB2312" w:cs="Times New Roman"/>
                <w:color w:val="000000"/>
                <w:sz w:val="28"/>
              </w:rPr>
              <w:t>电话</w:t>
            </w:r>
            <w:r>
              <w:rPr>
                <w:rFonts w:hint="eastAsia" w:ascii="Times New Roman" w:hAnsi="Times New Roman" w:eastAsia="仿宋_GB2312" w:cs="Times New Roman"/>
                <w:color w:val="000000"/>
                <w:sz w:val="28"/>
                <w:lang w:val="en-US" w:eastAsia="zh-CN"/>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电话</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lang w:val="en-US" w:eastAsia="zh-CN"/>
              </w:rPr>
              <w:t>19990627353</w:t>
            </w:r>
          </w:p>
        </w:tc>
      </w:tr>
      <w:tr>
        <w:tblPrEx>
          <w:tblCellMar>
            <w:top w:w="0" w:type="dxa"/>
            <w:left w:w="108" w:type="dxa"/>
            <w:bottom w:w="0" w:type="dxa"/>
            <w:right w:w="108" w:type="dxa"/>
          </w:tblCellMar>
        </w:tblPrEx>
        <w:trPr>
          <w:trHeight w:val="618"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rPr>
              <w:t>-</w:t>
            </w:r>
          </w:p>
        </w:tc>
      </w:tr>
      <w:tr>
        <w:tblPrEx>
          <w:tblCellMar>
            <w:top w:w="0" w:type="dxa"/>
            <w:left w:w="108" w:type="dxa"/>
            <w:bottom w:w="0" w:type="dxa"/>
            <w:right w:w="108" w:type="dxa"/>
          </w:tblCellMar>
        </w:tblPrEx>
        <w:trPr>
          <w:trHeight w:val="618"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邮编</w:t>
            </w:r>
            <w:r>
              <w:rPr>
                <w:rFonts w:hint="eastAsia" w:ascii="Times New Roman" w:hAnsi="Times New Roman" w:eastAsia="仿宋_GB2312" w:cs="Times New Roman"/>
                <w:color w:val="000000"/>
                <w:sz w:val="28"/>
                <w:lang w:val="en-US" w:eastAsia="zh-CN"/>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rPr>
            </w:pPr>
            <w:r>
              <w:rPr>
                <w:rFonts w:hint="default" w:ascii="Times New Roman" w:hAnsi="Times New Roman" w:eastAsia="仿宋_GB2312" w:cs="Times New Roman"/>
                <w:color w:val="000000"/>
                <w:sz w:val="28"/>
                <w:lang w:val="en-US" w:eastAsia="zh-CN"/>
              </w:rPr>
              <w:t>邮编</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lang w:val="en-US" w:eastAsia="zh-CN"/>
              </w:rPr>
              <w:t>830002</w:t>
            </w:r>
          </w:p>
        </w:tc>
      </w:tr>
      <w:tr>
        <w:tblPrEx>
          <w:tblCellMar>
            <w:top w:w="0" w:type="dxa"/>
            <w:left w:w="108" w:type="dxa"/>
            <w:bottom w:w="0" w:type="dxa"/>
            <w:right w:w="108" w:type="dxa"/>
          </w:tblCellMar>
        </w:tblPrEx>
        <w:trPr>
          <w:trHeight w:val="1320"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伊犁州奎屯市喀什东路17号</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highlight w:val="none"/>
                <w:lang w:val="en-US" w:eastAsia="zh-CN"/>
              </w:rPr>
              <w:t>新疆乌鲁木齐市沙依巴克区农大东路311号新疆农业大学高层住宅楼十区4号楼1单元1-2608号房</w:t>
            </w:r>
          </w:p>
        </w:tc>
      </w:tr>
    </w:tbl>
    <w:p>
      <w:pPr>
        <w:spacing w:line="265" w:lineRule="auto"/>
        <w:rPr>
          <w:rFonts w:ascii="Arial"/>
          <w:sz w:val="21"/>
        </w:rPr>
      </w:pPr>
    </w:p>
    <w:p>
      <w:pPr>
        <w:spacing w:line="252" w:lineRule="auto"/>
        <w:rPr>
          <w:rFonts w:ascii="Arial"/>
          <w:sz w:val="21"/>
        </w:rPr>
      </w:pPr>
    </w:p>
    <w:p>
      <w:pPr>
        <w:sectPr>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p>
      <w:r>
        <w:br w:type="page"/>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7"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ind w:left="0" w:right="0" w:firstLine="0" w:firstLineChars="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inline distT="0" distB="0" distL="114300" distR="114300">
                  <wp:extent cx="2561590" cy="3297555"/>
                  <wp:effectExtent l="0" t="0" r="10160" b="17145"/>
                  <wp:docPr id="17" name="图片 17" descr="5c79f824f3a1f961381334fe300f3f3b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5c79f824f3a1f961381334fe300f3f3b_"/>
                          <pic:cNvPicPr>
                            <a:picLocks noChangeAspect="1"/>
                          </pic:cNvPicPr>
                        </pic:nvPicPr>
                        <pic:blipFill>
                          <a:blip r:embed="rId12"/>
                          <a:srcRect b="27583"/>
                          <a:stretch>
                            <a:fillRect/>
                          </a:stretch>
                        </pic:blipFill>
                        <pic:spPr>
                          <a:xfrm>
                            <a:off x="0" y="0"/>
                            <a:ext cx="2561590" cy="3297555"/>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ind w:left="0" w:right="0" w:firstLine="0" w:firstLineChars="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inline distT="0" distB="0" distL="114300" distR="114300">
                  <wp:extent cx="2561590" cy="3285490"/>
                  <wp:effectExtent l="0" t="0" r="10160" b="10160"/>
                  <wp:docPr id="18" name="图片 18" descr="c4092b3dedc7279c1c4d9c03b4a7be53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4092b3dedc7279c1c4d9c03b4a7be53_"/>
                          <pic:cNvPicPr>
                            <a:picLocks noChangeAspect="1"/>
                          </pic:cNvPicPr>
                        </pic:nvPicPr>
                        <pic:blipFill>
                          <a:blip r:embed="rId13"/>
                          <a:srcRect t="9503" b="6105"/>
                          <a:stretch>
                            <a:fillRect/>
                          </a:stretch>
                        </pic:blipFill>
                        <pic:spPr>
                          <a:xfrm>
                            <a:off x="0" y="0"/>
                            <a:ext cx="2561590" cy="32854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ind w:left="0" w:right="0" w:firstLine="0" w:firstLineChars="0"/>
              <w:jc w:val="center"/>
              <w:textAlignment w:val="baseline"/>
              <w:rPr>
                <w:rFonts w:hint="default" w:ascii="宋体" w:hAnsi="宋体" w:eastAsia="宋体" w:cs="宋体"/>
                <w:color w:val="auto"/>
                <w:sz w:val="21"/>
                <w:szCs w:val="21"/>
                <w:vertAlign w:val="baseline"/>
                <w:lang w:val="en-US" w:eastAsia="zh-CN"/>
              </w:rPr>
            </w:pPr>
            <w:r>
              <w:rPr>
                <w:rFonts w:hint="eastAsia" w:ascii="宋体" w:hAnsi="宋体" w:cs="宋体"/>
                <w:snapToGrid w:val="0"/>
                <w:color w:val="auto"/>
                <w:kern w:val="0"/>
                <w:sz w:val="21"/>
                <w:szCs w:val="21"/>
                <w:lang w:val="en-US" w:eastAsia="zh-CN" w:bidi="ar"/>
              </w:rPr>
              <w:t>项目区道路指示牌</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ind w:left="0" w:right="0" w:firstLine="0" w:firstLineChars="0"/>
              <w:jc w:val="center"/>
              <w:textAlignment w:val="baseline"/>
              <w:rPr>
                <w:rFonts w:hint="default" w:ascii="宋体" w:hAnsi="宋体" w:eastAsia="宋体" w:cs="宋体"/>
                <w:color w:val="auto"/>
                <w:sz w:val="21"/>
                <w:szCs w:val="21"/>
                <w:vertAlign w:val="baseline"/>
                <w:lang w:val="en-US" w:eastAsia="zh-CN"/>
              </w:rPr>
            </w:pPr>
            <w:r>
              <w:rPr>
                <w:rFonts w:hint="eastAsia" w:ascii="宋体" w:hAnsi="宋体" w:cs="宋体"/>
                <w:snapToGrid w:val="0"/>
                <w:color w:val="auto"/>
                <w:kern w:val="0"/>
                <w:sz w:val="21"/>
                <w:szCs w:val="21"/>
                <w:lang w:val="en-US" w:eastAsia="zh-CN" w:bidi="ar"/>
              </w:rPr>
              <w:t>项目区道路现状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0"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line="240" w:lineRule="auto"/>
              <w:ind w:left="0" w:right="0" w:firstLine="0" w:firstLineChars="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inline distT="0" distB="0" distL="114300" distR="114300">
                  <wp:extent cx="2560320" cy="1687195"/>
                  <wp:effectExtent l="0" t="0" r="11430" b="8255"/>
                  <wp:docPr id="10" name="图片 10" descr="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015"/>
                          <pic:cNvPicPr>
                            <a:picLocks noChangeAspect="1"/>
                          </pic:cNvPicPr>
                        </pic:nvPicPr>
                        <pic:blipFill>
                          <a:blip r:embed="rId14"/>
                          <a:stretch>
                            <a:fillRect/>
                          </a:stretch>
                        </pic:blipFill>
                        <pic:spPr>
                          <a:xfrm>
                            <a:off x="0" y="0"/>
                            <a:ext cx="2560320" cy="1687195"/>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line="240" w:lineRule="auto"/>
              <w:ind w:left="0" w:right="0" w:firstLine="0" w:firstLineChars="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inline distT="0" distB="0" distL="114300" distR="114300">
                  <wp:extent cx="2560320" cy="1677670"/>
                  <wp:effectExtent l="0" t="0" r="11430" b="17780"/>
                  <wp:docPr id="12" name="图片 12" descr="0153f7bf9ac72846332f3d7641069c7e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0153f7bf9ac72846332f3d7641069c7e_"/>
                          <pic:cNvPicPr>
                            <a:picLocks noChangeAspect="1"/>
                          </pic:cNvPicPr>
                        </pic:nvPicPr>
                        <pic:blipFill>
                          <a:blip r:embed="rId15"/>
                          <a:stretch>
                            <a:fillRect/>
                          </a:stretch>
                        </pic:blipFill>
                        <pic:spPr>
                          <a:xfrm>
                            <a:off x="0" y="0"/>
                            <a:ext cx="2560320" cy="16776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ind w:left="0" w:right="0" w:firstLine="0" w:firstLineChars="0"/>
              <w:jc w:val="center"/>
              <w:textAlignment w:val="baseline"/>
              <w:rPr>
                <w:rFonts w:hint="default" w:ascii="宋体" w:hAnsi="宋体" w:eastAsia="宋体" w:cs="宋体"/>
                <w:color w:val="auto"/>
                <w:sz w:val="21"/>
                <w:szCs w:val="21"/>
                <w:vertAlign w:val="baseline"/>
                <w:lang w:val="en-US" w:eastAsia="zh-CN"/>
              </w:rPr>
            </w:pPr>
            <w:r>
              <w:rPr>
                <w:rFonts w:hint="eastAsia" w:ascii="宋体" w:hAnsi="宋体" w:eastAsia="宋体" w:cs="宋体"/>
                <w:sz w:val="21"/>
                <w:szCs w:val="21"/>
                <w:vertAlign w:val="baseline"/>
                <w:lang w:val="en-US" w:eastAsia="zh-CN"/>
              </w:rPr>
              <w:t>南环路路牌</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ind w:left="0" w:right="0" w:firstLine="0" w:firstLineChars="0"/>
              <w:jc w:val="center"/>
              <w:textAlignment w:val="baseline"/>
              <w:rPr>
                <w:rFonts w:hint="default" w:ascii="宋体" w:hAnsi="宋体" w:eastAsia="宋体" w:cs="宋体"/>
                <w:color w:val="auto"/>
                <w:sz w:val="21"/>
                <w:szCs w:val="21"/>
                <w:vertAlign w:val="baseline"/>
                <w:lang w:val="en-US" w:eastAsia="zh-CN"/>
              </w:rPr>
            </w:pPr>
            <w:r>
              <w:rPr>
                <w:rFonts w:hint="eastAsia" w:ascii="宋体" w:hAnsi="宋体" w:eastAsia="宋体" w:cs="宋体"/>
                <w:sz w:val="21"/>
                <w:szCs w:val="21"/>
                <w:vertAlign w:val="baseline"/>
                <w:lang w:val="en-US" w:eastAsia="zh-CN"/>
              </w:rPr>
              <w:t>南环路周边现状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ind w:left="0" w:right="0" w:firstLine="0" w:firstLineChars="0"/>
              <w:jc w:val="center"/>
              <w:textAlignment w:val="baseline"/>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2477135" cy="4173855"/>
                  <wp:effectExtent l="0" t="0" r="18415" b="17145"/>
                  <wp:docPr id="7" name="图片 7" descr="d5a93e4cc5e19d5bb9dfdb7a028504de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5a93e4cc5e19d5bb9dfdb7a028504de_"/>
                          <pic:cNvPicPr>
                            <a:picLocks noChangeAspect="1"/>
                          </pic:cNvPicPr>
                        </pic:nvPicPr>
                        <pic:blipFill>
                          <a:blip r:embed="rId16"/>
                          <a:stretch>
                            <a:fillRect/>
                          </a:stretch>
                        </pic:blipFill>
                        <pic:spPr>
                          <a:xfrm>
                            <a:off x="0" y="0"/>
                            <a:ext cx="2477135" cy="4173855"/>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ind w:left="0" w:right="0" w:firstLine="0" w:firstLineChars="0"/>
              <w:textAlignment w:val="baseline"/>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drawing>
                <wp:inline distT="0" distB="0" distL="114300" distR="114300">
                  <wp:extent cx="2475865" cy="4160520"/>
                  <wp:effectExtent l="0" t="0" r="635" b="11430"/>
                  <wp:docPr id="16" name="图片 16" descr="995d44730ef983f953ea1e01031b56ef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995d44730ef983f953ea1e01031b56ef_"/>
                          <pic:cNvPicPr>
                            <a:picLocks noChangeAspect="1"/>
                          </pic:cNvPicPr>
                        </pic:nvPicPr>
                        <pic:blipFill>
                          <a:blip r:embed="rId17"/>
                          <a:stretch>
                            <a:fillRect/>
                          </a:stretch>
                        </pic:blipFill>
                        <pic:spPr>
                          <a:xfrm>
                            <a:off x="0" y="0"/>
                            <a:ext cx="2475865" cy="416052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Autospacing="0" w:after="0" w:afterAutospacing="0" w:line="240" w:lineRule="auto"/>
              <w:ind w:left="0" w:right="0" w:firstLine="0" w:firstLineChars="0"/>
              <w:jc w:val="center"/>
              <w:textAlignment w:val="baseline"/>
              <w:rPr>
                <w:rFonts w:hint="eastAsia" w:ascii="宋体" w:hAnsi="宋体" w:eastAsia="宋体" w:cs="宋体"/>
                <w:sz w:val="21"/>
                <w:szCs w:val="21"/>
                <w:lang w:val="en-US" w:eastAsia="zh-CN"/>
              </w:rPr>
            </w:pPr>
            <w:r>
              <w:rPr>
                <w:rFonts w:hint="eastAsia" w:ascii="宋体" w:hAnsi="宋体" w:cs="宋体"/>
                <w:snapToGrid w:val="0"/>
                <w:sz w:val="21"/>
                <w:szCs w:val="21"/>
                <w:lang w:val="en-US" w:eastAsia="zh-CN"/>
              </w:rPr>
              <w:t>米泉</w:t>
            </w:r>
            <w:r>
              <w:rPr>
                <w:rFonts w:hint="eastAsia" w:ascii="宋体" w:hAnsi="宋体" w:eastAsia="宋体" w:cs="宋体"/>
                <w:snapToGrid w:val="0"/>
                <w:sz w:val="21"/>
                <w:szCs w:val="21"/>
                <w:lang w:val="en-US" w:eastAsia="zh-CN"/>
              </w:rPr>
              <w:t>街</w:t>
            </w:r>
            <w:r>
              <w:rPr>
                <w:rFonts w:hint="eastAsia" w:ascii="宋体" w:hAnsi="宋体" w:eastAsia="宋体" w:cs="宋体"/>
                <w:sz w:val="21"/>
                <w:szCs w:val="21"/>
                <w:vertAlign w:val="baseline"/>
                <w:lang w:val="en-US" w:eastAsia="zh-CN"/>
              </w:rPr>
              <w:t>路牌</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Autospacing="0" w:after="0" w:afterAutospacing="0" w:line="240" w:lineRule="auto"/>
              <w:ind w:left="0" w:right="0" w:firstLine="0" w:firstLineChars="0"/>
              <w:jc w:val="center"/>
              <w:textAlignment w:val="baseline"/>
              <w:rPr>
                <w:rFonts w:hint="eastAsia" w:ascii="宋体" w:hAnsi="宋体" w:eastAsia="宋体" w:cs="宋体"/>
                <w:sz w:val="21"/>
                <w:szCs w:val="21"/>
                <w:vertAlign w:val="baseline"/>
                <w:lang w:eastAsia="zh-CN"/>
              </w:rPr>
            </w:pPr>
            <w:r>
              <w:rPr>
                <w:rFonts w:hint="eastAsia" w:ascii="宋体" w:hAnsi="宋体" w:eastAsia="宋体" w:cs="宋体"/>
                <w:snapToGrid w:val="0"/>
                <w:sz w:val="21"/>
                <w:szCs w:val="21"/>
                <w:lang w:val="en-US" w:eastAsia="zh-CN"/>
              </w:rPr>
              <w:t>吐鲁番街</w:t>
            </w:r>
            <w:r>
              <w:rPr>
                <w:rFonts w:hint="eastAsia" w:ascii="宋体" w:hAnsi="宋体" w:eastAsia="宋体" w:cs="宋体"/>
                <w:sz w:val="21"/>
                <w:szCs w:val="21"/>
                <w:vertAlign w:val="baseline"/>
                <w:lang w:val="en-US" w:eastAsia="zh-CN"/>
              </w:rPr>
              <w:t>路牌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ind w:left="0" w:right="0" w:firstLine="0" w:firstLineChars="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napToGrid w:val="0"/>
                <w:sz w:val="21"/>
                <w:szCs w:val="21"/>
                <w:lang w:val="en-US" w:eastAsia="zh-CN"/>
              </w:rPr>
              <w:drawing>
                <wp:inline distT="0" distB="0" distL="114300" distR="114300">
                  <wp:extent cx="2496185" cy="4048760"/>
                  <wp:effectExtent l="0" t="0" r="18415" b="8890"/>
                  <wp:docPr id="14" name="图片 14" descr="8e8288e8e06b0917c8d73ab3a608b252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8e8288e8e06b0917c8d73ab3a608b252_"/>
                          <pic:cNvPicPr>
                            <a:picLocks noChangeAspect="1"/>
                          </pic:cNvPicPr>
                        </pic:nvPicPr>
                        <pic:blipFill>
                          <a:blip r:embed="rId18"/>
                          <a:stretch>
                            <a:fillRect/>
                          </a:stretch>
                        </pic:blipFill>
                        <pic:spPr>
                          <a:xfrm>
                            <a:off x="0" y="0"/>
                            <a:ext cx="2496185" cy="4048760"/>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32" w:beforeLines="10" w:beforeAutospacing="0" w:after="0" w:afterAutospacing="0"/>
              <w:ind w:left="0" w:right="0" w:firstLine="0" w:firstLineChars="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napToGrid w:val="0"/>
                <w:sz w:val="21"/>
                <w:szCs w:val="21"/>
                <w:lang w:val="en-US" w:eastAsia="zh-CN"/>
              </w:rPr>
              <w:drawing>
                <wp:inline distT="0" distB="0" distL="114300" distR="114300">
                  <wp:extent cx="2447290" cy="4057650"/>
                  <wp:effectExtent l="0" t="0" r="10160" b="0"/>
                  <wp:docPr id="15" name="图片 15" descr="c4b450532eff6edabe6424453de0dc7b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4b450532eff6edabe6424453de0dc7b_"/>
                          <pic:cNvPicPr>
                            <a:picLocks noChangeAspect="1"/>
                          </pic:cNvPicPr>
                        </pic:nvPicPr>
                        <pic:blipFill>
                          <a:blip r:embed="rId19"/>
                          <a:stretch>
                            <a:fillRect/>
                          </a:stretch>
                        </pic:blipFill>
                        <pic:spPr>
                          <a:xfrm>
                            <a:off x="0" y="0"/>
                            <a:ext cx="2447290" cy="40576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Autospacing="0" w:after="0" w:afterAutospacing="0" w:line="240" w:lineRule="auto"/>
              <w:ind w:left="0" w:right="0" w:firstLine="0" w:firstLineChars="0"/>
              <w:jc w:val="center"/>
              <w:textAlignment w:val="baseline"/>
              <w:rPr>
                <w:rFonts w:hint="default" w:ascii="宋体" w:hAnsi="宋体" w:eastAsia="宋体" w:cs="宋体"/>
                <w:snapToGrid w:val="0"/>
                <w:color w:val="auto"/>
                <w:sz w:val="21"/>
                <w:szCs w:val="21"/>
                <w:lang w:val="en-US" w:eastAsia="zh-CN"/>
              </w:rPr>
            </w:pPr>
            <w:r>
              <w:rPr>
                <w:rFonts w:hint="eastAsia" w:ascii="宋体" w:hAnsi="宋体" w:cs="宋体"/>
                <w:snapToGrid w:val="0"/>
                <w:color w:val="auto"/>
                <w:sz w:val="21"/>
                <w:szCs w:val="21"/>
                <w:lang w:val="en-US" w:eastAsia="zh-CN"/>
              </w:rPr>
              <w:t>排水井</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Autospacing="0" w:after="0" w:afterAutospacing="0" w:line="240" w:lineRule="auto"/>
              <w:ind w:left="0" w:right="0" w:firstLine="0" w:firstLineChars="0"/>
              <w:jc w:val="center"/>
              <w:textAlignment w:val="baseline"/>
              <w:rPr>
                <w:rFonts w:hint="default" w:ascii="宋体" w:hAnsi="宋体" w:eastAsia="宋体" w:cs="宋体"/>
                <w:snapToGrid w:val="0"/>
                <w:color w:val="auto"/>
                <w:sz w:val="21"/>
                <w:szCs w:val="21"/>
                <w:lang w:val="en-US" w:eastAsia="zh-CN"/>
              </w:rPr>
            </w:pPr>
            <w:r>
              <w:rPr>
                <w:rFonts w:hint="eastAsia" w:ascii="宋体" w:hAnsi="宋体" w:cs="宋体"/>
                <w:snapToGrid w:val="0"/>
                <w:color w:val="auto"/>
                <w:sz w:val="21"/>
                <w:szCs w:val="21"/>
                <w:lang w:val="en-US" w:eastAsia="zh-CN"/>
              </w:rPr>
              <w:t>项目区道路现状</w:t>
            </w:r>
          </w:p>
        </w:tc>
      </w:tr>
    </w:tbl>
    <w:p>
      <w:pPr>
        <w:pStyle w:val="9"/>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sdt>
      <w:sdtPr>
        <w:rPr>
          <w:rFonts w:ascii="宋体" w:hAnsi="宋体" w:eastAsia="宋体" w:cs="Arial"/>
          <w:snapToGrid w:val="0"/>
          <w:color w:val="000000"/>
          <w:kern w:val="0"/>
          <w:sz w:val="21"/>
          <w:szCs w:val="21"/>
          <w:lang w:val="en-US" w:eastAsia="en-US" w:bidi="ar-SA"/>
        </w:rPr>
        <w:id w:val="147462068"/>
        <w15:color w:val="DBDBDB"/>
        <w:docPartObj>
          <w:docPartGallery w:val="Table of Contents"/>
          <w:docPartUnique/>
        </w:docPartObj>
      </w:sdtPr>
      <w:sdtEndPr>
        <w:rPr>
          <w:rFonts w:ascii="Times New Roman" w:hAnsi="Times New Roman" w:eastAsia="Times New Roman" w:cs="Times New Roman"/>
          <w:snapToGrid w:val="0"/>
          <w:color w:val="000000"/>
          <w:kern w:val="0"/>
          <w:sz w:val="24"/>
          <w:szCs w:val="24"/>
          <w:lang w:val="en-US" w:eastAsia="en-US" w:bidi="ar-SA"/>
        </w:rPr>
      </w:sdtEndPr>
      <w:sdtContent>
        <w:p>
          <w:pPr>
            <w:spacing w:before="0" w:beforeLines="0" w:after="0" w:afterLines="0" w:line="240" w:lineRule="auto"/>
            <w:ind w:left="0" w:leftChars="0" w:right="0" w:rightChars="0" w:firstLine="0" w:firstLineChars="0"/>
            <w:jc w:val="center"/>
            <w:rPr>
              <w:b/>
              <w:bCs/>
              <w:sz w:val="32"/>
              <w:szCs w:val="32"/>
            </w:rPr>
          </w:pPr>
          <w:r>
            <w:rPr>
              <w:rFonts w:ascii="宋体" w:hAnsi="宋体" w:eastAsia="宋体"/>
              <w:b/>
              <w:bCs/>
              <w:sz w:val="32"/>
              <w:szCs w:val="32"/>
            </w:rPr>
            <w:t>目</w:t>
          </w:r>
          <w:r>
            <w:rPr>
              <w:rFonts w:hint="eastAsia" w:ascii="宋体" w:hAnsi="宋体" w:eastAsia="宋体"/>
              <w:b/>
              <w:bCs/>
              <w:sz w:val="32"/>
              <w:szCs w:val="32"/>
              <w:lang w:val="en-US" w:eastAsia="zh-CN"/>
            </w:rPr>
            <w:t xml:space="preserve">  </w:t>
          </w:r>
          <w:r>
            <w:rPr>
              <w:rFonts w:ascii="宋体" w:hAnsi="宋体" w:eastAsia="宋体"/>
              <w:b/>
              <w:bCs/>
              <w:sz w:val="32"/>
              <w:szCs w:val="32"/>
            </w:rPr>
            <w:t>录</w:t>
          </w:r>
        </w:p>
        <w:p>
          <w:pPr>
            <w:pStyle w:val="22"/>
            <w:tabs>
              <w:tab w:val="right" w:leader="dot" w:pos="8306"/>
            </w:tabs>
          </w:pPr>
          <w:r>
            <w:rPr>
              <w:rFonts w:ascii="Times New Roman" w:hAnsi="Times New Roman" w:eastAsia="Times New Roman" w:cs="Times New Roman"/>
              <w:sz w:val="24"/>
              <w:szCs w:val="24"/>
            </w:rPr>
            <w:fldChar w:fldCharType="begin"/>
          </w:r>
          <w:r>
            <w:rPr>
              <w:rFonts w:ascii="Times New Roman" w:hAnsi="Times New Roman" w:eastAsia="Times New Roman" w:cs="Times New Roman"/>
              <w:sz w:val="24"/>
              <w:szCs w:val="24"/>
            </w:rPr>
            <w:instrText xml:space="preserve">TOC \o "1-3" \h \u </w:instrText>
          </w:r>
          <w:r>
            <w:rPr>
              <w:rFonts w:ascii="Times New Roman" w:hAnsi="Times New Roman" w:eastAsia="Times New Roman" w:cs="Times New Roman"/>
              <w:sz w:val="24"/>
              <w:szCs w:val="24"/>
            </w:rPr>
            <w:fldChar w:fldCharType="separate"/>
          </w: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_Toc9387 </w:instrText>
          </w:r>
          <w:r>
            <w:rPr>
              <w:rFonts w:ascii="Times New Roman" w:hAnsi="Times New Roman" w:eastAsia="Times New Roman" w:cs="Times New Roman"/>
              <w:szCs w:val="24"/>
            </w:rPr>
            <w:fldChar w:fldCharType="separate"/>
          </w:r>
          <w:r>
            <w:rPr>
              <w:rFonts w:ascii="宋体" w:hAnsi="宋体" w:eastAsia="宋体" w:cs="宋体"/>
              <w:spacing w:val="-9"/>
              <w:szCs w:val="47"/>
              <w14:textOutline w14:w="8717" w14:cap="sq" w14:cmpd="sng">
                <w14:solidFill>
                  <w14:srgbClr w14:val="000000"/>
                </w14:solidFill>
                <w14:prstDash w14:val="solid"/>
                <w14:bevel/>
              </w14:textOutline>
            </w:rPr>
            <w:t>前</w:t>
          </w:r>
          <w:r>
            <w:rPr>
              <w:rFonts w:hint="eastAsia" w:ascii="宋体" w:hAnsi="宋体" w:eastAsia="宋体" w:cs="宋体"/>
              <w:spacing w:val="-9"/>
              <w:szCs w:val="47"/>
              <w:lang w:val="en-US" w:eastAsia="zh-CN"/>
              <w14:textOutline w14:w="8717" w14:cap="sq" w14:cmpd="sng">
                <w14:solidFill>
                  <w14:srgbClr w14:val="000000"/>
                </w14:solidFill>
                <w14:prstDash w14:val="solid"/>
                <w14:bevel/>
              </w14:textOutline>
            </w:rPr>
            <w:t xml:space="preserve"> </w:t>
          </w:r>
          <w:r>
            <w:rPr>
              <w:rFonts w:ascii="宋体" w:hAnsi="宋体" w:eastAsia="宋体" w:cs="宋体"/>
              <w:spacing w:val="-9"/>
              <w:szCs w:val="47"/>
              <w14:textOutline w14:w="8717" w14:cap="sq" w14:cmpd="sng">
                <w14:solidFill>
                  <w14:srgbClr w14:val="000000"/>
                </w14:solidFill>
                <w14:prstDash w14:val="solid"/>
                <w14:bevel/>
              </w14:textOutline>
            </w:rPr>
            <w:t>言</w:t>
          </w:r>
          <w:r>
            <w:tab/>
          </w:r>
          <w:r>
            <w:fldChar w:fldCharType="begin"/>
          </w:r>
          <w:r>
            <w:instrText xml:space="preserve"> PAGEREF _Toc9387 \h </w:instrText>
          </w:r>
          <w:r>
            <w:fldChar w:fldCharType="separate"/>
          </w:r>
          <w:r>
            <w:t>1</w:t>
          </w:r>
          <w:r>
            <w:fldChar w:fldCharType="end"/>
          </w:r>
          <w:r>
            <w:rPr>
              <w:rFonts w:ascii="Times New Roman" w:hAnsi="Times New Roman" w:eastAsia="Times New Roman" w:cs="Times New Roman"/>
              <w:szCs w:val="24"/>
            </w:rPr>
            <w:fldChar w:fldCharType="end"/>
          </w:r>
        </w:p>
        <w:p>
          <w:pPr>
            <w:pStyle w:val="22"/>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_Toc13836 </w:instrText>
          </w:r>
          <w:r>
            <w:rPr>
              <w:rFonts w:ascii="Times New Roman" w:hAnsi="Times New Roman" w:eastAsia="Times New Roman" w:cs="Times New Roman"/>
              <w:szCs w:val="24"/>
            </w:rPr>
            <w:fldChar w:fldCharType="separate"/>
          </w:r>
          <w:r>
            <w:rPr>
              <w:rFonts w:ascii="宋体" w:hAnsi="宋体" w:eastAsia="宋体" w:cs="宋体"/>
              <w:spacing w:val="-7"/>
              <w:szCs w:val="47"/>
              <w14:textOutline w14:w="8717" w14:cap="sq" w14:cmpd="sng">
                <w14:solidFill>
                  <w14:srgbClr w14:val="000000"/>
                </w14:solidFill>
                <w14:prstDash w14:val="solid"/>
                <w14:bevel/>
              </w14:textOutline>
            </w:rPr>
            <w:t>一</w:t>
          </w:r>
          <w:r>
            <w:rPr>
              <w:rFonts w:ascii="宋体" w:hAnsi="宋体" w:eastAsia="宋体" w:cs="宋体"/>
              <w:spacing w:val="-90"/>
              <w:szCs w:val="47"/>
            </w:rPr>
            <w:t xml:space="preserve"> </w:t>
          </w:r>
          <w:r>
            <w:rPr>
              <w:rFonts w:ascii="宋体" w:hAnsi="宋体" w:eastAsia="宋体" w:cs="宋体"/>
              <w:spacing w:val="-7"/>
              <w:szCs w:val="47"/>
              <w14:textOutline w14:w="8717" w14:cap="sq" w14:cmpd="sng">
                <w14:solidFill>
                  <w14:srgbClr w14:val="000000"/>
                </w14:solidFill>
                <w14:prstDash w14:val="solid"/>
                <w14:bevel/>
              </w14:textOutline>
            </w:rPr>
            <w:t>综述</w:t>
          </w:r>
          <w:r>
            <w:tab/>
          </w:r>
          <w:r>
            <w:fldChar w:fldCharType="begin"/>
          </w:r>
          <w:r>
            <w:instrText xml:space="preserve"> PAGEREF _Toc13836 \h </w:instrText>
          </w:r>
          <w:r>
            <w:fldChar w:fldCharType="separate"/>
          </w:r>
          <w:r>
            <w:t>4</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_Toc9820 </w:instrText>
          </w:r>
          <w:r>
            <w:rPr>
              <w:rFonts w:ascii="Times New Roman" w:hAnsi="Times New Roman" w:eastAsia="Times New Roman" w:cs="Times New Roman"/>
              <w:szCs w:val="24"/>
            </w:rPr>
            <w:fldChar w:fldCharType="separate"/>
          </w:r>
          <w:r>
            <w:t>1.1 编制依据</w:t>
          </w:r>
          <w:r>
            <w:tab/>
          </w:r>
          <w:r>
            <w:fldChar w:fldCharType="begin"/>
          </w:r>
          <w:r>
            <w:instrText xml:space="preserve"> PAGEREF _Toc9820 \h </w:instrText>
          </w:r>
          <w:r>
            <w:fldChar w:fldCharType="separate"/>
          </w:r>
          <w:r>
            <w:t>4</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_Toc31687 </w:instrText>
          </w:r>
          <w:r>
            <w:rPr>
              <w:rFonts w:ascii="Times New Roman" w:hAnsi="Times New Roman" w:eastAsia="Times New Roman" w:cs="Times New Roman"/>
              <w:szCs w:val="24"/>
            </w:rPr>
            <w:fldChar w:fldCharType="separate"/>
          </w:r>
          <w:r>
            <w:t>1.1.1法规性依据</w:t>
          </w:r>
          <w:r>
            <w:tab/>
          </w:r>
          <w:r>
            <w:fldChar w:fldCharType="begin"/>
          </w:r>
          <w:r>
            <w:instrText xml:space="preserve"> PAGEREF _Toc31687 \h </w:instrText>
          </w:r>
          <w:r>
            <w:fldChar w:fldCharType="separate"/>
          </w:r>
          <w:r>
            <w:t>4</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_Toc3425 </w:instrText>
          </w:r>
          <w:r>
            <w:rPr>
              <w:rFonts w:ascii="Times New Roman" w:hAnsi="Times New Roman" w:eastAsia="Times New Roman" w:cs="Times New Roman"/>
              <w:szCs w:val="24"/>
            </w:rPr>
            <w:fldChar w:fldCharType="separate"/>
          </w:r>
          <w:r>
            <w:t>1.1.2技术性依据</w:t>
          </w:r>
          <w:r>
            <w:tab/>
          </w:r>
          <w:r>
            <w:fldChar w:fldCharType="begin"/>
          </w:r>
          <w:r>
            <w:instrText xml:space="preserve"> PAGEREF _Toc3425 \h </w:instrText>
          </w:r>
          <w:r>
            <w:fldChar w:fldCharType="separate"/>
          </w:r>
          <w:r>
            <w:t>4</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_Toc14669 </w:instrText>
          </w:r>
          <w:r>
            <w:rPr>
              <w:rFonts w:ascii="Times New Roman" w:hAnsi="Times New Roman" w:eastAsia="Times New Roman" w:cs="Times New Roman"/>
              <w:szCs w:val="24"/>
            </w:rPr>
            <w:fldChar w:fldCharType="separate"/>
          </w:r>
          <w:r>
            <w:t>1.1.3其他技术规范</w:t>
          </w:r>
          <w:r>
            <w:tab/>
          </w:r>
          <w:r>
            <w:fldChar w:fldCharType="begin"/>
          </w:r>
          <w:r>
            <w:instrText xml:space="preserve"> PAGEREF _Toc14669 \h </w:instrText>
          </w:r>
          <w:r>
            <w:fldChar w:fldCharType="separate"/>
          </w:r>
          <w:r>
            <w:t>4</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_Toc6144 </w:instrText>
          </w:r>
          <w:r>
            <w:rPr>
              <w:rFonts w:ascii="Times New Roman" w:hAnsi="Times New Roman" w:eastAsia="Times New Roman" w:cs="Times New Roman"/>
              <w:szCs w:val="24"/>
            </w:rPr>
            <w:fldChar w:fldCharType="separate"/>
          </w:r>
          <w:r>
            <w:t>1.2调查范围、环境监测因子、敏感目标、调查重点</w:t>
          </w:r>
          <w:r>
            <w:tab/>
          </w:r>
          <w:r>
            <w:fldChar w:fldCharType="begin"/>
          </w:r>
          <w:r>
            <w:instrText xml:space="preserve"> PAGEREF _Toc6144 \h </w:instrText>
          </w:r>
          <w:r>
            <w:fldChar w:fldCharType="separate"/>
          </w:r>
          <w:r>
            <w:t>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_Toc25038 </w:instrText>
          </w:r>
          <w:r>
            <w:rPr>
              <w:rFonts w:ascii="Times New Roman" w:hAnsi="Times New Roman" w:eastAsia="Times New Roman" w:cs="Times New Roman"/>
              <w:szCs w:val="24"/>
            </w:rPr>
            <w:fldChar w:fldCharType="separate"/>
          </w:r>
          <w:r>
            <w:t>1.2.1调查范围</w:t>
          </w:r>
          <w:r>
            <w:tab/>
          </w:r>
          <w:r>
            <w:fldChar w:fldCharType="begin"/>
          </w:r>
          <w:r>
            <w:instrText xml:space="preserve"> PAGEREF _Toc25038 \h </w:instrText>
          </w:r>
          <w:r>
            <w:fldChar w:fldCharType="separate"/>
          </w:r>
          <w:r>
            <w:t>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_Toc25313 </w:instrText>
          </w:r>
          <w:r>
            <w:rPr>
              <w:rFonts w:ascii="Times New Roman" w:hAnsi="Times New Roman" w:eastAsia="Times New Roman" w:cs="Times New Roman"/>
              <w:szCs w:val="24"/>
            </w:rPr>
            <w:fldChar w:fldCharType="separate"/>
          </w:r>
          <w:r>
            <w:t>1.2.2调查因子</w:t>
          </w:r>
          <w:r>
            <w:tab/>
          </w:r>
          <w:r>
            <w:fldChar w:fldCharType="begin"/>
          </w:r>
          <w:r>
            <w:instrText xml:space="preserve"> PAGEREF _Toc25313 \h </w:instrText>
          </w:r>
          <w:r>
            <w:fldChar w:fldCharType="separate"/>
          </w:r>
          <w:r>
            <w:t>6</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_Toc21408 </w:instrText>
          </w:r>
          <w:r>
            <w:rPr>
              <w:rFonts w:ascii="Times New Roman" w:hAnsi="Times New Roman" w:eastAsia="Times New Roman" w:cs="Times New Roman"/>
              <w:szCs w:val="24"/>
            </w:rPr>
            <w:fldChar w:fldCharType="separate"/>
          </w:r>
          <w:r>
            <w:t>1.3验收标准</w:t>
          </w:r>
          <w:r>
            <w:tab/>
          </w:r>
          <w:r>
            <w:fldChar w:fldCharType="begin"/>
          </w:r>
          <w:r>
            <w:instrText xml:space="preserve"> PAGEREF _Toc21408 \h </w:instrText>
          </w:r>
          <w:r>
            <w:fldChar w:fldCharType="separate"/>
          </w:r>
          <w:r>
            <w:t>7</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_Toc14123 </w:instrText>
          </w:r>
          <w:r>
            <w:rPr>
              <w:rFonts w:ascii="Times New Roman" w:hAnsi="Times New Roman" w:eastAsia="Times New Roman" w:cs="Times New Roman"/>
              <w:szCs w:val="24"/>
            </w:rPr>
            <w:fldChar w:fldCharType="separate"/>
          </w:r>
          <w:r>
            <w:rPr>
              <w:rFonts w:hint="eastAsia"/>
              <w:lang w:val="en-US" w:eastAsia="zh-CN"/>
            </w:rPr>
            <w:t>1.3.1环境质量标准</w:t>
          </w:r>
          <w:r>
            <w:tab/>
          </w:r>
          <w:r>
            <w:fldChar w:fldCharType="begin"/>
          </w:r>
          <w:r>
            <w:instrText xml:space="preserve"> PAGEREF _Toc14123 \h </w:instrText>
          </w:r>
          <w:r>
            <w:fldChar w:fldCharType="separate"/>
          </w:r>
          <w:r>
            <w:t>7</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_Toc26332 </w:instrText>
          </w:r>
          <w:r>
            <w:rPr>
              <w:rFonts w:ascii="Times New Roman" w:hAnsi="Times New Roman" w:eastAsia="Times New Roman" w:cs="Times New Roman"/>
              <w:szCs w:val="24"/>
            </w:rPr>
            <w:fldChar w:fldCharType="separate"/>
          </w:r>
          <w:r>
            <w:t>1.4环境保护目标</w:t>
          </w:r>
          <w:r>
            <w:tab/>
          </w:r>
          <w:r>
            <w:fldChar w:fldCharType="begin"/>
          </w:r>
          <w:r>
            <w:instrText xml:space="preserve"> PAGEREF _Toc26332 \h </w:instrText>
          </w:r>
          <w:r>
            <w:fldChar w:fldCharType="separate"/>
          </w:r>
          <w:r>
            <w:t>7</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_Toc27453 </w:instrText>
          </w:r>
          <w:r>
            <w:rPr>
              <w:rFonts w:ascii="Times New Roman" w:hAnsi="Times New Roman" w:eastAsia="Times New Roman" w:cs="Times New Roman"/>
              <w:szCs w:val="24"/>
            </w:rPr>
            <w:fldChar w:fldCharType="separate"/>
          </w:r>
          <w:r>
            <w:t>1.4.</w:t>
          </w:r>
          <w:r>
            <w:rPr>
              <w:rFonts w:hint="eastAsia"/>
              <w:lang w:val="en-US" w:eastAsia="zh-CN"/>
            </w:rPr>
            <w:t>1</w:t>
          </w:r>
          <w:r>
            <w:t>环境</w:t>
          </w:r>
          <w:r>
            <w:rPr>
              <w:rFonts w:hint="eastAsia"/>
              <w:lang w:val="en-US" w:eastAsia="zh-CN"/>
            </w:rPr>
            <w:t>空气及声环境</w:t>
          </w:r>
          <w:r>
            <w:t>保护目标</w:t>
          </w:r>
          <w:r>
            <w:tab/>
          </w:r>
          <w:r>
            <w:fldChar w:fldCharType="begin"/>
          </w:r>
          <w:r>
            <w:instrText xml:space="preserve"> PAGEREF _Toc27453 \h </w:instrText>
          </w:r>
          <w:r>
            <w:fldChar w:fldCharType="separate"/>
          </w:r>
          <w:r>
            <w:t>7</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_Toc5612 </w:instrText>
          </w:r>
          <w:r>
            <w:rPr>
              <w:rFonts w:ascii="Times New Roman" w:hAnsi="Times New Roman" w:eastAsia="Times New Roman" w:cs="Times New Roman"/>
              <w:szCs w:val="24"/>
            </w:rPr>
            <w:fldChar w:fldCharType="separate"/>
          </w:r>
          <w:r>
            <w:t>1.5调查重点</w:t>
          </w:r>
          <w:r>
            <w:tab/>
          </w:r>
          <w:r>
            <w:fldChar w:fldCharType="begin"/>
          </w:r>
          <w:r>
            <w:instrText xml:space="preserve"> PAGEREF _Toc5612 \h </w:instrText>
          </w:r>
          <w:r>
            <w:fldChar w:fldCharType="separate"/>
          </w:r>
          <w:r>
            <w:t>8</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_Toc6761 </w:instrText>
          </w:r>
          <w:r>
            <w:rPr>
              <w:rFonts w:ascii="Times New Roman" w:hAnsi="Times New Roman" w:eastAsia="Times New Roman" w:cs="Times New Roman"/>
              <w:szCs w:val="24"/>
            </w:rPr>
            <w:fldChar w:fldCharType="separate"/>
          </w:r>
          <w:r>
            <w:t>1.6验收工作流程</w:t>
          </w:r>
          <w:r>
            <w:tab/>
          </w:r>
          <w:r>
            <w:fldChar w:fldCharType="begin"/>
          </w:r>
          <w:r>
            <w:instrText xml:space="preserve"> PAGEREF _Toc6761 \h </w:instrText>
          </w:r>
          <w:r>
            <w:fldChar w:fldCharType="separate"/>
          </w:r>
          <w:r>
            <w:t>9</w:t>
          </w:r>
          <w:r>
            <w:fldChar w:fldCharType="end"/>
          </w:r>
          <w:r>
            <w:rPr>
              <w:rFonts w:ascii="Times New Roman" w:hAnsi="Times New Roman" w:eastAsia="Times New Roman" w:cs="Times New Roman"/>
              <w:szCs w:val="24"/>
            </w:rPr>
            <w:fldChar w:fldCharType="end"/>
          </w:r>
        </w:p>
        <w:p>
          <w:pPr>
            <w:pStyle w:val="22"/>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_Toc12689 </w:instrText>
          </w:r>
          <w:r>
            <w:rPr>
              <w:rFonts w:ascii="Times New Roman" w:hAnsi="Times New Roman" w:eastAsia="Times New Roman" w:cs="Times New Roman"/>
              <w:szCs w:val="24"/>
            </w:rPr>
            <w:fldChar w:fldCharType="separate"/>
          </w:r>
          <w:r>
            <w:t>二 工程调查</w:t>
          </w:r>
          <w:r>
            <w:tab/>
          </w:r>
          <w:r>
            <w:fldChar w:fldCharType="begin"/>
          </w:r>
          <w:r>
            <w:instrText xml:space="preserve"> PAGEREF _Toc12689 \h </w:instrText>
          </w:r>
          <w:r>
            <w:fldChar w:fldCharType="separate"/>
          </w:r>
          <w:r>
            <w:t>11</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_Toc20268 </w:instrText>
          </w:r>
          <w:r>
            <w:rPr>
              <w:rFonts w:ascii="Times New Roman" w:hAnsi="Times New Roman" w:eastAsia="Times New Roman" w:cs="Times New Roman"/>
              <w:szCs w:val="24"/>
            </w:rPr>
            <w:fldChar w:fldCharType="separate"/>
          </w:r>
          <w:r>
            <w:t>2.1项目设计与建设过程</w:t>
          </w:r>
          <w:r>
            <w:tab/>
          </w:r>
          <w:r>
            <w:fldChar w:fldCharType="begin"/>
          </w:r>
          <w:r>
            <w:instrText xml:space="preserve"> PAGEREF _Toc20268 \h </w:instrText>
          </w:r>
          <w:r>
            <w:fldChar w:fldCharType="separate"/>
          </w:r>
          <w:r>
            <w:t>11</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_Toc6743 </w:instrText>
          </w:r>
          <w:r>
            <w:rPr>
              <w:rFonts w:ascii="Times New Roman" w:hAnsi="Times New Roman" w:eastAsia="Times New Roman" w:cs="Times New Roman"/>
              <w:szCs w:val="24"/>
            </w:rPr>
            <w:fldChar w:fldCharType="separate"/>
          </w:r>
          <w:r>
            <w:t>2.1.1项目工程设计过程</w:t>
          </w:r>
          <w:r>
            <w:tab/>
          </w:r>
          <w:r>
            <w:fldChar w:fldCharType="begin"/>
          </w:r>
          <w:r>
            <w:instrText xml:space="preserve"> PAGEREF _Toc6743 \h </w:instrText>
          </w:r>
          <w:r>
            <w:fldChar w:fldCharType="separate"/>
          </w:r>
          <w:r>
            <w:t>11</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_Toc9555 </w:instrText>
          </w:r>
          <w:r>
            <w:rPr>
              <w:rFonts w:ascii="Times New Roman" w:hAnsi="Times New Roman" w:eastAsia="Times New Roman" w:cs="Times New Roman"/>
              <w:szCs w:val="24"/>
            </w:rPr>
            <w:fldChar w:fldCharType="separate"/>
          </w:r>
          <w:r>
            <w:t>2.1.2工程建设过程</w:t>
          </w:r>
          <w:r>
            <w:tab/>
          </w:r>
          <w:r>
            <w:fldChar w:fldCharType="begin"/>
          </w:r>
          <w:r>
            <w:instrText xml:space="preserve"> PAGEREF _Toc9555 \h </w:instrText>
          </w:r>
          <w:r>
            <w:fldChar w:fldCharType="separate"/>
          </w:r>
          <w:r>
            <w:t>11</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_Toc30101 </w:instrText>
          </w:r>
          <w:r>
            <w:rPr>
              <w:rFonts w:ascii="Times New Roman" w:hAnsi="Times New Roman" w:eastAsia="Times New Roman" w:cs="Times New Roman"/>
              <w:szCs w:val="24"/>
            </w:rPr>
            <w:fldChar w:fldCharType="separate"/>
          </w:r>
          <w:r>
            <w:t>2.2工程概况</w:t>
          </w:r>
          <w:r>
            <w:tab/>
          </w:r>
          <w:r>
            <w:fldChar w:fldCharType="begin"/>
          </w:r>
          <w:r>
            <w:instrText xml:space="preserve"> PAGEREF _Toc30101 \h </w:instrText>
          </w:r>
          <w:r>
            <w:fldChar w:fldCharType="separate"/>
          </w:r>
          <w:r>
            <w:t>12</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_Toc19740 </w:instrText>
          </w:r>
          <w:r>
            <w:rPr>
              <w:rFonts w:ascii="Times New Roman" w:hAnsi="Times New Roman" w:eastAsia="Times New Roman" w:cs="Times New Roman"/>
              <w:szCs w:val="24"/>
            </w:rPr>
            <w:fldChar w:fldCharType="separate"/>
          </w:r>
          <w:r>
            <w:t>2.2.1地理位置</w:t>
          </w:r>
          <w:r>
            <w:tab/>
          </w:r>
          <w:r>
            <w:fldChar w:fldCharType="begin"/>
          </w:r>
          <w:r>
            <w:instrText xml:space="preserve"> PAGEREF _Toc19740 \h </w:instrText>
          </w:r>
          <w:r>
            <w:fldChar w:fldCharType="separate"/>
          </w:r>
          <w:r>
            <w:t>12</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_Toc22992 </w:instrText>
          </w:r>
          <w:r>
            <w:rPr>
              <w:rFonts w:ascii="Times New Roman" w:hAnsi="Times New Roman" w:eastAsia="Times New Roman" w:cs="Times New Roman"/>
              <w:szCs w:val="24"/>
            </w:rPr>
            <w:fldChar w:fldCharType="separate"/>
          </w:r>
          <w:r>
            <w:t>2.2.2工程规模</w:t>
          </w:r>
          <w:r>
            <w:tab/>
          </w:r>
          <w:r>
            <w:fldChar w:fldCharType="begin"/>
          </w:r>
          <w:r>
            <w:instrText xml:space="preserve"> PAGEREF _Toc22992 \h </w:instrText>
          </w:r>
          <w:r>
            <w:fldChar w:fldCharType="separate"/>
          </w:r>
          <w:r>
            <w:t>12</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_Toc30027 </w:instrText>
          </w:r>
          <w:r>
            <w:rPr>
              <w:rFonts w:ascii="Times New Roman" w:hAnsi="Times New Roman" w:eastAsia="Times New Roman" w:cs="Times New Roman"/>
              <w:szCs w:val="24"/>
            </w:rPr>
            <w:fldChar w:fldCharType="separate"/>
          </w:r>
          <w:r>
            <w:t>2.2.3工程特性</w:t>
          </w:r>
          <w:r>
            <w:tab/>
          </w:r>
          <w:r>
            <w:fldChar w:fldCharType="begin"/>
          </w:r>
          <w:r>
            <w:instrText xml:space="preserve"> PAGEREF _Toc30027 \h </w:instrText>
          </w:r>
          <w:r>
            <w:fldChar w:fldCharType="separate"/>
          </w:r>
          <w:r>
            <w:t>16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_Toc11204 </w:instrText>
          </w:r>
          <w:r>
            <w:rPr>
              <w:rFonts w:ascii="Times New Roman" w:hAnsi="Times New Roman" w:eastAsia="Times New Roman" w:cs="Times New Roman"/>
              <w:szCs w:val="24"/>
            </w:rPr>
            <w:fldChar w:fldCharType="separate"/>
          </w:r>
          <w:r>
            <w:t>2.2.4运行方式</w:t>
          </w:r>
          <w:r>
            <w:tab/>
          </w:r>
          <w:r>
            <w:fldChar w:fldCharType="begin"/>
          </w:r>
          <w:r>
            <w:instrText xml:space="preserve"> PAGEREF _Toc11204 \h </w:instrText>
          </w:r>
          <w:r>
            <w:fldChar w:fldCharType="separate"/>
          </w:r>
          <w:r>
            <w:t>17</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_Toc17551 </w:instrText>
          </w:r>
          <w:r>
            <w:rPr>
              <w:rFonts w:ascii="Times New Roman" w:hAnsi="Times New Roman" w:eastAsia="Times New Roman" w:cs="Times New Roman"/>
              <w:szCs w:val="24"/>
            </w:rPr>
            <w:fldChar w:fldCharType="separate"/>
          </w:r>
          <w:r>
            <w:t>2.2.</w:t>
          </w:r>
          <w:r>
            <w:rPr>
              <w:rFonts w:hint="eastAsia"/>
              <w:lang w:val="en-US" w:eastAsia="zh-CN"/>
            </w:rPr>
            <w:t>5</w:t>
          </w:r>
          <w:r>
            <w:t>工程项目组成</w:t>
          </w:r>
          <w:r>
            <w:tab/>
          </w:r>
          <w:r>
            <w:fldChar w:fldCharType="begin"/>
          </w:r>
          <w:r>
            <w:instrText xml:space="preserve"> PAGEREF _Toc17551 \h </w:instrText>
          </w:r>
          <w:r>
            <w:fldChar w:fldCharType="separate"/>
          </w:r>
          <w:r>
            <w:t>17</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_Toc190 </w:instrText>
          </w:r>
          <w:r>
            <w:rPr>
              <w:rFonts w:ascii="Times New Roman" w:hAnsi="Times New Roman" w:eastAsia="Times New Roman" w:cs="Times New Roman"/>
              <w:szCs w:val="24"/>
            </w:rPr>
            <w:fldChar w:fldCharType="separate"/>
          </w:r>
          <w:r>
            <w:t>2.2.</w:t>
          </w:r>
          <w:r>
            <w:rPr>
              <w:rFonts w:hint="eastAsia"/>
              <w:lang w:val="en-US" w:eastAsia="zh-CN"/>
            </w:rPr>
            <w:t>6</w:t>
          </w:r>
          <w:r>
            <w:t>工程布置及主要建筑物</w:t>
          </w:r>
          <w:r>
            <w:tab/>
          </w:r>
          <w:r>
            <w:fldChar w:fldCharType="begin"/>
          </w:r>
          <w:r>
            <w:instrText xml:space="preserve"> PAGEREF _Toc190 \h </w:instrText>
          </w:r>
          <w:r>
            <w:fldChar w:fldCharType="separate"/>
          </w:r>
          <w:r>
            <w:t>19</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_Toc18159 </w:instrText>
          </w:r>
          <w:r>
            <w:rPr>
              <w:rFonts w:ascii="Times New Roman" w:hAnsi="Times New Roman" w:eastAsia="Times New Roman" w:cs="Times New Roman"/>
              <w:szCs w:val="24"/>
            </w:rPr>
            <w:fldChar w:fldCharType="separate"/>
          </w:r>
          <w:r>
            <w:t>2.2.</w:t>
          </w:r>
          <w:r>
            <w:rPr>
              <w:rFonts w:hint="eastAsia"/>
              <w:lang w:val="en-US" w:eastAsia="zh-CN"/>
            </w:rPr>
            <w:t>7</w:t>
          </w:r>
          <w:r>
            <w:t>配套工程</w:t>
          </w:r>
          <w:r>
            <w:tab/>
          </w:r>
          <w:r>
            <w:fldChar w:fldCharType="begin"/>
          </w:r>
          <w:r>
            <w:instrText xml:space="preserve"> PAGEREF _Toc18159 \h </w:instrText>
          </w:r>
          <w:r>
            <w:fldChar w:fldCharType="separate"/>
          </w:r>
          <w:r>
            <w:t>19</w:t>
          </w:r>
          <w:r>
            <w:fldChar w:fldCharType="end"/>
          </w:r>
          <w:r>
            <w:rPr>
              <w:rFonts w:ascii="Times New Roman" w:hAnsi="Times New Roman" w:eastAsia="Times New Roman" w:cs="Times New Roman"/>
              <w:szCs w:val="24"/>
            </w:rPr>
            <w:fldChar w:fldCharType="end"/>
          </w:r>
        </w:p>
        <w:p>
          <w:pPr>
            <w:pStyle w:val="23"/>
            <w:keepNext w:val="0"/>
            <w:keepLines w:val="0"/>
            <w:pageBreakBefore w:val="0"/>
            <w:widowControl/>
            <w:tabs>
              <w:tab w:val="right" w:leader="dot" w:pos="8306"/>
            </w:tabs>
            <w:kinsoku/>
            <w:wordWrap/>
            <w:overflowPunct/>
            <w:topLinePunct w:val="0"/>
            <w:autoSpaceDE/>
            <w:autoSpaceDN/>
            <w:bidi w:val="0"/>
            <w:adjustRightInd/>
            <w:snapToGrid/>
            <w:ind w:left="960" w:leftChars="400"/>
            <w:textAlignment w:val="auto"/>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_Toc22454 </w:instrText>
          </w:r>
          <w:r>
            <w:rPr>
              <w:rFonts w:ascii="Times New Roman" w:hAnsi="Times New Roman" w:eastAsia="Times New Roman" w:cs="Times New Roman"/>
              <w:szCs w:val="24"/>
            </w:rPr>
            <w:fldChar w:fldCharType="separate"/>
          </w:r>
          <w:r>
            <w:t>2.2.</w:t>
          </w:r>
          <w:r>
            <w:rPr>
              <w:rFonts w:hint="eastAsia"/>
              <w:lang w:val="en-US" w:eastAsia="zh-CN"/>
            </w:rPr>
            <w:t>8</w:t>
          </w:r>
          <w:r>
            <w:t>项目占地、土石方平衡等</w:t>
          </w:r>
          <w:r>
            <w:tab/>
          </w:r>
          <w:r>
            <w:fldChar w:fldCharType="begin"/>
          </w:r>
          <w:r>
            <w:instrText xml:space="preserve"> PAGEREF _Toc22454 \h </w:instrText>
          </w:r>
          <w:r>
            <w:fldChar w:fldCharType="separate"/>
          </w:r>
          <w:r>
            <w:t>20</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_Toc31369 </w:instrText>
          </w:r>
          <w:r>
            <w:rPr>
              <w:rFonts w:ascii="Times New Roman" w:hAnsi="Times New Roman" w:eastAsia="Times New Roman" w:cs="Times New Roman"/>
              <w:szCs w:val="24"/>
            </w:rPr>
            <w:fldChar w:fldCharType="separate"/>
          </w:r>
          <w:r>
            <w:rPr>
              <w:rFonts w:hint="eastAsia"/>
              <w:lang w:val="en-US" w:eastAsia="zh-CN"/>
            </w:rPr>
            <w:t>2.2.9施工期工艺流程</w:t>
          </w:r>
          <w:r>
            <w:tab/>
          </w:r>
          <w:r>
            <w:fldChar w:fldCharType="begin"/>
          </w:r>
          <w:r>
            <w:instrText xml:space="preserve"> PAGEREF _Toc31369 \h </w:instrText>
          </w:r>
          <w:r>
            <w:fldChar w:fldCharType="separate"/>
          </w:r>
          <w:r>
            <w:t>21</w:t>
          </w:r>
          <w:r>
            <w:fldChar w:fldCharType="end"/>
          </w:r>
          <w:r>
            <w:rPr>
              <w:rFonts w:ascii="Times New Roman" w:hAnsi="Times New Roman" w:eastAsia="Times New Roman" w:cs="Times New Roman"/>
              <w:szCs w:val="24"/>
            </w:rPr>
            <w:fldChar w:fldCharType="end"/>
          </w:r>
        </w:p>
        <w:p>
          <w:pPr>
            <w:pStyle w:val="22"/>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_Toc29794 </w:instrText>
          </w:r>
          <w:r>
            <w:rPr>
              <w:rFonts w:ascii="Times New Roman" w:hAnsi="Times New Roman" w:eastAsia="Times New Roman" w:cs="Times New Roman"/>
              <w:szCs w:val="24"/>
            </w:rPr>
            <w:fldChar w:fldCharType="separate"/>
          </w:r>
          <w:r>
            <w:t>三</w:t>
          </w:r>
          <w:r>
            <w:rPr>
              <w:rFonts w:hint="eastAsia"/>
              <w:lang w:val="en-US" w:eastAsia="zh-CN"/>
            </w:rPr>
            <w:t xml:space="preserve"> </w:t>
          </w:r>
          <w:r>
            <w:t>环评回顾及批复要求</w:t>
          </w:r>
          <w:r>
            <w:tab/>
          </w:r>
          <w:r>
            <w:fldChar w:fldCharType="begin"/>
          </w:r>
          <w:r>
            <w:instrText xml:space="preserve"> PAGEREF _Toc29794 \h </w:instrText>
          </w:r>
          <w:r>
            <w:fldChar w:fldCharType="separate"/>
          </w:r>
          <w:r>
            <w:t>25</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_Toc19047 </w:instrText>
          </w:r>
          <w:r>
            <w:rPr>
              <w:rFonts w:ascii="Times New Roman" w:hAnsi="Times New Roman" w:eastAsia="Times New Roman" w:cs="Times New Roman"/>
              <w:szCs w:val="24"/>
            </w:rPr>
            <w:fldChar w:fldCharType="separate"/>
          </w:r>
          <w:r>
            <w:t>3.1环境影响评价过程</w:t>
          </w:r>
          <w:r>
            <w:tab/>
          </w:r>
          <w:r>
            <w:fldChar w:fldCharType="begin"/>
          </w:r>
          <w:r>
            <w:instrText xml:space="preserve"> PAGEREF _Toc19047 \h </w:instrText>
          </w:r>
          <w:r>
            <w:fldChar w:fldCharType="separate"/>
          </w:r>
          <w:r>
            <w:t>25</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_Toc3557 </w:instrText>
          </w:r>
          <w:r>
            <w:rPr>
              <w:rFonts w:ascii="Times New Roman" w:hAnsi="Times New Roman" w:eastAsia="Times New Roman" w:cs="Times New Roman"/>
              <w:szCs w:val="24"/>
            </w:rPr>
            <w:fldChar w:fldCharType="separate"/>
          </w:r>
          <w:r>
            <w:t>3.2生态功能区划</w:t>
          </w:r>
          <w:r>
            <w:tab/>
          </w:r>
          <w:r>
            <w:fldChar w:fldCharType="begin"/>
          </w:r>
          <w:r>
            <w:instrText xml:space="preserve"> PAGEREF _Toc3557 \h </w:instrText>
          </w:r>
          <w:r>
            <w:fldChar w:fldCharType="separate"/>
          </w:r>
          <w:r>
            <w:t>25</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_Toc294 </w:instrText>
          </w:r>
          <w:r>
            <w:rPr>
              <w:rFonts w:ascii="Times New Roman" w:hAnsi="Times New Roman" w:eastAsia="Times New Roman" w:cs="Times New Roman"/>
              <w:szCs w:val="24"/>
            </w:rPr>
            <w:fldChar w:fldCharType="separate"/>
          </w:r>
          <w:r>
            <w:t>3.3环境影响评价报告评价结论</w:t>
          </w:r>
          <w:r>
            <w:tab/>
          </w:r>
          <w:r>
            <w:fldChar w:fldCharType="begin"/>
          </w:r>
          <w:r>
            <w:instrText xml:space="preserve"> PAGEREF _Toc294 \h </w:instrText>
          </w:r>
          <w:r>
            <w:fldChar w:fldCharType="separate"/>
          </w:r>
          <w:r>
            <w:t>26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_Toc27739 </w:instrText>
          </w:r>
          <w:r>
            <w:rPr>
              <w:rFonts w:ascii="Times New Roman" w:hAnsi="Times New Roman" w:eastAsia="Times New Roman" w:cs="Times New Roman"/>
              <w:szCs w:val="24"/>
            </w:rPr>
            <w:fldChar w:fldCharType="separate"/>
          </w:r>
          <w:r>
            <w:t>3.3.1工程概况</w:t>
          </w:r>
          <w:r>
            <w:tab/>
          </w:r>
          <w:r>
            <w:fldChar w:fldCharType="begin"/>
          </w:r>
          <w:r>
            <w:instrText xml:space="preserve"> PAGEREF _Toc27739 \h </w:instrText>
          </w:r>
          <w:r>
            <w:fldChar w:fldCharType="separate"/>
          </w:r>
          <w:r>
            <w:t>26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_Toc5567 </w:instrText>
          </w:r>
          <w:r>
            <w:rPr>
              <w:rFonts w:ascii="Times New Roman" w:hAnsi="Times New Roman" w:eastAsia="Times New Roman" w:cs="Times New Roman"/>
              <w:szCs w:val="24"/>
            </w:rPr>
            <w:fldChar w:fldCharType="separate"/>
          </w:r>
          <w:r>
            <w:t>3.3.2工程合理性分析</w:t>
          </w:r>
          <w:r>
            <w:tab/>
          </w:r>
          <w:r>
            <w:fldChar w:fldCharType="begin"/>
          </w:r>
          <w:r>
            <w:instrText xml:space="preserve"> PAGEREF _Toc5567 \h </w:instrText>
          </w:r>
          <w:r>
            <w:fldChar w:fldCharType="separate"/>
          </w:r>
          <w:r>
            <w:t>26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_Toc22017 </w:instrText>
          </w:r>
          <w:r>
            <w:rPr>
              <w:rFonts w:ascii="Times New Roman" w:hAnsi="Times New Roman" w:eastAsia="Times New Roman" w:cs="Times New Roman"/>
              <w:szCs w:val="24"/>
            </w:rPr>
            <w:fldChar w:fldCharType="separate"/>
          </w:r>
          <w:r>
            <w:t>3.3.2.1项目产业政策相符性</w:t>
          </w:r>
          <w:r>
            <w:tab/>
          </w:r>
          <w:r>
            <w:fldChar w:fldCharType="begin"/>
          </w:r>
          <w:r>
            <w:instrText xml:space="preserve"> PAGEREF _Toc22017 \h </w:instrText>
          </w:r>
          <w:r>
            <w:fldChar w:fldCharType="separate"/>
          </w:r>
          <w:r>
            <w:t>26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_Toc10144 </w:instrText>
          </w:r>
          <w:r>
            <w:rPr>
              <w:rFonts w:ascii="Times New Roman" w:hAnsi="Times New Roman" w:eastAsia="Times New Roman" w:cs="Times New Roman"/>
              <w:szCs w:val="24"/>
            </w:rPr>
            <w:fldChar w:fldCharType="separate"/>
          </w:r>
          <w:r>
            <w:t>3.3.2.2</w:t>
          </w:r>
          <w:r>
            <w:rPr>
              <w:lang w:val="en-US" w:eastAsia="en-US"/>
            </w:rPr>
            <w:t>奎屯一独山子经济技术开发区</w:t>
          </w:r>
          <w:r>
            <w:t>规划相符性</w:t>
          </w:r>
          <w:r>
            <w:tab/>
          </w:r>
          <w:r>
            <w:fldChar w:fldCharType="begin"/>
          </w:r>
          <w:r>
            <w:instrText xml:space="preserve"> PAGEREF _Toc10144 \h </w:instrText>
          </w:r>
          <w:r>
            <w:fldChar w:fldCharType="separate"/>
          </w:r>
          <w:r>
            <w:t>26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_Toc25729 </w:instrText>
          </w:r>
          <w:r>
            <w:rPr>
              <w:rFonts w:ascii="Times New Roman" w:hAnsi="Times New Roman" w:eastAsia="Times New Roman" w:cs="Times New Roman"/>
              <w:szCs w:val="24"/>
            </w:rPr>
            <w:fldChar w:fldCharType="separate"/>
          </w:r>
          <w:r>
            <w:t>3.3.2.3项目选址可行性</w:t>
          </w:r>
          <w:r>
            <w:tab/>
          </w:r>
          <w:r>
            <w:fldChar w:fldCharType="begin"/>
          </w:r>
          <w:r>
            <w:instrText xml:space="preserve"> PAGEREF _Toc25729 \h </w:instrText>
          </w:r>
          <w:r>
            <w:fldChar w:fldCharType="separate"/>
          </w:r>
          <w:r>
            <w:t>27</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_Toc7631 </w:instrText>
          </w:r>
          <w:r>
            <w:rPr>
              <w:rFonts w:ascii="Times New Roman" w:hAnsi="Times New Roman" w:eastAsia="Times New Roman" w:cs="Times New Roman"/>
              <w:szCs w:val="24"/>
            </w:rPr>
            <w:fldChar w:fldCharType="separate"/>
          </w:r>
          <w:r>
            <w:t>3.3.3环境现状评价结论</w:t>
          </w:r>
          <w:r>
            <w:tab/>
          </w:r>
          <w:r>
            <w:fldChar w:fldCharType="begin"/>
          </w:r>
          <w:r>
            <w:instrText xml:space="preserve"> PAGEREF _Toc7631 \h </w:instrText>
          </w:r>
          <w:r>
            <w:fldChar w:fldCharType="separate"/>
          </w:r>
          <w:r>
            <w:t>27</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_Toc15174 </w:instrText>
          </w:r>
          <w:r>
            <w:rPr>
              <w:rFonts w:ascii="Times New Roman" w:hAnsi="Times New Roman" w:eastAsia="Times New Roman" w:cs="Times New Roman"/>
              <w:szCs w:val="24"/>
            </w:rPr>
            <w:fldChar w:fldCharType="separate"/>
          </w:r>
          <w:r>
            <w:t>3.4环境影响</w:t>
          </w:r>
          <w:r>
            <w:rPr>
              <w:rFonts w:hint="eastAsia"/>
              <w:lang w:val="en-US" w:eastAsia="zh-CN"/>
            </w:rPr>
            <w:t>分析与</w:t>
          </w:r>
          <w:r>
            <w:t>评价结论</w:t>
          </w:r>
          <w:r>
            <w:tab/>
          </w:r>
          <w:r>
            <w:fldChar w:fldCharType="begin"/>
          </w:r>
          <w:r>
            <w:instrText xml:space="preserve"> PAGEREF _Toc15174 \h </w:instrText>
          </w:r>
          <w:r>
            <w:fldChar w:fldCharType="separate"/>
          </w:r>
          <w:r>
            <w:t>30</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_Toc28551 </w:instrText>
          </w:r>
          <w:r>
            <w:rPr>
              <w:rFonts w:ascii="Times New Roman" w:hAnsi="Times New Roman" w:eastAsia="Times New Roman" w:cs="Times New Roman"/>
              <w:szCs w:val="24"/>
            </w:rPr>
            <w:fldChar w:fldCharType="separate"/>
          </w:r>
          <w:r>
            <w:t>3.4.1施工期环境影响预测及评价结论</w:t>
          </w:r>
          <w:r>
            <w:tab/>
          </w:r>
          <w:r>
            <w:fldChar w:fldCharType="begin"/>
          </w:r>
          <w:r>
            <w:instrText xml:space="preserve"> PAGEREF _Toc28551 \h </w:instrText>
          </w:r>
          <w:r>
            <w:fldChar w:fldCharType="separate"/>
          </w:r>
          <w:r>
            <w:t>30</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_Toc12124 </w:instrText>
          </w:r>
          <w:r>
            <w:rPr>
              <w:rFonts w:ascii="Times New Roman" w:hAnsi="Times New Roman" w:eastAsia="Times New Roman" w:cs="Times New Roman"/>
              <w:szCs w:val="24"/>
            </w:rPr>
            <w:fldChar w:fldCharType="separate"/>
          </w:r>
          <w:r>
            <w:rPr>
              <w:rFonts w:hint="eastAsia"/>
              <w:lang w:val="en-US" w:eastAsia="zh-CN"/>
            </w:rPr>
            <w:t>3</w:t>
          </w:r>
          <w:r>
            <w:t>.4.2运营期</w:t>
          </w:r>
          <w:r>
            <w:tab/>
          </w:r>
          <w:r>
            <w:fldChar w:fldCharType="begin"/>
          </w:r>
          <w:r>
            <w:instrText xml:space="preserve"> PAGEREF _Toc12124 \h </w:instrText>
          </w:r>
          <w:r>
            <w:fldChar w:fldCharType="separate"/>
          </w:r>
          <w:r>
            <w:t>34</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_Toc28972 </w:instrText>
          </w:r>
          <w:r>
            <w:rPr>
              <w:rFonts w:ascii="Times New Roman" w:hAnsi="Times New Roman" w:eastAsia="Times New Roman" w:cs="Times New Roman"/>
              <w:szCs w:val="24"/>
            </w:rPr>
            <w:fldChar w:fldCharType="separate"/>
          </w:r>
          <w:r>
            <w:rPr>
              <w:rFonts w:hint="eastAsia"/>
              <w:lang w:val="en-US" w:eastAsia="zh-CN"/>
            </w:rPr>
            <w:t>3.5</w:t>
          </w:r>
          <w:r>
            <w:t>综合评价结论</w:t>
          </w:r>
          <w:r>
            <w:tab/>
          </w:r>
          <w:r>
            <w:fldChar w:fldCharType="begin"/>
          </w:r>
          <w:r>
            <w:instrText xml:space="preserve"> PAGEREF _Toc28972 \h </w:instrText>
          </w:r>
          <w:r>
            <w:fldChar w:fldCharType="separate"/>
          </w:r>
          <w:r>
            <w:t>36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_Toc31117 </w:instrText>
          </w:r>
          <w:r>
            <w:rPr>
              <w:rFonts w:ascii="Times New Roman" w:hAnsi="Times New Roman" w:eastAsia="Times New Roman" w:cs="Times New Roman"/>
              <w:szCs w:val="24"/>
            </w:rPr>
            <w:fldChar w:fldCharType="separate"/>
          </w:r>
          <w:r>
            <w:rPr>
              <w:rFonts w:hint="eastAsia"/>
              <w:lang w:val="en-US" w:eastAsia="zh-CN"/>
            </w:rPr>
            <w:t>3.5.1</w:t>
          </w:r>
          <w:r>
            <w:t>建议</w:t>
          </w:r>
          <w:r>
            <w:tab/>
          </w:r>
          <w:r>
            <w:fldChar w:fldCharType="begin"/>
          </w:r>
          <w:r>
            <w:instrText xml:space="preserve"> PAGEREF _Toc31117 \h </w:instrText>
          </w:r>
          <w:r>
            <w:fldChar w:fldCharType="separate"/>
          </w:r>
          <w:r>
            <w:t>36</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_Toc1467 </w:instrText>
          </w:r>
          <w:r>
            <w:rPr>
              <w:rFonts w:ascii="Times New Roman" w:hAnsi="Times New Roman" w:eastAsia="Times New Roman" w:cs="Times New Roman"/>
              <w:szCs w:val="24"/>
            </w:rPr>
            <w:fldChar w:fldCharType="separate"/>
          </w:r>
          <w:r>
            <w:t>3.6环境影响报告书批复</w:t>
          </w:r>
          <w:r>
            <w:tab/>
          </w:r>
          <w:r>
            <w:fldChar w:fldCharType="begin"/>
          </w:r>
          <w:r>
            <w:instrText xml:space="preserve"> PAGEREF _Toc1467 \h </w:instrText>
          </w:r>
          <w:r>
            <w:fldChar w:fldCharType="separate"/>
          </w:r>
          <w:r>
            <w:t>36</w:t>
          </w:r>
          <w:r>
            <w:fldChar w:fldCharType="end"/>
          </w:r>
          <w:r>
            <w:rPr>
              <w:rFonts w:ascii="Times New Roman" w:hAnsi="Times New Roman" w:eastAsia="Times New Roman" w:cs="Times New Roman"/>
              <w:szCs w:val="24"/>
            </w:rPr>
            <w:fldChar w:fldCharType="end"/>
          </w:r>
        </w:p>
        <w:p>
          <w:pPr>
            <w:pStyle w:val="22"/>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_Toc16120 </w:instrText>
          </w:r>
          <w:r>
            <w:rPr>
              <w:rFonts w:ascii="Times New Roman" w:hAnsi="Times New Roman" w:eastAsia="Times New Roman" w:cs="Times New Roman"/>
              <w:szCs w:val="24"/>
            </w:rPr>
            <w:fldChar w:fldCharType="separate"/>
          </w:r>
          <w:r>
            <w:t>四 环境保护措施落实情况调查</w:t>
          </w:r>
          <w:r>
            <w:tab/>
          </w:r>
          <w:r>
            <w:fldChar w:fldCharType="begin"/>
          </w:r>
          <w:r>
            <w:instrText xml:space="preserve"> PAGEREF _Toc16120 \h </w:instrText>
          </w:r>
          <w:r>
            <w:fldChar w:fldCharType="separate"/>
          </w:r>
          <w:r>
            <w:t>39</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_Toc9370 </w:instrText>
          </w:r>
          <w:r>
            <w:rPr>
              <w:rFonts w:ascii="Times New Roman" w:hAnsi="Times New Roman" w:eastAsia="Times New Roman" w:cs="Times New Roman"/>
              <w:szCs w:val="24"/>
            </w:rPr>
            <w:fldChar w:fldCharType="separate"/>
          </w:r>
          <w:r>
            <w:t>4.1环境影响报告书措施和建议落实情况</w:t>
          </w:r>
          <w:r>
            <w:tab/>
          </w:r>
          <w:r>
            <w:fldChar w:fldCharType="begin"/>
          </w:r>
          <w:r>
            <w:instrText xml:space="preserve"> PAGEREF _Toc9370 \h </w:instrText>
          </w:r>
          <w:r>
            <w:fldChar w:fldCharType="separate"/>
          </w:r>
          <w:r>
            <w:t>39</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_Toc18564 </w:instrText>
          </w:r>
          <w:r>
            <w:rPr>
              <w:rFonts w:ascii="Times New Roman" w:hAnsi="Times New Roman" w:eastAsia="Times New Roman" w:cs="Times New Roman"/>
              <w:szCs w:val="24"/>
            </w:rPr>
            <w:fldChar w:fldCharType="separate"/>
          </w:r>
          <w:r>
            <w:t>4.</w:t>
          </w:r>
          <w:r>
            <w:rPr>
              <w:rFonts w:hint="eastAsia"/>
              <w:lang w:val="en-US" w:eastAsia="zh-CN"/>
            </w:rPr>
            <w:t>2环评批复提出的环保</w:t>
          </w:r>
          <w:r>
            <w:t>措施落实情况</w:t>
          </w:r>
          <w:r>
            <w:tab/>
          </w:r>
          <w:r>
            <w:fldChar w:fldCharType="begin"/>
          </w:r>
          <w:r>
            <w:instrText xml:space="preserve"> PAGEREF _Toc18564 \h </w:instrText>
          </w:r>
          <w:r>
            <w:fldChar w:fldCharType="separate"/>
          </w:r>
          <w:r>
            <w:t>43</w:t>
          </w:r>
          <w:r>
            <w:fldChar w:fldCharType="end"/>
          </w:r>
          <w:r>
            <w:rPr>
              <w:rFonts w:ascii="Times New Roman" w:hAnsi="Times New Roman" w:eastAsia="Times New Roman" w:cs="Times New Roman"/>
              <w:szCs w:val="24"/>
            </w:rPr>
            <w:fldChar w:fldCharType="end"/>
          </w:r>
        </w:p>
        <w:p>
          <w:pPr>
            <w:pStyle w:val="22"/>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_Toc6465 </w:instrText>
          </w:r>
          <w:r>
            <w:rPr>
              <w:rFonts w:ascii="Times New Roman" w:hAnsi="Times New Roman" w:eastAsia="Times New Roman" w:cs="Times New Roman"/>
              <w:szCs w:val="24"/>
            </w:rPr>
            <w:fldChar w:fldCharType="separate"/>
          </w:r>
          <w:r>
            <w:t>五 环境影响调查</w:t>
          </w:r>
          <w:r>
            <w:tab/>
          </w:r>
          <w:r>
            <w:fldChar w:fldCharType="begin"/>
          </w:r>
          <w:r>
            <w:instrText xml:space="preserve"> PAGEREF _Toc6465 \h </w:instrText>
          </w:r>
          <w:r>
            <w:fldChar w:fldCharType="separate"/>
          </w:r>
          <w:r>
            <w:t>45</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_Toc205 </w:instrText>
          </w:r>
          <w:r>
            <w:rPr>
              <w:rFonts w:ascii="Times New Roman" w:hAnsi="Times New Roman" w:eastAsia="Times New Roman" w:cs="Times New Roman"/>
              <w:szCs w:val="24"/>
            </w:rPr>
            <w:fldChar w:fldCharType="separate"/>
          </w:r>
          <w:r>
            <w:t>5.1生态环境调查</w:t>
          </w:r>
          <w:r>
            <w:tab/>
          </w:r>
          <w:r>
            <w:fldChar w:fldCharType="begin"/>
          </w:r>
          <w:r>
            <w:instrText xml:space="preserve"> PAGEREF _Toc205 \h </w:instrText>
          </w:r>
          <w:r>
            <w:fldChar w:fldCharType="separate"/>
          </w:r>
          <w:r>
            <w:t>45</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_Toc20306 </w:instrText>
          </w:r>
          <w:r>
            <w:rPr>
              <w:rFonts w:ascii="Times New Roman" w:hAnsi="Times New Roman" w:eastAsia="Times New Roman" w:cs="Times New Roman"/>
              <w:szCs w:val="24"/>
            </w:rPr>
            <w:fldChar w:fldCharType="separate"/>
          </w:r>
          <w:r>
            <w:t>5.1.1施工期对生态的影响</w:t>
          </w:r>
          <w:r>
            <w:tab/>
          </w:r>
          <w:r>
            <w:fldChar w:fldCharType="begin"/>
          </w:r>
          <w:r>
            <w:instrText xml:space="preserve"> PAGEREF _Toc20306 \h </w:instrText>
          </w:r>
          <w:r>
            <w:fldChar w:fldCharType="separate"/>
          </w:r>
          <w:r>
            <w:t>45</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_Toc23796 </w:instrText>
          </w:r>
          <w:r>
            <w:rPr>
              <w:rFonts w:ascii="Times New Roman" w:hAnsi="Times New Roman" w:eastAsia="Times New Roman" w:cs="Times New Roman"/>
              <w:szCs w:val="24"/>
            </w:rPr>
            <w:fldChar w:fldCharType="separate"/>
          </w:r>
          <w:r>
            <w:t>5.1.2运营期对生态的影响</w:t>
          </w:r>
          <w:r>
            <w:tab/>
          </w:r>
          <w:r>
            <w:fldChar w:fldCharType="begin"/>
          </w:r>
          <w:r>
            <w:instrText xml:space="preserve"> PAGEREF _Toc23796 \h </w:instrText>
          </w:r>
          <w:r>
            <w:fldChar w:fldCharType="separate"/>
          </w:r>
          <w:r>
            <w:t>45</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_Toc16425 </w:instrText>
          </w:r>
          <w:r>
            <w:rPr>
              <w:rFonts w:ascii="Times New Roman" w:hAnsi="Times New Roman" w:eastAsia="Times New Roman" w:cs="Times New Roman"/>
              <w:szCs w:val="24"/>
            </w:rPr>
            <w:fldChar w:fldCharType="separate"/>
          </w:r>
          <w:r>
            <w:t>5.2水环境调查</w:t>
          </w:r>
          <w:r>
            <w:tab/>
          </w:r>
          <w:r>
            <w:fldChar w:fldCharType="begin"/>
          </w:r>
          <w:r>
            <w:instrText xml:space="preserve"> PAGEREF _Toc16425 \h </w:instrText>
          </w:r>
          <w:r>
            <w:fldChar w:fldCharType="separate"/>
          </w:r>
          <w:r>
            <w:t>46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_Toc11945 </w:instrText>
          </w:r>
          <w:r>
            <w:rPr>
              <w:rFonts w:ascii="Times New Roman" w:hAnsi="Times New Roman" w:eastAsia="Times New Roman" w:cs="Times New Roman"/>
              <w:szCs w:val="24"/>
            </w:rPr>
            <w:fldChar w:fldCharType="separate"/>
          </w:r>
          <w:r>
            <w:t>5.2.1施工期对水环境的影响</w:t>
          </w:r>
          <w:r>
            <w:tab/>
          </w:r>
          <w:r>
            <w:fldChar w:fldCharType="begin"/>
          </w:r>
          <w:r>
            <w:instrText xml:space="preserve"> PAGEREF _Toc11945 \h </w:instrText>
          </w:r>
          <w:r>
            <w:fldChar w:fldCharType="separate"/>
          </w:r>
          <w:r>
            <w:t>46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_Toc11794 </w:instrText>
          </w:r>
          <w:r>
            <w:rPr>
              <w:rFonts w:ascii="Times New Roman" w:hAnsi="Times New Roman" w:eastAsia="Times New Roman" w:cs="Times New Roman"/>
              <w:szCs w:val="24"/>
            </w:rPr>
            <w:fldChar w:fldCharType="separate"/>
          </w:r>
          <w:r>
            <w:t>5.2.2营运期对水环境的影响</w:t>
          </w:r>
          <w:r>
            <w:tab/>
          </w:r>
          <w:r>
            <w:fldChar w:fldCharType="begin"/>
          </w:r>
          <w:r>
            <w:instrText xml:space="preserve"> PAGEREF _Toc11794 \h </w:instrText>
          </w:r>
          <w:r>
            <w:fldChar w:fldCharType="separate"/>
          </w:r>
          <w:r>
            <w:t>46</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_Toc22417 </w:instrText>
          </w:r>
          <w:r>
            <w:rPr>
              <w:rFonts w:ascii="Times New Roman" w:hAnsi="Times New Roman" w:eastAsia="Times New Roman" w:cs="Times New Roman"/>
              <w:szCs w:val="24"/>
            </w:rPr>
            <w:fldChar w:fldCharType="separate"/>
          </w:r>
          <w:r>
            <w:t>5.3环境空气调查</w:t>
          </w:r>
          <w:r>
            <w:tab/>
          </w:r>
          <w:r>
            <w:fldChar w:fldCharType="begin"/>
          </w:r>
          <w:r>
            <w:instrText xml:space="preserve"> PAGEREF _Toc22417 \h </w:instrText>
          </w:r>
          <w:r>
            <w:fldChar w:fldCharType="separate"/>
          </w:r>
          <w:r>
            <w:t>46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_Toc2709 </w:instrText>
          </w:r>
          <w:r>
            <w:rPr>
              <w:rFonts w:ascii="Times New Roman" w:hAnsi="Times New Roman" w:eastAsia="Times New Roman" w:cs="Times New Roman"/>
              <w:szCs w:val="24"/>
            </w:rPr>
            <w:fldChar w:fldCharType="separate"/>
          </w:r>
          <w:r>
            <w:t>5.3.1施工期对环境空气的影响</w:t>
          </w:r>
          <w:r>
            <w:tab/>
          </w:r>
          <w:r>
            <w:fldChar w:fldCharType="begin"/>
          </w:r>
          <w:r>
            <w:instrText xml:space="preserve"> PAGEREF _Toc2709 \h </w:instrText>
          </w:r>
          <w:r>
            <w:fldChar w:fldCharType="separate"/>
          </w:r>
          <w:r>
            <w:t>46</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_Toc12016 </w:instrText>
          </w:r>
          <w:r>
            <w:rPr>
              <w:rFonts w:ascii="Times New Roman" w:hAnsi="Times New Roman" w:eastAsia="Times New Roman" w:cs="Times New Roman"/>
              <w:szCs w:val="24"/>
            </w:rPr>
            <w:fldChar w:fldCharType="separate"/>
          </w:r>
          <w:r>
            <w:t>5.3.2营运期对环境空气的影响</w:t>
          </w:r>
          <w:r>
            <w:tab/>
          </w:r>
          <w:r>
            <w:fldChar w:fldCharType="begin"/>
          </w:r>
          <w:r>
            <w:instrText xml:space="preserve"> PAGEREF _Toc12016 \h </w:instrText>
          </w:r>
          <w:r>
            <w:fldChar w:fldCharType="separate"/>
          </w:r>
          <w:r>
            <w:t>46</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_Toc26068 </w:instrText>
          </w:r>
          <w:r>
            <w:rPr>
              <w:rFonts w:ascii="Times New Roman" w:hAnsi="Times New Roman" w:eastAsia="Times New Roman" w:cs="Times New Roman"/>
              <w:szCs w:val="24"/>
            </w:rPr>
            <w:fldChar w:fldCharType="separate"/>
          </w:r>
          <w:r>
            <w:t>5.4声环境调查</w:t>
          </w:r>
          <w:r>
            <w:tab/>
          </w:r>
          <w:r>
            <w:fldChar w:fldCharType="begin"/>
          </w:r>
          <w:r>
            <w:instrText xml:space="preserve"> PAGEREF _Toc26068 \h </w:instrText>
          </w:r>
          <w:r>
            <w:fldChar w:fldCharType="separate"/>
          </w:r>
          <w:r>
            <w:t>47</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_Toc189 </w:instrText>
          </w:r>
          <w:r>
            <w:rPr>
              <w:rFonts w:ascii="Times New Roman" w:hAnsi="Times New Roman" w:eastAsia="Times New Roman" w:cs="Times New Roman"/>
              <w:szCs w:val="24"/>
            </w:rPr>
            <w:fldChar w:fldCharType="separate"/>
          </w:r>
          <w:r>
            <w:t>5.4.1施工期对声环境的影响</w:t>
          </w:r>
          <w:r>
            <w:tab/>
          </w:r>
          <w:r>
            <w:fldChar w:fldCharType="begin"/>
          </w:r>
          <w:r>
            <w:instrText xml:space="preserve"> PAGEREF _Toc189 \h </w:instrText>
          </w:r>
          <w:r>
            <w:fldChar w:fldCharType="separate"/>
          </w:r>
          <w:r>
            <w:t>47</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_Toc12023 </w:instrText>
          </w:r>
          <w:r>
            <w:rPr>
              <w:rFonts w:ascii="Times New Roman" w:hAnsi="Times New Roman" w:eastAsia="Times New Roman" w:cs="Times New Roman"/>
              <w:szCs w:val="24"/>
            </w:rPr>
            <w:fldChar w:fldCharType="separate"/>
          </w:r>
          <w:r>
            <w:t>5.4.2营运期对声环境的影响</w:t>
          </w:r>
          <w:r>
            <w:tab/>
          </w:r>
          <w:r>
            <w:fldChar w:fldCharType="begin"/>
          </w:r>
          <w:r>
            <w:instrText xml:space="preserve"> PAGEREF _Toc12023 \h </w:instrText>
          </w:r>
          <w:r>
            <w:fldChar w:fldCharType="separate"/>
          </w:r>
          <w:r>
            <w:t>47</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_Toc11865 </w:instrText>
          </w:r>
          <w:r>
            <w:rPr>
              <w:rFonts w:ascii="Times New Roman" w:hAnsi="Times New Roman" w:eastAsia="Times New Roman" w:cs="Times New Roman"/>
              <w:szCs w:val="24"/>
            </w:rPr>
            <w:fldChar w:fldCharType="separate"/>
          </w:r>
          <w:r>
            <w:t>5.5固体废物影响调查</w:t>
          </w:r>
          <w:r>
            <w:tab/>
          </w:r>
          <w:r>
            <w:fldChar w:fldCharType="begin"/>
          </w:r>
          <w:r>
            <w:instrText xml:space="preserve"> PAGEREF _Toc11865 \h </w:instrText>
          </w:r>
          <w:r>
            <w:fldChar w:fldCharType="separate"/>
          </w:r>
          <w:r>
            <w:t>47</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_Toc15664 </w:instrText>
          </w:r>
          <w:r>
            <w:rPr>
              <w:rFonts w:ascii="Times New Roman" w:hAnsi="Times New Roman" w:eastAsia="Times New Roman" w:cs="Times New Roman"/>
              <w:szCs w:val="24"/>
            </w:rPr>
            <w:fldChar w:fldCharType="separate"/>
          </w:r>
          <w:r>
            <w:t>5.5.1施工期对声环境的影响</w:t>
          </w:r>
          <w:r>
            <w:tab/>
          </w:r>
          <w:r>
            <w:fldChar w:fldCharType="begin"/>
          </w:r>
          <w:r>
            <w:instrText xml:space="preserve"> PAGEREF _Toc15664 \h </w:instrText>
          </w:r>
          <w:r>
            <w:fldChar w:fldCharType="separate"/>
          </w:r>
          <w:r>
            <w:t>47</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_Toc10277 </w:instrText>
          </w:r>
          <w:r>
            <w:rPr>
              <w:rFonts w:ascii="Times New Roman" w:hAnsi="Times New Roman" w:eastAsia="Times New Roman" w:cs="Times New Roman"/>
              <w:szCs w:val="24"/>
            </w:rPr>
            <w:fldChar w:fldCharType="separate"/>
          </w:r>
          <w:r>
            <w:t>5.5.2营运期对声环境的影响</w:t>
          </w:r>
          <w:r>
            <w:tab/>
          </w:r>
          <w:r>
            <w:fldChar w:fldCharType="begin"/>
          </w:r>
          <w:r>
            <w:instrText xml:space="preserve"> PAGEREF _Toc10277 \h </w:instrText>
          </w:r>
          <w:r>
            <w:fldChar w:fldCharType="separate"/>
          </w:r>
          <w:r>
            <w:t>47</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_Toc9610 </w:instrText>
          </w:r>
          <w:r>
            <w:rPr>
              <w:rFonts w:ascii="Times New Roman" w:hAnsi="Times New Roman" w:eastAsia="Times New Roman" w:cs="Times New Roman"/>
              <w:szCs w:val="24"/>
            </w:rPr>
            <w:fldChar w:fldCharType="separate"/>
          </w:r>
          <w:r>
            <w:t>5.6社会影响调查</w:t>
          </w:r>
          <w:r>
            <w:tab/>
          </w:r>
          <w:r>
            <w:fldChar w:fldCharType="begin"/>
          </w:r>
          <w:r>
            <w:instrText xml:space="preserve"> PAGEREF _Toc9610 \h </w:instrText>
          </w:r>
          <w:r>
            <w:fldChar w:fldCharType="separate"/>
          </w:r>
          <w:r>
            <w:t>47</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_Toc9344 </w:instrText>
          </w:r>
          <w:r>
            <w:rPr>
              <w:rFonts w:ascii="Times New Roman" w:hAnsi="Times New Roman" w:eastAsia="Times New Roman" w:cs="Times New Roman"/>
              <w:szCs w:val="24"/>
            </w:rPr>
            <w:fldChar w:fldCharType="separate"/>
          </w:r>
          <w:r>
            <w:t>5.6.1施工期对社会环境的影响</w:t>
          </w:r>
          <w:r>
            <w:tab/>
          </w:r>
          <w:r>
            <w:fldChar w:fldCharType="begin"/>
          </w:r>
          <w:r>
            <w:instrText xml:space="preserve"> PAGEREF _Toc9344 \h </w:instrText>
          </w:r>
          <w:r>
            <w:fldChar w:fldCharType="separate"/>
          </w:r>
          <w:r>
            <w:t>47</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_Toc27744 </w:instrText>
          </w:r>
          <w:r>
            <w:rPr>
              <w:rFonts w:ascii="Times New Roman" w:hAnsi="Times New Roman" w:eastAsia="Times New Roman" w:cs="Times New Roman"/>
              <w:szCs w:val="24"/>
            </w:rPr>
            <w:fldChar w:fldCharType="separate"/>
          </w:r>
          <w:r>
            <w:t>5.6.2营运期对社会环境的影响</w:t>
          </w:r>
          <w:r>
            <w:tab/>
          </w:r>
          <w:r>
            <w:fldChar w:fldCharType="begin"/>
          </w:r>
          <w:r>
            <w:instrText xml:space="preserve"> PAGEREF _Toc27744 \h </w:instrText>
          </w:r>
          <w:r>
            <w:fldChar w:fldCharType="separate"/>
          </w:r>
          <w:r>
            <w:t>47</w:t>
          </w:r>
          <w:r>
            <w:fldChar w:fldCharType="end"/>
          </w:r>
          <w:r>
            <w:rPr>
              <w:rFonts w:ascii="Times New Roman" w:hAnsi="Times New Roman" w:eastAsia="Times New Roman" w:cs="Times New Roman"/>
              <w:szCs w:val="24"/>
            </w:rPr>
            <w:fldChar w:fldCharType="end"/>
          </w:r>
        </w:p>
        <w:p>
          <w:pPr>
            <w:pStyle w:val="22"/>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_Toc2026 </w:instrText>
          </w:r>
          <w:r>
            <w:rPr>
              <w:rFonts w:ascii="Times New Roman" w:hAnsi="Times New Roman" w:eastAsia="Times New Roman" w:cs="Times New Roman"/>
              <w:szCs w:val="24"/>
            </w:rPr>
            <w:fldChar w:fldCharType="separate"/>
          </w:r>
          <w:r>
            <w:t>六 环境质量及污染源监测</w:t>
          </w:r>
          <w:r>
            <w:tab/>
          </w:r>
          <w:r>
            <w:fldChar w:fldCharType="begin"/>
          </w:r>
          <w:r>
            <w:instrText xml:space="preserve"> PAGEREF _Toc2026 \h </w:instrText>
          </w:r>
          <w:r>
            <w:fldChar w:fldCharType="separate"/>
          </w:r>
          <w:r>
            <w:t>49</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_Toc22396 </w:instrText>
          </w:r>
          <w:r>
            <w:rPr>
              <w:rFonts w:ascii="Times New Roman" w:hAnsi="Times New Roman" w:eastAsia="Times New Roman" w:cs="Times New Roman"/>
              <w:szCs w:val="24"/>
            </w:rPr>
            <w:fldChar w:fldCharType="separate"/>
          </w:r>
          <w:r>
            <w:t>6.</w:t>
          </w:r>
          <w:r>
            <w:rPr>
              <w:rFonts w:hint="eastAsia"/>
              <w:lang w:val="en-US" w:eastAsia="zh-CN"/>
            </w:rPr>
            <w:t>1</w:t>
          </w:r>
          <w:r>
            <w:t>环境空气监测分析过程中的质量保证和质量控制</w:t>
          </w:r>
          <w:r>
            <w:tab/>
          </w:r>
          <w:r>
            <w:fldChar w:fldCharType="begin"/>
          </w:r>
          <w:r>
            <w:instrText xml:space="preserve"> PAGEREF _Toc22396 \h </w:instrText>
          </w:r>
          <w:r>
            <w:fldChar w:fldCharType="separate"/>
          </w:r>
          <w:r>
            <w:t>49</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_Toc20265 </w:instrText>
          </w:r>
          <w:r>
            <w:rPr>
              <w:rFonts w:ascii="Times New Roman" w:hAnsi="Times New Roman" w:eastAsia="Times New Roman" w:cs="Times New Roman"/>
              <w:szCs w:val="24"/>
            </w:rPr>
            <w:fldChar w:fldCharType="separate"/>
          </w:r>
          <w:r>
            <w:t>6</w:t>
          </w:r>
          <w:r>
            <w:rPr>
              <w:rFonts w:hint="eastAsia"/>
              <w:lang w:val="en-US" w:eastAsia="zh-CN"/>
            </w:rPr>
            <w:t>.1</w:t>
          </w:r>
          <w:r>
            <w:t>.1质量保证和质量控制</w:t>
          </w:r>
          <w:r>
            <w:tab/>
          </w:r>
          <w:r>
            <w:fldChar w:fldCharType="begin"/>
          </w:r>
          <w:r>
            <w:instrText xml:space="preserve"> PAGEREF _Toc20265 \h </w:instrText>
          </w:r>
          <w:r>
            <w:fldChar w:fldCharType="separate"/>
          </w:r>
          <w:r>
            <w:t>49</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_Toc24225 </w:instrText>
          </w:r>
          <w:r>
            <w:rPr>
              <w:rFonts w:ascii="Times New Roman" w:hAnsi="Times New Roman" w:eastAsia="Times New Roman" w:cs="Times New Roman"/>
              <w:szCs w:val="24"/>
            </w:rPr>
            <w:fldChar w:fldCharType="separate"/>
          </w:r>
          <w:r>
            <w:t>6.</w:t>
          </w:r>
          <w:r>
            <w:rPr>
              <w:rFonts w:hint="eastAsia"/>
              <w:lang w:val="en-US" w:eastAsia="zh-CN"/>
            </w:rPr>
            <w:t>1</w:t>
          </w:r>
          <w:r>
            <w:t>.2环境空气质量监测因子及监测点</w:t>
          </w:r>
          <w:r>
            <w:tab/>
          </w:r>
          <w:r>
            <w:fldChar w:fldCharType="begin"/>
          </w:r>
          <w:r>
            <w:instrText xml:space="preserve"> PAGEREF _Toc24225 \h </w:instrText>
          </w:r>
          <w:r>
            <w:fldChar w:fldCharType="separate"/>
          </w:r>
          <w:r>
            <w:t>49</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_Toc17194 </w:instrText>
          </w:r>
          <w:r>
            <w:rPr>
              <w:rFonts w:ascii="Times New Roman" w:hAnsi="Times New Roman" w:eastAsia="Times New Roman" w:cs="Times New Roman"/>
              <w:szCs w:val="24"/>
            </w:rPr>
            <w:fldChar w:fldCharType="separate"/>
          </w:r>
          <w:r>
            <w:t>6.</w:t>
          </w:r>
          <w:r>
            <w:rPr>
              <w:rFonts w:hint="eastAsia"/>
              <w:lang w:val="en-US" w:eastAsia="zh-CN"/>
            </w:rPr>
            <w:t>1</w:t>
          </w:r>
          <w:r>
            <w:t>.3环境空气监测结果</w:t>
          </w:r>
          <w:r>
            <w:tab/>
          </w:r>
          <w:r>
            <w:fldChar w:fldCharType="begin"/>
          </w:r>
          <w:r>
            <w:instrText xml:space="preserve"> PAGEREF _Toc17194 \h </w:instrText>
          </w:r>
          <w:r>
            <w:fldChar w:fldCharType="separate"/>
          </w:r>
          <w:r>
            <w:t>49</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_Toc32016 </w:instrText>
          </w:r>
          <w:r>
            <w:rPr>
              <w:rFonts w:ascii="Times New Roman" w:hAnsi="Times New Roman" w:eastAsia="Times New Roman" w:cs="Times New Roman"/>
              <w:szCs w:val="24"/>
            </w:rPr>
            <w:fldChar w:fldCharType="separate"/>
          </w:r>
          <w:r>
            <w:t>6.</w:t>
          </w:r>
          <w:r>
            <w:rPr>
              <w:rFonts w:hint="eastAsia"/>
              <w:lang w:val="en-US" w:eastAsia="zh-CN"/>
            </w:rPr>
            <w:t>2</w:t>
          </w:r>
          <w:r>
            <w:t>声环境影响调查</w:t>
          </w:r>
          <w:r>
            <w:tab/>
          </w:r>
          <w:r>
            <w:fldChar w:fldCharType="begin"/>
          </w:r>
          <w:r>
            <w:instrText xml:space="preserve"> PAGEREF _Toc32016 \h </w:instrText>
          </w:r>
          <w:r>
            <w:fldChar w:fldCharType="separate"/>
          </w:r>
          <w:r>
            <w:t>50</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_Toc12368 </w:instrText>
          </w:r>
          <w:r>
            <w:rPr>
              <w:rFonts w:ascii="Times New Roman" w:hAnsi="Times New Roman" w:eastAsia="Times New Roman" w:cs="Times New Roman"/>
              <w:szCs w:val="24"/>
            </w:rPr>
            <w:fldChar w:fldCharType="separate"/>
          </w:r>
          <w:r>
            <w:t>6.</w:t>
          </w:r>
          <w:r>
            <w:rPr>
              <w:rFonts w:hint="eastAsia"/>
              <w:lang w:val="en-US" w:eastAsia="zh-CN"/>
            </w:rPr>
            <w:t>2</w:t>
          </w:r>
          <w:r>
            <w:t>.1声环境质量监测因子及监测点</w:t>
          </w:r>
          <w:r>
            <w:tab/>
          </w:r>
          <w:r>
            <w:fldChar w:fldCharType="begin"/>
          </w:r>
          <w:r>
            <w:instrText xml:space="preserve"> PAGEREF _Toc12368 \h </w:instrText>
          </w:r>
          <w:r>
            <w:fldChar w:fldCharType="separate"/>
          </w:r>
          <w:r>
            <w:t>50</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_Toc28009 </w:instrText>
          </w:r>
          <w:r>
            <w:rPr>
              <w:rFonts w:ascii="Times New Roman" w:hAnsi="Times New Roman" w:eastAsia="Times New Roman" w:cs="Times New Roman"/>
              <w:szCs w:val="24"/>
            </w:rPr>
            <w:fldChar w:fldCharType="separate"/>
          </w:r>
          <w:r>
            <w:t>6.</w:t>
          </w:r>
          <w:r>
            <w:rPr>
              <w:rFonts w:hint="eastAsia"/>
              <w:lang w:val="en-US" w:eastAsia="zh-CN"/>
            </w:rPr>
            <w:t>2</w:t>
          </w:r>
          <w:r>
            <w:t>.</w:t>
          </w:r>
          <w:r>
            <w:rPr>
              <w:rFonts w:hint="eastAsia"/>
              <w:lang w:val="en-US" w:eastAsia="zh-CN"/>
            </w:rPr>
            <w:t>2气象参数</w:t>
          </w:r>
          <w:r>
            <w:tab/>
          </w:r>
          <w:r>
            <w:fldChar w:fldCharType="begin"/>
          </w:r>
          <w:r>
            <w:instrText xml:space="preserve"> PAGEREF _Toc28009 \h </w:instrText>
          </w:r>
          <w:r>
            <w:fldChar w:fldCharType="separate"/>
          </w:r>
          <w:r>
            <w:t>50</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_Toc1157 </w:instrText>
          </w:r>
          <w:r>
            <w:rPr>
              <w:rFonts w:ascii="Times New Roman" w:hAnsi="Times New Roman" w:eastAsia="Times New Roman" w:cs="Times New Roman"/>
              <w:szCs w:val="24"/>
            </w:rPr>
            <w:fldChar w:fldCharType="separate"/>
          </w:r>
          <w:r>
            <w:rPr>
              <w:rFonts w:hint="eastAsia"/>
              <w:lang w:val="en-US" w:eastAsia="zh-CN"/>
            </w:rPr>
            <w:t>6.2.3</w:t>
          </w:r>
          <w:r>
            <w:t>声环境监测数据</w:t>
          </w:r>
          <w:r>
            <w:tab/>
          </w:r>
          <w:r>
            <w:fldChar w:fldCharType="begin"/>
          </w:r>
          <w:r>
            <w:instrText xml:space="preserve"> PAGEREF _Toc1157 \h </w:instrText>
          </w:r>
          <w:r>
            <w:fldChar w:fldCharType="separate"/>
          </w:r>
          <w:r>
            <w:t>51</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_Toc6954 </w:instrText>
          </w:r>
          <w:r>
            <w:rPr>
              <w:rFonts w:ascii="Times New Roman" w:hAnsi="Times New Roman" w:eastAsia="Times New Roman" w:cs="Times New Roman"/>
              <w:szCs w:val="24"/>
            </w:rPr>
            <w:fldChar w:fldCharType="separate"/>
          </w:r>
          <w:r>
            <w:t>6.</w:t>
          </w:r>
          <w:r>
            <w:rPr>
              <w:rFonts w:hint="eastAsia"/>
              <w:lang w:val="en-US" w:eastAsia="zh-CN"/>
            </w:rPr>
            <w:t>3</w:t>
          </w:r>
          <w:r>
            <w:t>交通量分析</w:t>
          </w:r>
          <w:r>
            <w:tab/>
          </w:r>
          <w:r>
            <w:fldChar w:fldCharType="begin"/>
          </w:r>
          <w:r>
            <w:instrText xml:space="preserve"> PAGEREF _Toc6954 \h </w:instrText>
          </w:r>
          <w:r>
            <w:fldChar w:fldCharType="separate"/>
          </w:r>
          <w:r>
            <w:t>53</w:t>
          </w:r>
          <w:r>
            <w:fldChar w:fldCharType="end"/>
          </w:r>
          <w:r>
            <w:rPr>
              <w:rFonts w:ascii="Times New Roman" w:hAnsi="Times New Roman" w:eastAsia="Times New Roman" w:cs="Times New Roman"/>
              <w:szCs w:val="24"/>
            </w:rPr>
            <w:fldChar w:fldCharType="end"/>
          </w:r>
        </w:p>
        <w:p>
          <w:pPr>
            <w:pStyle w:val="22"/>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_Toc11714 </w:instrText>
          </w:r>
          <w:r>
            <w:rPr>
              <w:rFonts w:ascii="Times New Roman" w:hAnsi="Times New Roman" w:eastAsia="Times New Roman" w:cs="Times New Roman"/>
              <w:szCs w:val="24"/>
            </w:rPr>
            <w:fldChar w:fldCharType="separate"/>
          </w:r>
          <w:r>
            <w:t>七 风险事故防范及应急措施调查</w:t>
          </w:r>
          <w:r>
            <w:tab/>
          </w:r>
          <w:r>
            <w:fldChar w:fldCharType="begin"/>
          </w:r>
          <w:r>
            <w:instrText xml:space="preserve"> PAGEREF _Toc11714 \h </w:instrText>
          </w:r>
          <w:r>
            <w:fldChar w:fldCharType="separate"/>
          </w:r>
          <w:r>
            <w:t>55</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_Toc29456 </w:instrText>
          </w:r>
          <w:r>
            <w:rPr>
              <w:rFonts w:ascii="Times New Roman" w:hAnsi="Times New Roman" w:eastAsia="Times New Roman" w:cs="Times New Roman"/>
              <w:szCs w:val="24"/>
            </w:rPr>
            <w:fldChar w:fldCharType="separate"/>
          </w:r>
          <w:r>
            <w:t>7.1环境风险因素调查</w:t>
          </w:r>
          <w:r>
            <w:tab/>
          </w:r>
          <w:r>
            <w:fldChar w:fldCharType="begin"/>
          </w:r>
          <w:r>
            <w:instrText xml:space="preserve"> PAGEREF _Toc29456 \h </w:instrText>
          </w:r>
          <w:r>
            <w:fldChar w:fldCharType="separate"/>
          </w:r>
          <w:r>
            <w:t>55</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_Toc20500 </w:instrText>
          </w:r>
          <w:r>
            <w:rPr>
              <w:rFonts w:ascii="Times New Roman" w:hAnsi="Times New Roman" w:eastAsia="Times New Roman" w:cs="Times New Roman"/>
              <w:szCs w:val="24"/>
            </w:rPr>
            <w:fldChar w:fldCharType="separate"/>
          </w:r>
          <w:r>
            <w:t>7.2环境风险防范措施及应急预案制定情况调查</w:t>
          </w:r>
          <w:r>
            <w:tab/>
          </w:r>
          <w:r>
            <w:fldChar w:fldCharType="begin"/>
          </w:r>
          <w:r>
            <w:instrText xml:space="preserve"> PAGEREF _Toc20500 \h </w:instrText>
          </w:r>
          <w:r>
            <w:fldChar w:fldCharType="separate"/>
          </w:r>
          <w:r>
            <w:t>55</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_Toc20202 </w:instrText>
          </w:r>
          <w:r>
            <w:rPr>
              <w:rFonts w:ascii="Times New Roman" w:hAnsi="Times New Roman" w:eastAsia="Times New Roman" w:cs="Times New Roman"/>
              <w:szCs w:val="24"/>
            </w:rPr>
            <w:fldChar w:fldCharType="separate"/>
          </w:r>
          <w:r>
            <w:t>7.3防范措施及应急预案的有效性分析</w:t>
          </w:r>
          <w:r>
            <w:tab/>
          </w:r>
          <w:r>
            <w:fldChar w:fldCharType="begin"/>
          </w:r>
          <w:r>
            <w:instrText xml:space="preserve"> PAGEREF _Toc20202 \h </w:instrText>
          </w:r>
          <w:r>
            <w:fldChar w:fldCharType="separate"/>
          </w:r>
          <w:r>
            <w:t>56</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_Toc1863 </w:instrText>
          </w:r>
          <w:r>
            <w:rPr>
              <w:rFonts w:ascii="Times New Roman" w:hAnsi="Times New Roman" w:eastAsia="Times New Roman" w:cs="Times New Roman"/>
              <w:szCs w:val="24"/>
            </w:rPr>
            <w:fldChar w:fldCharType="separate"/>
          </w:r>
          <w:r>
            <w:t>7.4竣工验收调查反馈</w:t>
          </w:r>
          <w:r>
            <w:tab/>
          </w:r>
          <w:r>
            <w:fldChar w:fldCharType="begin"/>
          </w:r>
          <w:r>
            <w:instrText xml:space="preserve"> PAGEREF _Toc1863 \h </w:instrText>
          </w:r>
          <w:r>
            <w:fldChar w:fldCharType="separate"/>
          </w:r>
          <w:r>
            <w:t>56</w:t>
          </w:r>
          <w:r>
            <w:fldChar w:fldCharType="end"/>
          </w:r>
          <w:r>
            <w:rPr>
              <w:rFonts w:ascii="Times New Roman" w:hAnsi="Times New Roman" w:eastAsia="Times New Roman" w:cs="Times New Roman"/>
              <w:szCs w:val="24"/>
            </w:rPr>
            <w:fldChar w:fldCharType="end"/>
          </w:r>
        </w:p>
        <w:p>
          <w:pPr>
            <w:pStyle w:val="22"/>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_Toc8200 </w:instrText>
          </w:r>
          <w:r>
            <w:rPr>
              <w:rFonts w:ascii="Times New Roman" w:hAnsi="Times New Roman" w:eastAsia="Times New Roman" w:cs="Times New Roman"/>
              <w:szCs w:val="24"/>
            </w:rPr>
            <w:fldChar w:fldCharType="separate"/>
          </w:r>
          <w:r>
            <w:t>八 环境管理状况及监测计划落实情况调查</w:t>
          </w:r>
          <w:r>
            <w:tab/>
          </w:r>
          <w:r>
            <w:fldChar w:fldCharType="begin"/>
          </w:r>
          <w:r>
            <w:instrText xml:space="preserve"> PAGEREF _Toc8200 \h </w:instrText>
          </w:r>
          <w:r>
            <w:fldChar w:fldCharType="separate"/>
          </w:r>
          <w:r>
            <w:t>57</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_Toc12012 </w:instrText>
          </w:r>
          <w:r>
            <w:rPr>
              <w:rFonts w:ascii="Times New Roman" w:hAnsi="Times New Roman" w:eastAsia="Times New Roman" w:cs="Times New Roman"/>
              <w:szCs w:val="24"/>
            </w:rPr>
            <w:fldChar w:fldCharType="separate"/>
          </w:r>
          <w:r>
            <w:t>8.1环境管理机构调查</w:t>
          </w:r>
          <w:r>
            <w:tab/>
          </w:r>
          <w:r>
            <w:fldChar w:fldCharType="begin"/>
          </w:r>
          <w:r>
            <w:instrText xml:space="preserve"> PAGEREF _Toc12012 \h </w:instrText>
          </w:r>
          <w:r>
            <w:fldChar w:fldCharType="separate"/>
          </w:r>
          <w:r>
            <w:t>57</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_Toc23223 </w:instrText>
          </w:r>
          <w:r>
            <w:rPr>
              <w:rFonts w:ascii="Times New Roman" w:hAnsi="Times New Roman" w:eastAsia="Times New Roman" w:cs="Times New Roman"/>
              <w:szCs w:val="24"/>
            </w:rPr>
            <w:fldChar w:fldCharType="separate"/>
          </w:r>
          <w:r>
            <w:t>8.2施工期环境管理</w:t>
          </w:r>
          <w:r>
            <w:tab/>
          </w:r>
          <w:r>
            <w:fldChar w:fldCharType="begin"/>
          </w:r>
          <w:r>
            <w:instrText xml:space="preserve"> PAGEREF _Toc23223 \h </w:instrText>
          </w:r>
          <w:r>
            <w:fldChar w:fldCharType="separate"/>
          </w:r>
          <w:r>
            <w:t>57</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_Toc25121 </w:instrText>
          </w:r>
          <w:r>
            <w:rPr>
              <w:rFonts w:ascii="Times New Roman" w:hAnsi="Times New Roman" w:eastAsia="Times New Roman" w:cs="Times New Roman"/>
              <w:szCs w:val="24"/>
            </w:rPr>
            <w:fldChar w:fldCharType="separate"/>
          </w:r>
          <w:r>
            <w:t>8.3运行期环境管理</w:t>
          </w:r>
          <w:r>
            <w:tab/>
          </w:r>
          <w:r>
            <w:fldChar w:fldCharType="begin"/>
          </w:r>
          <w:r>
            <w:instrText xml:space="preserve"> PAGEREF _Toc25121 \h </w:instrText>
          </w:r>
          <w:r>
            <w:fldChar w:fldCharType="separate"/>
          </w:r>
          <w:r>
            <w:t>57</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_Toc12020 </w:instrText>
          </w:r>
          <w:r>
            <w:rPr>
              <w:rFonts w:ascii="Times New Roman" w:hAnsi="Times New Roman" w:eastAsia="Times New Roman" w:cs="Times New Roman"/>
              <w:szCs w:val="24"/>
            </w:rPr>
            <w:fldChar w:fldCharType="separate"/>
          </w:r>
          <w:r>
            <w:t>8.4环境监测计划落实情况调查</w:t>
          </w:r>
          <w:r>
            <w:tab/>
          </w:r>
          <w:r>
            <w:fldChar w:fldCharType="begin"/>
          </w:r>
          <w:r>
            <w:instrText xml:space="preserve"> PAGEREF _Toc12020 \h </w:instrText>
          </w:r>
          <w:r>
            <w:fldChar w:fldCharType="separate"/>
          </w:r>
          <w:r>
            <w:t>57</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_Toc21751 </w:instrText>
          </w:r>
          <w:r>
            <w:rPr>
              <w:rFonts w:ascii="Times New Roman" w:hAnsi="Times New Roman" w:eastAsia="Times New Roman" w:cs="Times New Roman"/>
              <w:szCs w:val="24"/>
            </w:rPr>
            <w:fldChar w:fldCharType="separate"/>
          </w:r>
          <w:r>
            <w:t>8.5调查结果分析</w:t>
          </w:r>
          <w:r>
            <w:tab/>
          </w:r>
          <w:r>
            <w:fldChar w:fldCharType="begin"/>
          </w:r>
          <w:r>
            <w:instrText xml:space="preserve"> PAGEREF _Toc21751 \h </w:instrText>
          </w:r>
          <w:r>
            <w:fldChar w:fldCharType="separate"/>
          </w:r>
          <w:r>
            <w:t>57</w:t>
          </w:r>
          <w:r>
            <w:fldChar w:fldCharType="end"/>
          </w:r>
          <w:r>
            <w:rPr>
              <w:rFonts w:ascii="Times New Roman" w:hAnsi="Times New Roman" w:eastAsia="Times New Roman" w:cs="Times New Roman"/>
              <w:szCs w:val="24"/>
            </w:rPr>
            <w:fldChar w:fldCharType="end"/>
          </w:r>
        </w:p>
        <w:p>
          <w:pPr>
            <w:pStyle w:val="22"/>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_Toc23660 </w:instrText>
          </w:r>
          <w:r>
            <w:rPr>
              <w:rFonts w:ascii="Times New Roman" w:hAnsi="Times New Roman" w:eastAsia="Times New Roman" w:cs="Times New Roman"/>
              <w:szCs w:val="24"/>
            </w:rPr>
            <w:fldChar w:fldCharType="separate"/>
          </w:r>
          <w:r>
            <w:t>九 公众意见调查</w:t>
          </w:r>
          <w:r>
            <w:tab/>
          </w:r>
          <w:r>
            <w:fldChar w:fldCharType="begin"/>
          </w:r>
          <w:r>
            <w:instrText xml:space="preserve"> PAGEREF _Toc23660 \h </w:instrText>
          </w:r>
          <w:r>
            <w:fldChar w:fldCharType="separate"/>
          </w:r>
          <w:r>
            <w:t>59</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_Toc15552 </w:instrText>
          </w:r>
          <w:r>
            <w:rPr>
              <w:rFonts w:ascii="Times New Roman" w:hAnsi="Times New Roman" w:eastAsia="Times New Roman" w:cs="Times New Roman"/>
              <w:szCs w:val="24"/>
            </w:rPr>
            <w:fldChar w:fldCharType="separate"/>
          </w:r>
          <w:r>
            <w:t>9.1调查目的</w:t>
          </w:r>
          <w:r>
            <w:tab/>
          </w:r>
          <w:r>
            <w:fldChar w:fldCharType="begin"/>
          </w:r>
          <w:r>
            <w:instrText xml:space="preserve"> PAGEREF _Toc15552 \h </w:instrText>
          </w:r>
          <w:r>
            <w:fldChar w:fldCharType="separate"/>
          </w:r>
          <w:r>
            <w:t>59</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_Toc19995 </w:instrText>
          </w:r>
          <w:r>
            <w:rPr>
              <w:rFonts w:ascii="Times New Roman" w:hAnsi="Times New Roman" w:eastAsia="Times New Roman" w:cs="Times New Roman"/>
              <w:szCs w:val="24"/>
            </w:rPr>
            <w:fldChar w:fldCharType="separate"/>
          </w:r>
          <w:r>
            <w:t>9.2调查实施</w:t>
          </w:r>
          <w:r>
            <w:tab/>
          </w:r>
          <w:r>
            <w:fldChar w:fldCharType="begin"/>
          </w:r>
          <w:r>
            <w:instrText xml:space="preserve"> PAGEREF _Toc19995 \h </w:instrText>
          </w:r>
          <w:r>
            <w:fldChar w:fldCharType="separate"/>
          </w:r>
          <w:r>
            <w:t>59</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_Toc32691 </w:instrText>
          </w:r>
          <w:r>
            <w:rPr>
              <w:rFonts w:ascii="Times New Roman" w:hAnsi="Times New Roman" w:eastAsia="Times New Roman" w:cs="Times New Roman"/>
              <w:szCs w:val="24"/>
            </w:rPr>
            <w:fldChar w:fldCharType="separate"/>
          </w:r>
          <w:r>
            <w:t>9.2.1调查范围和调查对象</w:t>
          </w:r>
          <w:r>
            <w:tab/>
          </w:r>
          <w:r>
            <w:fldChar w:fldCharType="begin"/>
          </w:r>
          <w:r>
            <w:instrText xml:space="preserve"> PAGEREF _Toc32691 \h </w:instrText>
          </w:r>
          <w:r>
            <w:fldChar w:fldCharType="separate"/>
          </w:r>
          <w:r>
            <w:t>59</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_Toc992 </w:instrText>
          </w:r>
          <w:r>
            <w:rPr>
              <w:rFonts w:ascii="Times New Roman" w:hAnsi="Times New Roman" w:eastAsia="Times New Roman" w:cs="Times New Roman"/>
              <w:szCs w:val="24"/>
            </w:rPr>
            <w:fldChar w:fldCharType="separate"/>
          </w:r>
          <w:r>
            <w:t>9.2.2调查方法</w:t>
          </w:r>
          <w:r>
            <w:tab/>
          </w:r>
          <w:r>
            <w:fldChar w:fldCharType="begin"/>
          </w:r>
          <w:r>
            <w:instrText xml:space="preserve"> PAGEREF _Toc992 \h </w:instrText>
          </w:r>
          <w:r>
            <w:fldChar w:fldCharType="separate"/>
          </w:r>
          <w:r>
            <w:t>59</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_Toc3760 </w:instrText>
          </w:r>
          <w:r>
            <w:rPr>
              <w:rFonts w:ascii="Times New Roman" w:hAnsi="Times New Roman" w:eastAsia="Times New Roman" w:cs="Times New Roman"/>
              <w:szCs w:val="24"/>
            </w:rPr>
            <w:fldChar w:fldCharType="separate"/>
          </w:r>
          <w:r>
            <w:t>9.2.3调查</w:t>
          </w:r>
          <w:r>
            <w:rPr>
              <w:rFonts w:hint="eastAsia"/>
              <w:lang w:val="en-US" w:eastAsia="zh-CN"/>
            </w:rPr>
            <w:t>内容</w:t>
          </w:r>
          <w:r>
            <w:tab/>
          </w:r>
          <w:r>
            <w:fldChar w:fldCharType="begin"/>
          </w:r>
          <w:r>
            <w:instrText xml:space="preserve"> PAGEREF _Toc3760 \h </w:instrText>
          </w:r>
          <w:r>
            <w:fldChar w:fldCharType="separate"/>
          </w:r>
          <w:r>
            <w:t>59</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_Toc8751 </w:instrText>
          </w:r>
          <w:r>
            <w:rPr>
              <w:rFonts w:ascii="Times New Roman" w:hAnsi="Times New Roman" w:eastAsia="Times New Roman" w:cs="Times New Roman"/>
              <w:szCs w:val="24"/>
            </w:rPr>
            <w:fldChar w:fldCharType="separate"/>
          </w:r>
          <w:r>
            <w:rPr>
              <w:rFonts w:hint="eastAsia"/>
              <w:lang w:val="en-US" w:eastAsia="zh-CN"/>
            </w:rPr>
            <w:t>9.3调查结果分析</w:t>
          </w:r>
          <w:r>
            <w:tab/>
          </w:r>
          <w:r>
            <w:fldChar w:fldCharType="begin"/>
          </w:r>
          <w:r>
            <w:instrText xml:space="preserve"> PAGEREF _Toc8751 \h </w:instrText>
          </w:r>
          <w:r>
            <w:fldChar w:fldCharType="separate"/>
          </w:r>
          <w:r>
            <w:t>60</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_Toc31026 </w:instrText>
          </w:r>
          <w:r>
            <w:rPr>
              <w:rFonts w:ascii="Times New Roman" w:hAnsi="Times New Roman" w:eastAsia="Times New Roman" w:cs="Times New Roman"/>
              <w:szCs w:val="24"/>
            </w:rPr>
            <w:fldChar w:fldCharType="separate"/>
          </w:r>
          <w:r>
            <w:rPr>
              <w:rFonts w:hint="eastAsia"/>
              <w:lang w:val="en-US" w:eastAsia="zh-CN"/>
            </w:rPr>
            <w:t>9.3.1公众意见调查结果统计及分析</w:t>
          </w:r>
          <w:r>
            <w:tab/>
          </w:r>
          <w:r>
            <w:fldChar w:fldCharType="begin"/>
          </w:r>
          <w:r>
            <w:instrText xml:space="preserve"> PAGEREF _Toc31026 \h </w:instrText>
          </w:r>
          <w:r>
            <w:fldChar w:fldCharType="separate"/>
          </w:r>
          <w:r>
            <w:t>60</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_Toc19037 </w:instrText>
          </w:r>
          <w:r>
            <w:rPr>
              <w:rFonts w:ascii="Times New Roman" w:hAnsi="Times New Roman" w:eastAsia="Times New Roman" w:cs="Times New Roman"/>
              <w:szCs w:val="24"/>
            </w:rPr>
            <w:fldChar w:fldCharType="separate"/>
          </w:r>
          <w:r>
            <w:rPr>
              <w:rFonts w:hint="eastAsia"/>
              <w:lang w:val="en-US" w:eastAsia="zh-CN"/>
            </w:rPr>
            <w:t>9.4走访调查结果</w:t>
          </w:r>
          <w:r>
            <w:tab/>
          </w:r>
          <w:r>
            <w:fldChar w:fldCharType="begin"/>
          </w:r>
          <w:r>
            <w:instrText xml:space="preserve"> PAGEREF _Toc19037 \h </w:instrText>
          </w:r>
          <w:r>
            <w:fldChar w:fldCharType="separate"/>
          </w:r>
          <w:r>
            <w:t>62</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_Toc5827 </w:instrText>
          </w:r>
          <w:r>
            <w:rPr>
              <w:rFonts w:ascii="Times New Roman" w:hAnsi="Times New Roman" w:eastAsia="Times New Roman" w:cs="Times New Roman"/>
              <w:szCs w:val="24"/>
            </w:rPr>
            <w:fldChar w:fldCharType="separate"/>
          </w:r>
          <w:r>
            <w:rPr>
              <w:rFonts w:hint="eastAsia"/>
              <w:lang w:val="en-US" w:eastAsia="zh-CN"/>
            </w:rPr>
            <w:t>9.5公众意见调查结论</w:t>
          </w:r>
          <w:r>
            <w:tab/>
          </w:r>
          <w:r>
            <w:fldChar w:fldCharType="begin"/>
          </w:r>
          <w:r>
            <w:instrText xml:space="preserve"> PAGEREF _Toc5827 \h </w:instrText>
          </w:r>
          <w:r>
            <w:fldChar w:fldCharType="separate"/>
          </w:r>
          <w:r>
            <w:t>62</w:t>
          </w:r>
          <w:r>
            <w:fldChar w:fldCharType="end"/>
          </w:r>
          <w:r>
            <w:rPr>
              <w:rFonts w:ascii="Times New Roman" w:hAnsi="Times New Roman" w:eastAsia="Times New Roman" w:cs="Times New Roman"/>
              <w:szCs w:val="24"/>
            </w:rPr>
            <w:fldChar w:fldCharType="end"/>
          </w:r>
        </w:p>
        <w:p>
          <w:pPr>
            <w:pStyle w:val="22"/>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_Toc6065 </w:instrText>
          </w:r>
          <w:r>
            <w:rPr>
              <w:rFonts w:ascii="Times New Roman" w:hAnsi="Times New Roman" w:eastAsia="Times New Roman" w:cs="Times New Roman"/>
              <w:szCs w:val="24"/>
            </w:rPr>
            <w:fldChar w:fldCharType="separate"/>
          </w:r>
          <w:r>
            <w:t>十 调查结论及建议</w:t>
          </w:r>
          <w:r>
            <w:tab/>
          </w:r>
          <w:r>
            <w:fldChar w:fldCharType="begin"/>
          </w:r>
          <w:r>
            <w:instrText xml:space="preserve"> PAGEREF _Toc6065 \h </w:instrText>
          </w:r>
          <w:r>
            <w:fldChar w:fldCharType="separate"/>
          </w:r>
          <w:r>
            <w:t>63</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_Toc21180 </w:instrText>
          </w:r>
          <w:r>
            <w:rPr>
              <w:rFonts w:ascii="Times New Roman" w:hAnsi="Times New Roman" w:eastAsia="Times New Roman" w:cs="Times New Roman"/>
              <w:szCs w:val="24"/>
            </w:rPr>
            <w:fldChar w:fldCharType="separate"/>
          </w:r>
          <w:r>
            <w:t>10.1</w:t>
          </w:r>
          <w:r>
            <w:rPr>
              <w:rFonts w:hint="eastAsia"/>
              <w:lang w:val="en-US" w:eastAsia="zh-CN"/>
            </w:rPr>
            <w:t>工程</w:t>
          </w:r>
          <w:r>
            <w:t>调查结论</w:t>
          </w:r>
          <w:r>
            <w:tab/>
          </w:r>
          <w:r>
            <w:fldChar w:fldCharType="begin"/>
          </w:r>
          <w:r>
            <w:instrText xml:space="preserve"> PAGEREF _Toc21180 \h </w:instrText>
          </w:r>
          <w:r>
            <w:fldChar w:fldCharType="separate"/>
          </w:r>
          <w:r>
            <w:t>63</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_Toc22410 </w:instrText>
          </w:r>
          <w:r>
            <w:rPr>
              <w:rFonts w:ascii="Times New Roman" w:hAnsi="Times New Roman" w:eastAsia="Times New Roman" w:cs="Times New Roman"/>
              <w:szCs w:val="24"/>
            </w:rPr>
            <w:fldChar w:fldCharType="separate"/>
          </w:r>
          <w:r>
            <w:t>10.</w:t>
          </w:r>
          <w:r>
            <w:rPr>
              <w:rFonts w:hint="eastAsia"/>
              <w:lang w:val="en-US" w:eastAsia="zh-CN"/>
            </w:rPr>
            <w:t>2</w:t>
          </w:r>
          <w:r>
            <w:t>环境保护</w:t>
          </w:r>
          <w:r>
            <w:rPr>
              <w:rFonts w:hint="eastAsia"/>
              <w:lang w:val="en-US" w:eastAsia="zh-CN"/>
            </w:rPr>
            <w:t>措施落实</w:t>
          </w:r>
          <w:r>
            <w:t>情况</w:t>
          </w:r>
          <w:r>
            <w:tab/>
          </w:r>
          <w:r>
            <w:fldChar w:fldCharType="begin"/>
          </w:r>
          <w:r>
            <w:instrText xml:space="preserve"> PAGEREF _Toc22410 \h </w:instrText>
          </w:r>
          <w:r>
            <w:fldChar w:fldCharType="separate"/>
          </w:r>
          <w:r>
            <w:t>63</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_Toc6398 </w:instrText>
          </w:r>
          <w:r>
            <w:rPr>
              <w:rFonts w:ascii="Times New Roman" w:hAnsi="Times New Roman" w:eastAsia="Times New Roman" w:cs="Times New Roman"/>
              <w:szCs w:val="24"/>
            </w:rPr>
            <w:fldChar w:fldCharType="separate"/>
          </w:r>
          <w:r>
            <w:rPr>
              <w:rFonts w:hint="eastAsia"/>
              <w:lang w:val="en-US" w:eastAsia="zh-CN"/>
            </w:rPr>
            <w:t>10.3验收调查结果</w:t>
          </w:r>
          <w:r>
            <w:tab/>
          </w:r>
          <w:r>
            <w:fldChar w:fldCharType="begin"/>
          </w:r>
          <w:r>
            <w:instrText xml:space="preserve"> PAGEREF _Toc6398 \h </w:instrText>
          </w:r>
          <w:r>
            <w:fldChar w:fldCharType="separate"/>
          </w:r>
          <w:r>
            <w:t>63</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_Toc20472 </w:instrText>
          </w:r>
          <w:r>
            <w:rPr>
              <w:rFonts w:ascii="Times New Roman" w:hAnsi="Times New Roman" w:eastAsia="Times New Roman" w:cs="Times New Roman"/>
              <w:szCs w:val="24"/>
            </w:rPr>
            <w:fldChar w:fldCharType="separate"/>
          </w:r>
          <w:r>
            <w:rPr>
              <w:rFonts w:hint="eastAsia"/>
              <w:lang w:val="en-US" w:eastAsia="zh-CN"/>
            </w:rPr>
            <w:t>10.3.1生态环境影响</w:t>
          </w:r>
          <w:r>
            <w:tab/>
          </w:r>
          <w:r>
            <w:fldChar w:fldCharType="begin"/>
          </w:r>
          <w:r>
            <w:instrText xml:space="preserve"> PAGEREF _Toc20472 \h </w:instrText>
          </w:r>
          <w:r>
            <w:fldChar w:fldCharType="separate"/>
          </w:r>
          <w:r>
            <w:t>63</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_Toc14391 </w:instrText>
          </w:r>
          <w:r>
            <w:rPr>
              <w:rFonts w:ascii="Times New Roman" w:hAnsi="Times New Roman" w:eastAsia="Times New Roman" w:cs="Times New Roman"/>
              <w:szCs w:val="24"/>
            </w:rPr>
            <w:fldChar w:fldCharType="separate"/>
          </w:r>
          <w:r>
            <w:rPr>
              <w:rFonts w:hint="default"/>
              <w:lang w:val="en-US" w:eastAsia="zh-CN"/>
            </w:rPr>
            <w:t>1</w:t>
          </w:r>
          <w:r>
            <w:rPr>
              <w:rFonts w:hint="eastAsia"/>
              <w:lang w:val="en-US" w:eastAsia="zh-CN"/>
            </w:rPr>
            <w:t>0</w:t>
          </w:r>
          <w:r>
            <w:rPr>
              <w:rFonts w:hint="default"/>
              <w:lang w:val="en-US" w:eastAsia="zh-CN"/>
            </w:rPr>
            <w:t>.3.2</w:t>
          </w:r>
          <w:r>
            <w:rPr>
              <w:rFonts w:hint="eastAsia"/>
              <w:lang w:val="en-US" w:eastAsia="zh-CN"/>
            </w:rPr>
            <w:t>声环境影响</w:t>
          </w:r>
          <w:r>
            <w:tab/>
          </w:r>
          <w:r>
            <w:fldChar w:fldCharType="begin"/>
          </w:r>
          <w:r>
            <w:instrText xml:space="preserve"> PAGEREF _Toc14391 \h </w:instrText>
          </w:r>
          <w:r>
            <w:fldChar w:fldCharType="separate"/>
          </w:r>
          <w:r>
            <w:t>64</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_Toc6753 </w:instrText>
          </w:r>
          <w:r>
            <w:rPr>
              <w:rFonts w:ascii="Times New Roman" w:hAnsi="Times New Roman" w:eastAsia="Times New Roman" w:cs="Times New Roman"/>
              <w:szCs w:val="24"/>
            </w:rPr>
            <w:fldChar w:fldCharType="separate"/>
          </w:r>
          <w:r>
            <w:rPr>
              <w:rFonts w:hint="default"/>
              <w:lang w:val="en-US" w:eastAsia="zh-CN"/>
            </w:rPr>
            <w:t>1</w:t>
          </w:r>
          <w:r>
            <w:rPr>
              <w:rFonts w:hint="eastAsia"/>
              <w:lang w:val="en-US" w:eastAsia="zh-CN"/>
            </w:rPr>
            <w:t>0</w:t>
          </w:r>
          <w:r>
            <w:rPr>
              <w:rFonts w:hint="default"/>
              <w:lang w:val="en-US" w:eastAsia="zh-CN"/>
            </w:rPr>
            <w:t>.3.3</w:t>
          </w:r>
          <w:r>
            <w:rPr>
              <w:rFonts w:hint="eastAsia"/>
              <w:lang w:val="en-US" w:eastAsia="zh-CN"/>
            </w:rPr>
            <w:t>环境空气影响</w:t>
          </w:r>
          <w:r>
            <w:tab/>
          </w:r>
          <w:r>
            <w:fldChar w:fldCharType="begin"/>
          </w:r>
          <w:r>
            <w:instrText xml:space="preserve"> PAGEREF _Toc6753 \h </w:instrText>
          </w:r>
          <w:r>
            <w:fldChar w:fldCharType="separate"/>
          </w:r>
          <w:r>
            <w:t>64</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_Toc7136 </w:instrText>
          </w:r>
          <w:r>
            <w:rPr>
              <w:rFonts w:ascii="Times New Roman" w:hAnsi="Times New Roman" w:eastAsia="Times New Roman" w:cs="Times New Roman"/>
              <w:szCs w:val="24"/>
            </w:rPr>
            <w:fldChar w:fldCharType="separate"/>
          </w:r>
          <w:r>
            <w:rPr>
              <w:rFonts w:hint="default"/>
              <w:lang w:val="en-US" w:eastAsia="zh-CN"/>
            </w:rPr>
            <w:t>1</w:t>
          </w:r>
          <w:r>
            <w:rPr>
              <w:rFonts w:hint="eastAsia"/>
              <w:lang w:val="en-US" w:eastAsia="zh-CN"/>
            </w:rPr>
            <w:t>0</w:t>
          </w:r>
          <w:r>
            <w:rPr>
              <w:rFonts w:hint="default"/>
              <w:lang w:val="en-US" w:eastAsia="zh-CN"/>
            </w:rPr>
            <w:t>.3.4</w:t>
          </w:r>
          <w:r>
            <w:rPr>
              <w:rFonts w:hint="eastAsia"/>
              <w:lang w:val="en-US" w:eastAsia="zh-CN"/>
            </w:rPr>
            <w:t>水环境影响</w:t>
          </w:r>
          <w:r>
            <w:tab/>
          </w:r>
          <w:r>
            <w:fldChar w:fldCharType="begin"/>
          </w:r>
          <w:r>
            <w:instrText xml:space="preserve"> PAGEREF _Toc7136 \h </w:instrText>
          </w:r>
          <w:r>
            <w:fldChar w:fldCharType="separate"/>
          </w:r>
          <w:r>
            <w:t>64</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_Toc30045 </w:instrText>
          </w:r>
          <w:r>
            <w:rPr>
              <w:rFonts w:ascii="Times New Roman" w:hAnsi="Times New Roman" w:eastAsia="Times New Roman" w:cs="Times New Roman"/>
              <w:szCs w:val="24"/>
            </w:rPr>
            <w:fldChar w:fldCharType="separate"/>
          </w:r>
          <w:r>
            <w:rPr>
              <w:rFonts w:hint="default"/>
              <w:lang w:val="en-US" w:eastAsia="zh-CN"/>
            </w:rPr>
            <w:t>1</w:t>
          </w:r>
          <w:r>
            <w:rPr>
              <w:rFonts w:hint="eastAsia"/>
              <w:lang w:val="en-US" w:eastAsia="zh-CN"/>
            </w:rPr>
            <w:t>0</w:t>
          </w:r>
          <w:r>
            <w:rPr>
              <w:rFonts w:hint="default"/>
              <w:lang w:val="en-US" w:eastAsia="zh-CN"/>
            </w:rPr>
            <w:t>.3.5</w:t>
          </w:r>
          <w:r>
            <w:rPr>
              <w:rFonts w:hint="eastAsia"/>
              <w:lang w:val="en-US" w:eastAsia="zh-CN"/>
            </w:rPr>
            <w:t>固体废物影响</w:t>
          </w:r>
          <w:r>
            <w:tab/>
          </w:r>
          <w:r>
            <w:fldChar w:fldCharType="begin"/>
          </w:r>
          <w:r>
            <w:instrText xml:space="preserve"> PAGEREF _Toc30045 \h </w:instrText>
          </w:r>
          <w:r>
            <w:fldChar w:fldCharType="separate"/>
          </w:r>
          <w:r>
            <w:t>64</w:t>
          </w:r>
          <w:r>
            <w:fldChar w:fldCharType="end"/>
          </w:r>
          <w:r>
            <w:rPr>
              <w:rFonts w:ascii="Times New Roman" w:hAnsi="Times New Roman" w:eastAsia="Times New Roman" w:cs="Times New Roman"/>
              <w:szCs w:val="24"/>
            </w:rPr>
            <w:fldChar w:fldCharType="end"/>
          </w:r>
        </w:p>
        <w:p>
          <w:pPr>
            <w:pStyle w:val="24"/>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_Toc3367 </w:instrText>
          </w:r>
          <w:r>
            <w:rPr>
              <w:rFonts w:ascii="Times New Roman" w:hAnsi="Times New Roman" w:eastAsia="Times New Roman" w:cs="Times New Roman"/>
              <w:szCs w:val="24"/>
            </w:rPr>
            <w:fldChar w:fldCharType="separate"/>
          </w:r>
          <w:r>
            <w:rPr>
              <w:rFonts w:hint="default"/>
              <w:lang w:val="en-US" w:eastAsia="zh-CN"/>
            </w:rPr>
            <w:t>1</w:t>
          </w:r>
          <w:r>
            <w:rPr>
              <w:rFonts w:hint="eastAsia"/>
              <w:lang w:val="en-US" w:eastAsia="zh-CN"/>
            </w:rPr>
            <w:t>0</w:t>
          </w:r>
          <w:r>
            <w:rPr>
              <w:rFonts w:hint="default"/>
              <w:lang w:val="en-US" w:eastAsia="zh-CN"/>
            </w:rPr>
            <w:t>.3.6</w:t>
          </w:r>
          <w:r>
            <w:rPr>
              <w:rFonts w:hint="eastAsia"/>
              <w:lang w:val="en-US" w:eastAsia="zh-CN"/>
            </w:rPr>
            <w:t>社会环境影响调查结论</w:t>
          </w:r>
          <w:r>
            <w:tab/>
          </w:r>
          <w:r>
            <w:fldChar w:fldCharType="begin"/>
          </w:r>
          <w:r>
            <w:instrText xml:space="preserve"> PAGEREF _Toc3367 \h </w:instrText>
          </w:r>
          <w:r>
            <w:fldChar w:fldCharType="separate"/>
          </w:r>
          <w:r>
            <w:t>64</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_Toc24178 </w:instrText>
          </w:r>
          <w:r>
            <w:rPr>
              <w:rFonts w:ascii="Times New Roman" w:hAnsi="Times New Roman" w:eastAsia="Times New Roman" w:cs="Times New Roman"/>
              <w:szCs w:val="24"/>
            </w:rPr>
            <w:fldChar w:fldCharType="separate"/>
          </w:r>
          <w:r>
            <w:rPr>
              <w:rFonts w:hint="default"/>
              <w:lang w:val="en-US" w:eastAsia="zh-CN"/>
            </w:rPr>
            <w:t>1</w:t>
          </w:r>
          <w:r>
            <w:rPr>
              <w:rFonts w:hint="eastAsia"/>
              <w:lang w:val="en-US" w:eastAsia="zh-CN"/>
            </w:rPr>
            <w:t>0</w:t>
          </w:r>
          <w:r>
            <w:rPr>
              <w:rFonts w:hint="default"/>
              <w:lang w:val="en-US" w:eastAsia="zh-CN"/>
            </w:rPr>
            <w:t>.4</w:t>
          </w:r>
          <w:r>
            <w:rPr>
              <w:rFonts w:hint="eastAsia"/>
              <w:lang w:val="en-US" w:eastAsia="zh-CN"/>
            </w:rPr>
            <w:t>环境管理与监控情况调查结论</w:t>
          </w:r>
          <w:r>
            <w:tab/>
          </w:r>
          <w:r>
            <w:fldChar w:fldCharType="begin"/>
          </w:r>
          <w:r>
            <w:instrText xml:space="preserve"> PAGEREF _Toc24178 \h </w:instrText>
          </w:r>
          <w:r>
            <w:fldChar w:fldCharType="separate"/>
          </w:r>
          <w:r>
            <w:t>64</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_Toc20553 </w:instrText>
          </w:r>
          <w:r>
            <w:rPr>
              <w:rFonts w:ascii="Times New Roman" w:hAnsi="Times New Roman" w:eastAsia="Times New Roman" w:cs="Times New Roman"/>
              <w:szCs w:val="24"/>
            </w:rPr>
            <w:fldChar w:fldCharType="separate"/>
          </w:r>
          <w:r>
            <w:rPr>
              <w:rFonts w:hint="default"/>
              <w:lang w:val="en-US" w:eastAsia="zh-CN"/>
            </w:rPr>
            <w:t>1</w:t>
          </w:r>
          <w:r>
            <w:rPr>
              <w:rFonts w:hint="eastAsia"/>
              <w:lang w:val="en-US" w:eastAsia="zh-CN"/>
            </w:rPr>
            <w:t>0</w:t>
          </w:r>
          <w:r>
            <w:rPr>
              <w:rFonts w:hint="default"/>
              <w:lang w:val="en-US" w:eastAsia="zh-CN"/>
            </w:rPr>
            <w:t>.5</w:t>
          </w:r>
          <w:r>
            <w:rPr>
              <w:rFonts w:hint="eastAsia"/>
              <w:lang w:val="en-US" w:eastAsia="zh-CN"/>
            </w:rPr>
            <w:t>公众意见及调查结论</w:t>
          </w:r>
          <w:r>
            <w:tab/>
          </w:r>
          <w:r>
            <w:fldChar w:fldCharType="begin"/>
          </w:r>
          <w:r>
            <w:instrText xml:space="preserve"> PAGEREF _Toc20553 \h </w:instrText>
          </w:r>
          <w:r>
            <w:fldChar w:fldCharType="separate"/>
          </w:r>
          <w:r>
            <w:t>65</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_Toc31373 </w:instrText>
          </w:r>
          <w:r>
            <w:rPr>
              <w:rFonts w:ascii="Times New Roman" w:hAnsi="Times New Roman" w:eastAsia="Times New Roman" w:cs="Times New Roman"/>
              <w:szCs w:val="24"/>
            </w:rPr>
            <w:fldChar w:fldCharType="separate"/>
          </w:r>
          <w:r>
            <w:rPr>
              <w:rFonts w:hint="default"/>
              <w:lang w:val="en-US" w:eastAsia="zh-CN"/>
            </w:rPr>
            <w:t>1</w:t>
          </w:r>
          <w:r>
            <w:rPr>
              <w:rFonts w:hint="eastAsia"/>
              <w:lang w:val="en-US" w:eastAsia="zh-CN"/>
            </w:rPr>
            <w:t>0</w:t>
          </w:r>
          <w:r>
            <w:rPr>
              <w:rFonts w:hint="default"/>
              <w:lang w:val="en-US" w:eastAsia="zh-CN"/>
            </w:rPr>
            <w:t>.6</w:t>
          </w:r>
          <w:r>
            <w:rPr>
              <w:rFonts w:hint="eastAsia"/>
              <w:lang w:val="en-US" w:eastAsia="zh-CN"/>
            </w:rPr>
            <w:t>综合结论</w:t>
          </w:r>
          <w:r>
            <w:tab/>
          </w:r>
          <w:r>
            <w:fldChar w:fldCharType="begin"/>
          </w:r>
          <w:r>
            <w:instrText xml:space="preserve"> PAGEREF _Toc31373 \h </w:instrText>
          </w:r>
          <w:r>
            <w:fldChar w:fldCharType="separate"/>
          </w:r>
          <w:r>
            <w:t>65</w:t>
          </w:r>
          <w:r>
            <w:fldChar w:fldCharType="end"/>
          </w:r>
          <w:r>
            <w:rPr>
              <w:rFonts w:ascii="Times New Roman" w:hAnsi="Times New Roman" w:eastAsia="Times New Roman" w:cs="Times New Roman"/>
              <w:szCs w:val="24"/>
            </w:rPr>
            <w:fldChar w:fldCharType="end"/>
          </w:r>
        </w:p>
        <w:p>
          <w:pPr>
            <w:pStyle w:val="23"/>
            <w:tabs>
              <w:tab w:val="right" w:leader="dot" w:pos="8306"/>
            </w:tabs>
          </w:pPr>
          <w:r>
            <w:rPr>
              <w:rFonts w:ascii="Times New Roman" w:hAnsi="Times New Roman" w:eastAsia="Times New Roman" w:cs="Times New Roman"/>
              <w:szCs w:val="24"/>
            </w:rPr>
            <w:fldChar w:fldCharType="begin"/>
          </w:r>
          <w:r>
            <w:rPr>
              <w:rFonts w:ascii="Times New Roman" w:hAnsi="Times New Roman" w:eastAsia="Times New Roman" w:cs="Times New Roman"/>
              <w:szCs w:val="24"/>
            </w:rPr>
            <w:instrText xml:space="preserve"> HYPERLINK \l _Toc10646 </w:instrText>
          </w:r>
          <w:r>
            <w:rPr>
              <w:rFonts w:ascii="Times New Roman" w:hAnsi="Times New Roman" w:eastAsia="Times New Roman" w:cs="Times New Roman"/>
              <w:szCs w:val="24"/>
            </w:rPr>
            <w:fldChar w:fldCharType="separate"/>
          </w:r>
          <w:r>
            <w:rPr>
              <w:rFonts w:hint="default"/>
              <w:lang w:val="en-US" w:eastAsia="zh-CN"/>
            </w:rPr>
            <w:t>1</w:t>
          </w:r>
          <w:r>
            <w:rPr>
              <w:rFonts w:hint="eastAsia"/>
              <w:lang w:val="en-US" w:eastAsia="zh-CN"/>
            </w:rPr>
            <w:t>0</w:t>
          </w:r>
          <w:r>
            <w:rPr>
              <w:rFonts w:hint="default"/>
              <w:lang w:val="en-US" w:eastAsia="zh-CN"/>
            </w:rPr>
            <w:t>.7</w:t>
          </w:r>
          <w:r>
            <w:rPr>
              <w:rFonts w:hint="eastAsia"/>
              <w:lang w:val="en-US" w:eastAsia="zh-CN"/>
            </w:rPr>
            <w:t>建议</w:t>
          </w:r>
          <w:r>
            <w:tab/>
          </w:r>
          <w:r>
            <w:fldChar w:fldCharType="begin"/>
          </w:r>
          <w:r>
            <w:instrText xml:space="preserve"> PAGEREF _Toc10646 \h </w:instrText>
          </w:r>
          <w:r>
            <w:fldChar w:fldCharType="separate"/>
          </w:r>
          <w:r>
            <w:t>65</w:t>
          </w:r>
          <w:r>
            <w:fldChar w:fldCharType="end"/>
          </w:r>
          <w:r>
            <w:rPr>
              <w:rFonts w:ascii="Times New Roman" w:hAnsi="Times New Roman" w:eastAsia="Times New Roman" w:cs="Times New Roman"/>
              <w:szCs w:val="24"/>
            </w:rPr>
            <w:fldChar w:fldCharType="end"/>
          </w:r>
        </w:p>
        <w:p>
          <w:pPr>
            <w:pStyle w:val="9"/>
            <w:keepNext w:val="0"/>
            <w:keepLines w:val="0"/>
            <w:pageBreakBefore w:val="0"/>
            <w:widowControl/>
            <w:kinsoku w:val="0"/>
            <w:wordWrap/>
            <w:overflowPunct/>
            <w:topLinePunct w:val="0"/>
            <w:autoSpaceDE w:val="0"/>
            <w:autoSpaceDN w:val="0"/>
            <w:bidi w:val="0"/>
            <w:adjustRightInd w:val="0"/>
            <w:snapToGrid w:val="0"/>
            <w:spacing w:line="240" w:lineRule="auto"/>
            <w:textAlignment w:val="baseline"/>
            <w:rPr>
              <w:rFonts w:ascii="Times New Roman" w:hAnsi="Times New Roman" w:eastAsia="Times New Roman" w:cs="Times New Roman"/>
              <w:sz w:val="24"/>
              <w:szCs w:val="24"/>
            </w:rPr>
          </w:pPr>
          <w:r>
            <w:rPr>
              <w:rFonts w:ascii="Times New Roman" w:hAnsi="Times New Roman" w:eastAsia="Times New Roman" w:cs="Times New Roman"/>
              <w:szCs w:val="24"/>
            </w:rPr>
            <w:fldChar w:fldCharType="end"/>
          </w:r>
        </w:p>
      </w:sdtContent>
    </w:sdt>
    <w:p>
      <w:pPr>
        <w:pStyle w:val="9"/>
        <w:keepNext w:val="0"/>
        <w:keepLines w:val="0"/>
        <w:pageBreakBefore w:val="0"/>
        <w:widowControl/>
        <w:kinsoku w:val="0"/>
        <w:wordWrap/>
        <w:overflowPunct/>
        <w:topLinePunct w:val="0"/>
        <w:autoSpaceDE w:val="0"/>
        <w:autoSpaceDN w:val="0"/>
        <w:bidi w:val="0"/>
        <w:adjustRightInd w:val="0"/>
        <w:snapToGrid w:val="0"/>
        <w:spacing w:line="240" w:lineRule="auto"/>
        <w:textAlignment w:val="baseline"/>
        <w:rPr>
          <w:rFonts w:ascii="Times New Roman" w:hAnsi="Times New Roman" w:eastAsia="Times New Roman" w:cs="Times New Roman"/>
          <w:sz w:val="24"/>
          <w:szCs w:val="24"/>
        </w:rPr>
        <w:sectPr>
          <w:pgSz w:w="11906" w:h="16838"/>
          <w:pgMar w:top="1440" w:right="1800" w:bottom="1440" w:left="1800" w:header="992" w:footer="992" w:gutter="0"/>
          <w:pgBorders>
            <w:top w:val="none" w:sz="0" w:space="0"/>
            <w:left w:val="none" w:sz="0" w:space="0"/>
            <w:bottom w:val="none" w:sz="0" w:space="0"/>
            <w:right w:val="none" w:sz="0" w:space="0"/>
          </w:pgBorders>
          <w:cols w:space="425" w:num="1"/>
          <w:docGrid w:type="lines" w:linePitch="312" w:charSpace="0"/>
        </w:sectPr>
      </w:pPr>
    </w:p>
    <w:p>
      <w:pPr>
        <w:keepNext w:val="0"/>
        <w:keepLines w:val="0"/>
        <w:pageBreakBefore w:val="0"/>
        <w:widowControl/>
        <w:kinsoku w:val="0"/>
        <w:wordWrap/>
        <w:overflowPunct/>
        <w:topLinePunct w:val="0"/>
        <w:autoSpaceDE w:val="0"/>
        <w:autoSpaceDN w:val="0"/>
        <w:bidi w:val="0"/>
        <w:adjustRightInd w:val="0"/>
        <w:snapToGrid w:val="0"/>
        <w:spacing w:line="226" w:lineRule="auto"/>
        <w:ind w:left="0"/>
        <w:jc w:val="center"/>
        <w:textAlignment w:val="baseline"/>
        <w:outlineLvl w:val="0"/>
        <w:rPr>
          <w:rFonts w:ascii="宋体" w:hAnsi="宋体" w:eastAsia="宋体" w:cs="宋体"/>
          <w:spacing w:val="-9"/>
          <w:sz w:val="47"/>
          <w:szCs w:val="47"/>
          <w14:textOutline w14:w="8717" w14:cap="sq" w14:cmpd="sng">
            <w14:solidFill>
              <w14:srgbClr w14:val="000000"/>
            </w14:solidFill>
            <w14:prstDash w14:val="solid"/>
            <w14:bevel/>
          </w14:textOutline>
        </w:rPr>
        <w:sectPr>
          <w:pgSz w:w="11906" w:h="16839"/>
          <w:pgMar w:top="1440" w:right="1803" w:bottom="1440" w:left="1803" w:header="992" w:footer="992" w:gutter="0"/>
          <w:pgBorders>
            <w:top w:val="none" w:sz="0" w:space="0"/>
            <w:left w:val="none" w:sz="0" w:space="0"/>
            <w:bottom w:val="none" w:sz="0" w:space="0"/>
            <w:right w:val="none" w:sz="0" w:space="0"/>
          </w:pgBorders>
          <w:pgNumType w:fmt="decimal" w:start="1"/>
          <w:cols w:space="720" w:num="1"/>
        </w:sectPr>
      </w:pPr>
      <w:bookmarkStart w:id="3" w:name="_Toc9387"/>
    </w:p>
    <w:p>
      <w:pPr>
        <w:keepNext w:val="0"/>
        <w:keepLines w:val="0"/>
        <w:pageBreakBefore w:val="0"/>
        <w:widowControl/>
        <w:kinsoku w:val="0"/>
        <w:wordWrap/>
        <w:overflowPunct/>
        <w:topLinePunct w:val="0"/>
        <w:autoSpaceDE w:val="0"/>
        <w:autoSpaceDN w:val="0"/>
        <w:bidi w:val="0"/>
        <w:adjustRightInd w:val="0"/>
        <w:snapToGrid w:val="0"/>
        <w:spacing w:line="226" w:lineRule="auto"/>
        <w:ind w:left="0" w:firstLine="0" w:firstLineChars="0"/>
        <w:jc w:val="center"/>
        <w:textAlignment w:val="baseline"/>
        <w:outlineLvl w:val="0"/>
        <w:rPr>
          <w:rFonts w:ascii="宋体" w:hAnsi="宋体" w:eastAsia="宋体" w:cs="宋体"/>
          <w:sz w:val="47"/>
          <w:szCs w:val="47"/>
        </w:rPr>
      </w:pPr>
      <w:r>
        <w:rPr>
          <w:rFonts w:ascii="宋体" w:hAnsi="宋体" w:eastAsia="宋体" w:cs="宋体"/>
          <w:spacing w:val="-9"/>
          <w:sz w:val="47"/>
          <w:szCs w:val="47"/>
          <w14:textOutline w14:w="8717" w14:cap="sq" w14:cmpd="sng">
            <w14:solidFill>
              <w14:srgbClr w14:val="000000"/>
            </w14:solidFill>
            <w14:prstDash w14:val="solid"/>
            <w14:bevel/>
          </w14:textOutline>
        </w:rPr>
        <w:t>前</w:t>
      </w:r>
      <w:r>
        <w:rPr>
          <w:rFonts w:hint="eastAsia" w:ascii="宋体" w:hAnsi="宋体" w:eastAsia="宋体" w:cs="宋体"/>
          <w:spacing w:val="-9"/>
          <w:sz w:val="47"/>
          <w:szCs w:val="47"/>
          <w:lang w:val="en-US" w:eastAsia="zh-CN"/>
          <w14:textOutline w14:w="8717" w14:cap="sq" w14:cmpd="sng">
            <w14:solidFill>
              <w14:srgbClr w14:val="000000"/>
            </w14:solidFill>
            <w14:prstDash w14:val="solid"/>
            <w14:bevel/>
          </w14:textOutline>
        </w:rPr>
        <w:t xml:space="preserve"> </w:t>
      </w:r>
      <w:r>
        <w:rPr>
          <w:rFonts w:ascii="宋体" w:hAnsi="宋体" w:eastAsia="宋体" w:cs="宋体"/>
          <w:spacing w:val="-9"/>
          <w:sz w:val="47"/>
          <w:szCs w:val="47"/>
          <w14:textOutline w14:w="8717" w14:cap="sq" w14:cmpd="sng">
            <w14:solidFill>
              <w14:srgbClr w14:val="000000"/>
            </w14:solidFill>
            <w14:prstDash w14:val="solid"/>
            <w14:bevel/>
          </w14:textOutline>
        </w:rPr>
        <w:t>言</w:t>
      </w:r>
      <w:bookmarkEnd w:id="3"/>
    </w:p>
    <w:p>
      <w:pPr>
        <w:bidi w:val="0"/>
        <w:rPr>
          <w:rFonts w:hint="eastAsia"/>
          <w:lang w:eastAsia="zh-CN"/>
        </w:rPr>
      </w:pPr>
      <w:r>
        <w:t>奎屯市是中国西北部一座新兴的工商业城市，312国道和217国道交汇于奎屯市</w:t>
      </w:r>
      <w:r>
        <w:rPr>
          <w:rFonts w:hint="eastAsia"/>
          <w:lang w:eastAsia="zh-CN"/>
        </w:rPr>
        <w:t>。开发区2017年基础设施建设项目配套道路及附属工程拟对奎屯—独山子经济技术开发区内道路进行重新规划建设，其中新建园区主干路一条、次干路两条，改建主干路一条、次干路两条。开发区2017年基础设施建设项目配套道路及附属工程主要作为改善民生、加强基础设施建设的市政工程，对有效提高道路通行能力，改善该区域交通拥堵状况有着重要的意义。</w:t>
      </w:r>
    </w:p>
    <w:p>
      <w:pPr>
        <w:bidi w:val="0"/>
        <w:rPr>
          <w:rFonts w:hint="eastAsia"/>
          <w:lang w:eastAsia="zh-CN"/>
        </w:rPr>
      </w:pPr>
      <w:r>
        <w:rPr>
          <w:rFonts w:hint="eastAsia"/>
          <w:lang w:eastAsia="zh-CN"/>
        </w:rPr>
        <w:t>开发区2017年基础设施建设项目配套道路及附属工程，位于奎屯-独山子经济技术开发区。本项目建设道路总长度17.39km，属道路新建、改扩建项目其中新建、改扩建道路各3条。各条道路位置分述如下：(1)阿克苏路东延起点与鄯善街相交，终点接长江路，道路全长7225.06m；(2)南环路东延起点为黄河路，终点为长江路，道路全长3127.66m；(3)淮河路起点为217国道，终点为福盛路交汇点，道路全长1248.78m；(4)东外环路起点为东外环路与贵阳路交叉路口，终点为与S115线交叉路口，道路</w:t>
      </w:r>
      <w:r>
        <w:rPr>
          <w:rFonts w:hint="eastAsia"/>
          <w:lang w:val="en-US" w:eastAsia="zh-CN"/>
        </w:rPr>
        <w:t>全长</w:t>
      </w:r>
      <w:r>
        <w:rPr>
          <w:rFonts w:hint="eastAsia"/>
          <w:lang w:eastAsia="zh-CN"/>
        </w:rPr>
        <w:t>2720.509m；(5)米泉街起点为南环路南侧拟建厂区门口，道路终点为阿克苏路与米泉街交汇点，道路全长1499.722m；(6)吐鲁番街起点为南环路与吐鲁番街交汇点，终点为库尔勒路与吐鲁番街交汇点，道路全长1572.724m。项目总投资23300万元：其中环保投资2349万元，占总投资的10.08%。</w:t>
      </w:r>
    </w:p>
    <w:p>
      <w:pPr>
        <w:bidi w:val="0"/>
      </w:pPr>
      <w:r>
        <w:t>201</w:t>
      </w:r>
      <w:r>
        <w:rPr>
          <w:rFonts w:hint="eastAsia"/>
          <w:lang w:val="en-US" w:eastAsia="zh-CN"/>
        </w:rPr>
        <w:t>7</w:t>
      </w:r>
      <w:r>
        <w:t>年</w:t>
      </w:r>
      <w:r>
        <w:rPr>
          <w:rFonts w:hint="eastAsia"/>
          <w:lang w:val="en-US" w:eastAsia="zh-CN"/>
        </w:rPr>
        <w:t>6</w:t>
      </w:r>
      <w:r>
        <w:t>月，</w:t>
      </w:r>
      <w:r>
        <w:rPr>
          <w:rFonts w:hint="eastAsia"/>
          <w:lang w:val="en-US" w:eastAsia="zh-CN"/>
        </w:rPr>
        <w:t>新疆润盛投资发展有限公司</w:t>
      </w:r>
      <w:r>
        <w:t>委托</w:t>
      </w:r>
      <w:r>
        <w:rPr>
          <w:rFonts w:hint="eastAsia"/>
          <w:lang w:val="en-US" w:eastAsia="zh-CN"/>
        </w:rPr>
        <w:t>新疆天合环境技术咨询有限公司</w:t>
      </w:r>
      <w:r>
        <w:t>编制《</w:t>
      </w:r>
      <w:r>
        <w:rPr>
          <w:rFonts w:hint="eastAsia"/>
          <w:lang w:val="en-US" w:eastAsia="zh-CN"/>
        </w:rPr>
        <w:t>开</w:t>
      </w:r>
      <w:r>
        <w:t>发区2017年基础设施建设</w:t>
      </w:r>
      <w:r>
        <w:rPr>
          <w:rFonts w:hint="eastAsia"/>
          <w:lang w:val="en-US" w:eastAsia="zh-CN"/>
        </w:rPr>
        <w:t>项目</w:t>
      </w:r>
      <w:r>
        <w:t>配套道路及附属工程项目环境影响报告书》，并于2017年</w:t>
      </w:r>
      <w:r>
        <w:rPr>
          <w:rFonts w:hint="eastAsia"/>
          <w:lang w:val="en-US" w:eastAsia="zh-CN"/>
        </w:rPr>
        <w:t>6</w:t>
      </w:r>
      <w:r>
        <w:t>月</w:t>
      </w:r>
      <w:r>
        <w:rPr>
          <w:rFonts w:hint="eastAsia"/>
          <w:lang w:val="en-US" w:eastAsia="zh-CN"/>
        </w:rPr>
        <w:t>30</w:t>
      </w:r>
      <w:r>
        <w:t>日，该项目通过</w:t>
      </w:r>
      <w:r>
        <w:rPr>
          <w:rFonts w:hint="eastAsia"/>
          <w:lang w:val="en-US" w:eastAsia="zh-CN"/>
        </w:rPr>
        <w:t>原奎屯-独山子经济技术开发区环境保护局</w:t>
      </w:r>
      <w:r>
        <w:t>的批复(文件号：</w:t>
      </w:r>
      <w:r>
        <w:rPr>
          <w:rFonts w:hint="eastAsia"/>
          <w:lang w:val="en-US" w:eastAsia="zh-CN"/>
        </w:rPr>
        <w:t>奎独开环函</w:t>
      </w:r>
      <w:r>
        <w:rPr>
          <w:rFonts w:hint="default"/>
        </w:rPr>
        <w:t>[</w:t>
      </w:r>
      <w:r>
        <w:rPr>
          <w:rFonts w:hint="default"/>
          <w:lang w:val="en-US" w:eastAsia="zh-CN"/>
        </w:rPr>
        <w:t>20</w:t>
      </w:r>
      <w:r>
        <w:rPr>
          <w:rFonts w:hint="eastAsia"/>
          <w:lang w:val="en-US" w:eastAsia="zh-CN"/>
        </w:rPr>
        <w:t>17</w:t>
      </w:r>
      <w:r>
        <w:rPr>
          <w:rFonts w:hint="default"/>
        </w:rPr>
        <w:t>]</w:t>
      </w:r>
      <w:r>
        <w:rPr>
          <w:rFonts w:hint="eastAsia"/>
          <w:lang w:val="en-US" w:eastAsia="zh-CN"/>
        </w:rPr>
        <w:t>14</w:t>
      </w:r>
      <w:r>
        <w:rPr>
          <w:rFonts w:hint="default"/>
        </w:rPr>
        <w:t>号</w:t>
      </w:r>
      <w:r>
        <w:t>)。</w:t>
      </w:r>
    </w:p>
    <w:p>
      <w:pPr>
        <w:bidi w:val="0"/>
      </w:pPr>
      <w:r>
        <w:t>该项目于201</w:t>
      </w:r>
      <w:r>
        <w:rPr>
          <w:rFonts w:hint="eastAsia"/>
          <w:lang w:val="en-US" w:eastAsia="zh-CN"/>
        </w:rPr>
        <w:t>8</w:t>
      </w:r>
      <w:r>
        <w:t>年0</w:t>
      </w:r>
      <w:r>
        <w:rPr>
          <w:rFonts w:hint="eastAsia"/>
          <w:lang w:val="en-US" w:eastAsia="zh-CN"/>
        </w:rPr>
        <w:t>6</w:t>
      </w:r>
      <w:r>
        <w:t>月开工建设，20</w:t>
      </w:r>
      <w:r>
        <w:rPr>
          <w:rFonts w:hint="eastAsia"/>
          <w:lang w:val="en-US" w:eastAsia="zh-CN"/>
        </w:rPr>
        <w:t>23</w:t>
      </w:r>
      <w:r>
        <w:t>年0</w:t>
      </w:r>
      <w:r>
        <w:rPr>
          <w:rFonts w:hint="eastAsia"/>
          <w:lang w:val="en-US" w:eastAsia="zh-CN"/>
        </w:rPr>
        <w:t>9</w:t>
      </w:r>
      <w:r>
        <w:t>月竣工。</w:t>
      </w:r>
    </w:p>
    <w:p>
      <w:pPr>
        <w:bidi w:val="0"/>
      </w:pPr>
      <w:r>
        <w:t>202</w:t>
      </w:r>
      <w:r>
        <w:rPr>
          <w:rFonts w:hint="eastAsia"/>
          <w:lang w:val="en-US" w:eastAsia="zh-CN"/>
        </w:rPr>
        <w:t>4</w:t>
      </w:r>
      <w:r>
        <w:t>年</w:t>
      </w:r>
      <w:r>
        <w:rPr>
          <w:rFonts w:hint="eastAsia"/>
          <w:lang w:val="en-US" w:eastAsia="zh-CN"/>
        </w:rPr>
        <w:t>01</w:t>
      </w:r>
      <w:r>
        <w:t>月，根据环境保护有关法律法规及建设项目竣工环境保护验收管理办法的有关规定，特委托</w:t>
      </w:r>
      <w:r>
        <w:rPr>
          <w:rFonts w:hint="eastAsia"/>
          <w:lang w:val="en-US" w:eastAsia="zh-CN"/>
        </w:rPr>
        <w:t>新农丽景环境咨询有限公司</w:t>
      </w:r>
      <w:r>
        <w:t>对项目进行竣工环境保护验收监测工作（委托书详见附件</w:t>
      </w:r>
      <w:r>
        <w:rPr>
          <w:rFonts w:hint="eastAsia"/>
          <w:lang w:val="en-US" w:eastAsia="zh-CN"/>
        </w:rPr>
        <w:t>1</w:t>
      </w:r>
      <w:r>
        <w:t>）。</w:t>
      </w:r>
    </w:p>
    <w:p>
      <w:pPr>
        <w:bidi w:val="0"/>
      </w:pPr>
      <w:r>
        <w:t>根据《中华人民共和国环境保护法》、《建设项目竣工环境保护验收管理办法》等有关规定，按照环境保护“三同时”制度要求，建设项目必须进行竣工环境保护验收，查清工程建设过程中对设计文件、环境影响评价文件及环评批复提出的环境保护设施和措施的落实情况，调查分析工程在建设和运行阶段对环境造成的实际影响和可能的潜在影响，以便采取有效的环境补救和减缓措施。为此，</w:t>
      </w:r>
      <w:r>
        <w:rPr>
          <w:rFonts w:hint="eastAsia"/>
          <w:lang w:val="en-US" w:eastAsia="zh-CN"/>
        </w:rPr>
        <w:t>新疆润盛投资发展有限公司</w:t>
      </w:r>
      <w:r>
        <w:t>委托</w:t>
      </w:r>
      <w:r>
        <w:rPr>
          <w:rFonts w:hint="eastAsia"/>
          <w:lang w:val="en-US" w:eastAsia="zh-CN"/>
        </w:rPr>
        <w:t>新农丽景环境咨询</w:t>
      </w:r>
      <w:r>
        <w:t>有限公司对已竣工的</w:t>
      </w:r>
      <w:r>
        <w:rPr>
          <w:rFonts w:hint="eastAsia"/>
          <w:lang w:val="en-US" w:eastAsia="zh-CN"/>
        </w:rPr>
        <w:t>开发区2017年基础设施建设项目配套道路及附属工程</w:t>
      </w:r>
      <w:r>
        <w:t>项目进行了环境保护验收调查工作。在报告编制过程中，</w:t>
      </w:r>
      <w:r>
        <w:rPr>
          <w:rFonts w:hint="eastAsia"/>
          <w:lang w:val="en-US" w:eastAsia="zh-CN"/>
        </w:rPr>
        <w:t>新农丽景环境咨询</w:t>
      </w:r>
      <w:r>
        <w:t>有限公司对项目所在地进行了多次实地勘查，并收集了项目的设计资料及项目竣工的有关资料，对区域生态、水土流失、环境敏感目标、污染源等情况进行了详细调查分析，同时还走访了周边居民，认真听取了当地群众意见。在此基础上，依据检查和监测结果编制完成了《</w:t>
      </w:r>
      <w:r>
        <w:rPr>
          <w:rFonts w:hint="eastAsia"/>
          <w:lang w:val="en-US" w:eastAsia="zh-CN"/>
        </w:rPr>
        <w:t>开发区2017年基础设施建设项目配套道路及附属工程</w:t>
      </w:r>
      <w:r>
        <w:t>项目竣工环境保护验收调查报告》。</w:t>
      </w:r>
    </w:p>
    <w:p>
      <w:pPr>
        <w:bidi w:val="0"/>
      </w:pPr>
      <w:r>
        <w:t>本工程基础信息见下表：</w:t>
      </w:r>
    </w:p>
    <w:p>
      <w:pPr>
        <w:pStyle w:val="16"/>
        <w:bidi w:val="0"/>
      </w:pPr>
      <w:r>
        <w:t>基本信息表</w:t>
      </w:r>
    </w:p>
    <w:tbl>
      <w:tblPr>
        <w:tblStyle w:val="20"/>
        <w:tblW w:w="812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54"/>
        <w:gridCol w:w="2486"/>
        <w:gridCol w:w="1770"/>
        <w:gridCol w:w="1080"/>
        <w:gridCol w:w="540"/>
        <w:gridCol w:w="69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766" w:hRule="atLeast"/>
          <w:jc w:val="center"/>
        </w:trPr>
        <w:tc>
          <w:tcPr>
            <w:tcW w:w="1554" w:type="dxa"/>
            <w:tcBorders>
              <w:top w:val="single" w:color="000000" w:sz="6" w:space="0"/>
              <w:left w:val="single" w:color="000000" w:sz="6" w:space="0"/>
            </w:tcBorders>
            <w:vAlign w:val="center"/>
          </w:tcPr>
          <w:p>
            <w:pPr>
              <w:pStyle w:val="18"/>
              <w:bidi w:val="0"/>
              <w:jc w:val="center"/>
            </w:pPr>
            <w:r>
              <w:t>建设项目名称</w:t>
            </w:r>
          </w:p>
        </w:tc>
        <w:tc>
          <w:tcPr>
            <w:tcW w:w="6570" w:type="dxa"/>
            <w:gridSpan w:val="5"/>
            <w:tcBorders>
              <w:top w:val="single" w:color="000000" w:sz="6" w:space="0"/>
              <w:right w:val="single" w:color="000000" w:sz="6" w:space="0"/>
            </w:tcBorders>
            <w:vAlign w:val="center"/>
          </w:tcPr>
          <w:p>
            <w:pPr>
              <w:pStyle w:val="18"/>
              <w:bidi w:val="0"/>
              <w:jc w:val="center"/>
            </w:pPr>
            <w:r>
              <w:rPr>
                <w:rFonts w:hint="eastAsia"/>
                <w:lang w:val="en-US" w:eastAsia="zh-CN"/>
              </w:rPr>
              <w:t>开发区2017年基础设施建设项目配套道路及附属工程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6" w:hRule="atLeast"/>
          <w:jc w:val="center"/>
        </w:trPr>
        <w:tc>
          <w:tcPr>
            <w:tcW w:w="1554" w:type="dxa"/>
            <w:tcBorders>
              <w:left w:val="single" w:color="000000" w:sz="6" w:space="0"/>
            </w:tcBorders>
            <w:vAlign w:val="center"/>
          </w:tcPr>
          <w:p>
            <w:pPr>
              <w:pStyle w:val="18"/>
              <w:bidi w:val="0"/>
              <w:jc w:val="center"/>
            </w:pPr>
            <w:r>
              <w:t>建设单位名称</w:t>
            </w:r>
          </w:p>
        </w:tc>
        <w:tc>
          <w:tcPr>
            <w:tcW w:w="6570" w:type="dxa"/>
            <w:gridSpan w:val="5"/>
            <w:tcBorders>
              <w:right w:val="single" w:color="000000" w:sz="6" w:space="0"/>
            </w:tcBorders>
            <w:vAlign w:val="center"/>
          </w:tcPr>
          <w:p>
            <w:pPr>
              <w:pStyle w:val="18"/>
              <w:bidi w:val="0"/>
              <w:jc w:val="center"/>
              <w:rPr>
                <w:rFonts w:hint="default"/>
                <w:lang w:val="en-US" w:eastAsia="zh-CN"/>
              </w:rPr>
            </w:pPr>
            <w:r>
              <w:rPr>
                <w:rFonts w:hint="eastAsia"/>
                <w:lang w:val="en-US" w:eastAsia="zh-CN"/>
              </w:rPr>
              <w:t>新疆润盛投资发展有限公司</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1" w:hRule="atLeast"/>
          <w:jc w:val="center"/>
        </w:trPr>
        <w:tc>
          <w:tcPr>
            <w:tcW w:w="1554" w:type="dxa"/>
            <w:tcBorders>
              <w:left w:val="single" w:color="000000" w:sz="6" w:space="0"/>
            </w:tcBorders>
            <w:vAlign w:val="center"/>
          </w:tcPr>
          <w:p>
            <w:pPr>
              <w:pStyle w:val="18"/>
              <w:bidi w:val="0"/>
              <w:jc w:val="center"/>
            </w:pPr>
            <w:r>
              <w:t>建设项目性质</w:t>
            </w:r>
          </w:p>
        </w:tc>
        <w:tc>
          <w:tcPr>
            <w:tcW w:w="6570" w:type="dxa"/>
            <w:gridSpan w:val="5"/>
            <w:tcBorders>
              <w:right w:val="single" w:color="000000" w:sz="6" w:space="0"/>
            </w:tcBorders>
            <w:vAlign w:val="center"/>
          </w:tcPr>
          <w:p>
            <w:pPr>
              <w:pStyle w:val="18"/>
              <w:bidi w:val="0"/>
              <w:jc w:val="center"/>
              <w:rPr>
                <w:rFonts w:hint="default"/>
                <w:lang w:val="en-US" w:eastAsia="zh-CN"/>
              </w:rPr>
            </w:pPr>
            <w:r>
              <w:t>新建</w:t>
            </w:r>
            <w:r>
              <w:rPr>
                <w:rFonts w:hint="eastAsia"/>
                <w:lang w:eastAsia="zh-CN"/>
              </w:rPr>
              <w:t>、</w:t>
            </w:r>
            <w:r>
              <w:rPr>
                <w:rFonts w:hint="eastAsia"/>
                <w:lang w:val="en-US" w:eastAsia="zh-CN"/>
              </w:rPr>
              <w:t>改扩建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49" w:hRule="atLeast"/>
          <w:jc w:val="center"/>
        </w:trPr>
        <w:tc>
          <w:tcPr>
            <w:tcW w:w="1554" w:type="dxa"/>
            <w:tcBorders>
              <w:left w:val="single" w:color="000000" w:sz="6" w:space="0"/>
            </w:tcBorders>
            <w:vAlign w:val="center"/>
          </w:tcPr>
          <w:p>
            <w:pPr>
              <w:pStyle w:val="18"/>
              <w:bidi w:val="0"/>
              <w:jc w:val="center"/>
            </w:pPr>
            <w:r>
              <w:t>建设地点</w:t>
            </w:r>
          </w:p>
        </w:tc>
        <w:tc>
          <w:tcPr>
            <w:tcW w:w="6570" w:type="dxa"/>
            <w:gridSpan w:val="5"/>
            <w:tcBorders>
              <w:right w:val="single" w:color="000000" w:sz="6" w:space="0"/>
            </w:tcBorders>
            <w:vAlign w:val="center"/>
          </w:tcPr>
          <w:p>
            <w:pPr>
              <w:pStyle w:val="18"/>
              <w:bidi w:val="0"/>
              <w:jc w:val="center"/>
            </w:pPr>
            <w:r>
              <w:rPr>
                <w:rFonts w:hint="eastAsia"/>
                <w:lang w:val="en-US" w:eastAsia="zh-CN"/>
              </w:rPr>
              <w:t>奎屯-独山子经济技术开发区内：(1)阿克苏路东延起点与部善街相交，终点接长江路，道路全长7225.06m，道路起点坐标N44°24′46.5″，E84°57′12.4″，终点坐标N44°24′25.7″，E85°02′38.8″；(2)南环路东延起点为黄河路，终点为长江路，道路全长3127.66m，道路起点坐标N44°23′40.1″，E85°00′06.5″，终点坐标N44°23′33.0″，E85°02′32.4″；(3)淮河路起点为217国道，终点为福盛路交汇点，道路全长1248.78m，道路起点坐标N44°23′38.7″，E84°51′21.5″，终点坐标N44°23′31.6″，E84°50′36.8″；(4)东外环路起点为东外环路与贵阳路交叉路口，终点为与S115线交叉路口，道路全长2720.509m，道路起点坐标N44°21′37.3″，E84°58′19.6″，终点坐标N44°23′05.2″，E84°58′16.6″；(5)米泉街起点为南环路南侧拟建厂区门口，道路终点为阿克苏路与呼图壁街交汇点，道路全长1499.722m，道路起点坐标N44°24′00.2″，E84°57′36.7″，终点坐标N44°24′43.6″，E84°57′41.5″；(6)吐鲁番街起点为南环路与吐鲁番街交汇点，终点为库尔勒路与吐鲁番街交汇点，道路全长1572.724m，道路起点坐标N44°24′10.8″，E84°56′40.1″，终点坐标N44°25′01.0″，E84°56′46.1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9" w:hRule="atLeast"/>
          <w:jc w:val="center"/>
        </w:trPr>
        <w:tc>
          <w:tcPr>
            <w:tcW w:w="1554" w:type="dxa"/>
            <w:tcBorders>
              <w:left w:val="single" w:color="000000" w:sz="6" w:space="0"/>
            </w:tcBorders>
            <w:vAlign w:val="center"/>
          </w:tcPr>
          <w:p>
            <w:pPr>
              <w:pStyle w:val="18"/>
              <w:bidi w:val="0"/>
              <w:jc w:val="center"/>
            </w:pPr>
            <w:r>
              <w:t>环境影响报告</w:t>
            </w:r>
          </w:p>
          <w:p>
            <w:pPr>
              <w:pStyle w:val="18"/>
              <w:bidi w:val="0"/>
              <w:jc w:val="center"/>
            </w:pPr>
            <w:r>
              <w:t>表名称</w:t>
            </w:r>
          </w:p>
        </w:tc>
        <w:tc>
          <w:tcPr>
            <w:tcW w:w="6570" w:type="dxa"/>
            <w:gridSpan w:val="5"/>
            <w:tcBorders>
              <w:right w:val="single" w:color="000000" w:sz="6" w:space="0"/>
            </w:tcBorders>
            <w:vAlign w:val="center"/>
          </w:tcPr>
          <w:p>
            <w:pPr>
              <w:pStyle w:val="18"/>
              <w:bidi w:val="0"/>
              <w:jc w:val="center"/>
            </w:pPr>
            <w:r>
              <w:rPr>
                <w:rFonts w:hint="eastAsia"/>
                <w:lang w:val="en-US" w:eastAsia="zh-CN"/>
              </w:rPr>
              <w:t>开发区2017年基础设施建设项目配套道路及附属工程环境影响报告书</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7" w:hRule="atLeast"/>
          <w:jc w:val="center"/>
        </w:trPr>
        <w:tc>
          <w:tcPr>
            <w:tcW w:w="1554" w:type="dxa"/>
            <w:tcBorders>
              <w:left w:val="single" w:color="000000" w:sz="6" w:space="0"/>
            </w:tcBorders>
            <w:vAlign w:val="center"/>
          </w:tcPr>
          <w:p>
            <w:pPr>
              <w:pStyle w:val="18"/>
              <w:bidi w:val="0"/>
              <w:jc w:val="center"/>
            </w:pPr>
            <w:r>
              <w:t>行业类别</w:t>
            </w:r>
          </w:p>
        </w:tc>
        <w:tc>
          <w:tcPr>
            <w:tcW w:w="2486" w:type="dxa"/>
            <w:vAlign w:val="center"/>
          </w:tcPr>
          <w:p>
            <w:pPr>
              <w:pStyle w:val="18"/>
              <w:bidi w:val="0"/>
              <w:jc w:val="center"/>
              <w:rPr>
                <w:rFonts w:hint="default"/>
                <w:lang w:val="en-US"/>
              </w:rPr>
            </w:pPr>
            <w:r>
              <w:rPr>
                <w:rFonts w:hint="eastAsia"/>
                <w:lang w:val="en-US" w:eastAsia="zh-CN"/>
              </w:rPr>
              <w:t>道路运输业</w:t>
            </w:r>
          </w:p>
        </w:tc>
        <w:tc>
          <w:tcPr>
            <w:tcW w:w="1770" w:type="dxa"/>
            <w:vAlign w:val="center"/>
          </w:tcPr>
          <w:p>
            <w:pPr>
              <w:pStyle w:val="18"/>
              <w:bidi w:val="0"/>
              <w:jc w:val="center"/>
            </w:pPr>
            <w:r>
              <w:t>验收现场监测时间</w:t>
            </w:r>
          </w:p>
        </w:tc>
        <w:tc>
          <w:tcPr>
            <w:tcW w:w="2314" w:type="dxa"/>
            <w:gridSpan w:val="3"/>
            <w:tcBorders>
              <w:right w:val="single" w:color="000000" w:sz="6" w:space="0"/>
            </w:tcBorders>
            <w:vAlign w:val="center"/>
          </w:tcPr>
          <w:p>
            <w:pPr>
              <w:pStyle w:val="18"/>
              <w:bidi w:val="0"/>
              <w:jc w:val="center"/>
              <w:rPr>
                <w:rFonts w:hint="eastAsia" w:eastAsia="宋体"/>
                <w:lang w:eastAsia="zh-CN"/>
              </w:rPr>
            </w:pPr>
            <w:r>
              <w:t>202</w:t>
            </w:r>
            <w:r>
              <w:rPr>
                <w:rFonts w:hint="eastAsia"/>
                <w:lang w:val="en-US" w:eastAsia="zh-CN"/>
              </w:rPr>
              <w:t>4</w:t>
            </w:r>
            <w:r>
              <w:t>.</w:t>
            </w:r>
            <w:r>
              <w:rPr>
                <w:rFonts w:hint="eastAsia"/>
                <w:lang w:val="en-US" w:eastAsia="zh-CN"/>
              </w:rPr>
              <w:t>02</w:t>
            </w:r>
            <w:r>
              <w:t>.</w:t>
            </w:r>
            <w:r>
              <w:rPr>
                <w:rFonts w:hint="eastAsia"/>
                <w:lang w:val="en-US" w:eastAsia="zh-CN"/>
              </w:rPr>
              <w:t>02</w:t>
            </w:r>
            <w:r>
              <w:t>~202</w:t>
            </w:r>
            <w:r>
              <w:rPr>
                <w:rFonts w:hint="eastAsia"/>
                <w:lang w:val="en-US" w:eastAsia="zh-CN"/>
              </w:rPr>
              <w:t>4</w:t>
            </w:r>
            <w:r>
              <w:t>.</w:t>
            </w:r>
            <w:r>
              <w:rPr>
                <w:rFonts w:hint="eastAsia"/>
                <w:lang w:val="en-US" w:eastAsia="zh-CN"/>
              </w:rPr>
              <w:t>02</w:t>
            </w:r>
            <w:r>
              <w:t>.</w:t>
            </w:r>
            <w:r>
              <w:rPr>
                <w:rFonts w:hint="eastAsia"/>
                <w:lang w:val="en-US" w:eastAsia="zh-CN"/>
              </w:rPr>
              <w:t>03</w:t>
            </w:r>
          </w:p>
          <w:p>
            <w:pPr>
              <w:pStyle w:val="18"/>
              <w:bidi w:val="0"/>
              <w:jc w:val="center"/>
              <w:rPr>
                <w:rFonts w:hint="default" w:eastAsia="宋体"/>
                <w:lang w:val="en-US" w:eastAsia="zh-CN"/>
              </w:rPr>
            </w:pPr>
            <w:r>
              <w:t>202</w:t>
            </w:r>
            <w:r>
              <w:rPr>
                <w:rFonts w:hint="eastAsia"/>
                <w:lang w:val="en-US" w:eastAsia="zh-CN"/>
              </w:rPr>
              <w:t>4</w:t>
            </w:r>
            <w:r>
              <w:t>.</w:t>
            </w:r>
            <w:r>
              <w:rPr>
                <w:rFonts w:hint="eastAsia"/>
                <w:lang w:val="en-US" w:eastAsia="zh-CN"/>
              </w:rPr>
              <w:t>02</w:t>
            </w:r>
            <w:r>
              <w:t>.</w:t>
            </w:r>
            <w:r>
              <w:rPr>
                <w:rFonts w:hint="eastAsia"/>
                <w:lang w:val="en-US" w:eastAsia="zh-CN"/>
              </w:rPr>
              <w:t>29</w:t>
            </w:r>
            <w:r>
              <w:t>~202</w:t>
            </w:r>
            <w:r>
              <w:rPr>
                <w:rFonts w:hint="eastAsia"/>
                <w:lang w:val="en-US" w:eastAsia="zh-CN"/>
              </w:rPr>
              <w:t>4</w:t>
            </w:r>
            <w:r>
              <w:t>.0</w:t>
            </w:r>
            <w:r>
              <w:rPr>
                <w:rFonts w:hint="eastAsia"/>
                <w:lang w:val="en-US" w:eastAsia="zh-CN"/>
              </w:rPr>
              <w:t>3</w:t>
            </w:r>
            <w:r>
              <w:t>.</w:t>
            </w:r>
            <w:r>
              <w:rPr>
                <w:rFonts w:hint="eastAsia"/>
                <w:lang w:val="en-US" w:eastAsia="zh-CN"/>
              </w:rPr>
              <w:t>01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6" w:hRule="atLeast"/>
          <w:jc w:val="center"/>
        </w:trPr>
        <w:tc>
          <w:tcPr>
            <w:tcW w:w="1554" w:type="dxa"/>
            <w:tcBorders>
              <w:left w:val="single" w:color="000000" w:sz="6" w:space="0"/>
            </w:tcBorders>
            <w:vAlign w:val="center"/>
          </w:tcPr>
          <w:p>
            <w:pPr>
              <w:pStyle w:val="18"/>
              <w:bidi w:val="0"/>
              <w:jc w:val="center"/>
            </w:pPr>
            <w:r>
              <w:t>环评报告表</w:t>
            </w:r>
          </w:p>
          <w:p>
            <w:pPr>
              <w:pStyle w:val="18"/>
              <w:bidi w:val="0"/>
              <w:jc w:val="center"/>
            </w:pPr>
            <w:r>
              <w:t>审批部门</w:t>
            </w:r>
          </w:p>
        </w:tc>
        <w:tc>
          <w:tcPr>
            <w:tcW w:w="2486" w:type="dxa"/>
            <w:vAlign w:val="center"/>
          </w:tcPr>
          <w:p>
            <w:pPr>
              <w:pStyle w:val="18"/>
              <w:bidi w:val="0"/>
              <w:jc w:val="center"/>
            </w:pPr>
            <w:r>
              <w:rPr>
                <w:rFonts w:hint="eastAsia"/>
                <w:lang w:val="en-US" w:eastAsia="zh-CN"/>
              </w:rPr>
              <w:t>原奎屯-独山子经济技术开发区环境保护局</w:t>
            </w:r>
          </w:p>
        </w:tc>
        <w:tc>
          <w:tcPr>
            <w:tcW w:w="1770" w:type="dxa"/>
            <w:vAlign w:val="center"/>
          </w:tcPr>
          <w:p>
            <w:pPr>
              <w:pStyle w:val="18"/>
              <w:bidi w:val="0"/>
              <w:jc w:val="center"/>
              <w:rPr>
                <w:rFonts w:hint="eastAsia" w:eastAsia="宋体"/>
                <w:lang w:eastAsia="zh-CN"/>
              </w:rPr>
            </w:pPr>
            <w:r>
              <w:t>环评报告</w:t>
            </w:r>
            <w:r>
              <w:rPr>
                <w:rFonts w:hint="eastAsia"/>
                <w:lang w:val="en-US" w:eastAsia="zh-CN"/>
              </w:rPr>
              <w:t>书</w:t>
            </w:r>
          </w:p>
          <w:p>
            <w:pPr>
              <w:pStyle w:val="18"/>
              <w:bidi w:val="0"/>
              <w:jc w:val="center"/>
            </w:pPr>
            <w:r>
              <w:t>编制单位</w:t>
            </w:r>
          </w:p>
        </w:tc>
        <w:tc>
          <w:tcPr>
            <w:tcW w:w="2314" w:type="dxa"/>
            <w:gridSpan w:val="3"/>
            <w:tcBorders>
              <w:right w:val="single" w:color="000000" w:sz="6" w:space="0"/>
            </w:tcBorders>
            <w:vAlign w:val="center"/>
          </w:tcPr>
          <w:p>
            <w:pPr>
              <w:pStyle w:val="18"/>
              <w:bidi w:val="0"/>
              <w:jc w:val="center"/>
            </w:pPr>
            <w:r>
              <w:rPr>
                <w:rFonts w:hint="eastAsia"/>
                <w:lang w:val="en-US" w:eastAsia="zh-CN"/>
              </w:rPr>
              <w:t>新疆天合环境技术咨询有限公司</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7" w:hRule="atLeast"/>
          <w:jc w:val="center"/>
        </w:trPr>
        <w:tc>
          <w:tcPr>
            <w:tcW w:w="1554" w:type="dxa"/>
            <w:tcBorders>
              <w:left w:val="single" w:color="000000" w:sz="6" w:space="0"/>
            </w:tcBorders>
            <w:vAlign w:val="center"/>
          </w:tcPr>
          <w:p>
            <w:pPr>
              <w:pStyle w:val="18"/>
              <w:bidi w:val="0"/>
              <w:jc w:val="center"/>
            </w:pPr>
            <w:r>
              <w:t>环保设施</w:t>
            </w:r>
          </w:p>
          <w:p>
            <w:pPr>
              <w:pStyle w:val="18"/>
              <w:bidi w:val="0"/>
              <w:jc w:val="center"/>
            </w:pPr>
            <w:r>
              <w:t>设计单位</w:t>
            </w:r>
          </w:p>
        </w:tc>
        <w:tc>
          <w:tcPr>
            <w:tcW w:w="2486" w:type="dxa"/>
            <w:vAlign w:val="center"/>
          </w:tcPr>
          <w:p>
            <w:pPr>
              <w:pStyle w:val="18"/>
              <w:bidi w:val="0"/>
              <w:jc w:val="center"/>
            </w:pPr>
            <w:r>
              <w:t>/</w:t>
            </w:r>
          </w:p>
        </w:tc>
        <w:tc>
          <w:tcPr>
            <w:tcW w:w="1770" w:type="dxa"/>
            <w:vAlign w:val="center"/>
          </w:tcPr>
          <w:p>
            <w:pPr>
              <w:pStyle w:val="18"/>
              <w:bidi w:val="0"/>
              <w:jc w:val="center"/>
            </w:pPr>
            <w:r>
              <w:t>环保设施</w:t>
            </w:r>
          </w:p>
          <w:p>
            <w:pPr>
              <w:pStyle w:val="18"/>
              <w:bidi w:val="0"/>
              <w:jc w:val="center"/>
            </w:pPr>
            <w:r>
              <w:t>施工单位</w:t>
            </w:r>
          </w:p>
        </w:tc>
        <w:tc>
          <w:tcPr>
            <w:tcW w:w="2314" w:type="dxa"/>
            <w:gridSpan w:val="3"/>
            <w:tcBorders>
              <w:right w:val="single" w:color="000000" w:sz="6" w:space="0"/>
            </w:tcBorders>
            <w:vAlign w:val="center"/>
          </w:tcPr>
          <w:p>
            <w:pPr>
              <w:pStyle w:val="18"/>
              <w:bidi w:val="0"/>
              <w:jc w:val="center"/>
            </w:pPr>
            <w: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1" w:hRule="atLeast"/>
          <w:jc w:val="center"/>
        </w:trPr>
        <w:tc>
          <w:tcPr>
            <w:tcW w:w="1554" w:type="dxa"/>
            <w:tcBorders>
              <w:left w:val="single" w:color="000000" w:sz="6" w:space="0"/>
            </w:tcBorders>
            <w:vAlign w:val="center"/>
          </w:tcPr>
          <w:p>
            <w:pPr>
              <w:pStyle w:val="18"/>
              <w:bidi w:val="0"/>
              <w:jc w:val="center"/>
            </w:pPr>
            <w:r>
              <w:t>投资总概算</w:t>
            </w:r>
          </w:p>
        </w:tc>
        <w:tc>
          <w:tcPr>
            <w:tcW w:w="2486" w:type="dxa"/>
            <w:vAlign w:val="center"/>
          </w:tcPr>
          <w:p>
            <w:pPr>
              <w:pStyle w:val="18"/>
              <w:bidi w:val="0"/>
              <w:jc w:val="center"/>
            </w:pPr>
            <w:r>
              <w:rPr>
                <w:rFonts w:hint="eastAsia"/>
                <w:lang w:val="en-US" w:eastAsia="zh-CN"/>
              </w:rPr>
              <w:t>23300</w:t>
            </w:r>
            <w:r>
              <w:t>万元</w:t>
            </w:r>
          </w:p>
        </w:tc>
        <w:tc>
          <w:tcPr>
            <w:tcW w:w="1770" w:type="dxa"/>
            <w:vAlign w:val="center"/>
          </w:tcPr>
          <w:p>
            <w:pPr>
              <w:pStyle w:val="18"/>
              <w:bidi w:val="0"/>
              <w:jc w:val="center"/>
            </w:pPr>
            <w:r>
              <w:t>环保投资总概算</w:t>
            </w:r>
          </w:p>
        </w:tc>
        <w:tc>
          <w:tcPr>
            <w:tcW w:w="1080" w:type="dxa"/>
            <w:vAlign w:val="center"/>
          </w:tcPr>
          <w:p>
            <w:pPr>
              <w:pStyle w:val="18"/>
              <w:bidi w:val="0"/>
              <w:jc w:val="center"/>
            </w:pPr>
            <w:r>
              <w:rPr>
                <w:rFonts w:hint="eastAsia"/>
                <w:lang w:val="en-US" w:eastAsia="zh-CN"/>
              </w:rPr>
              <w:t>2349</w:t>
            </w:r>
            <w:r>
              <w:t>万元</w:t>
            </w:r>
          </w:p>
        </w:tc>
        <w:tc>
          <w:tcPr>
            <w:tcW w:w="540" w:type="dxa"/>
            <w:vAlign w:val="center"/>
          </w:tcPr>
          <w:p>
            <w:pPr>
              <w:pStyle w:val="18"/>
              <w:bidi w:val="0"/>
              <w:jc w:val="center"/>
            </w:pPr>
            <w:r>
              <w:t>比例</w:t>
            </w:r>
          </w:p>
        </w:tc>
        <w:tc>
          <w:tcPr>
            <w:tcW w:w="694" w:type="dxa"/>
            <w:tcBorders>
              <w:right w:val="single" w:color="000000" w:sz="6" w:space="0"/>
            </w:tcBorders>
            <w:vAlign w:val="center"/>
          </w:tcPr>
          <w:p>
            <w:pPr>
              <w:pStyle w:val="18"/>
              <w:bidi w:val="0"/>
              <w:jc w:val="center"/>
            </w:pPr>
            <w:r>
              <w:rPr>
                <w:rFonts w:hint="eastAsia"/>
                <w:lang w:val="en-US" w:eastAsia="zh-CN"/>
              </w:rPr>
              <w:t>10.08</w:t>
            </w:r>
            <w: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1" w:hRule="atLeast"/>
          <w:jc w:val="center"/>
        </w:trPr>
        <w:tc>
          <w:tcPr>
            <w:tcW w:w="1554" w:type="dxa"/>
            <w:tcBorders>
              <w:left w:val="single" w:color="000000" w:sz="6" w:space="0"/>
            </w:tcBorders>
            <w:vAlign w:val="center"/>
          </w:tcPr>
          <w:p>
            <w:pPr>
              <w:pStyle w:val="18"/>
              <w:bidi w:val="0"/>
              <w:jc w:val="center"/>
            </w:pPr>
            <w:r>
              <w:t>实际总投资</w:t>
            </w:r>
          </w:p>
        </w:tc>
        <w:tc>
          <w:tcPr>
            <w:tcW w:w="2486" w:type="dxa"/>
            <w:vAlign w:val="center"/>
          </w:tcPr>
          <w:p>
            <w:pPr>
              <w:pStyle w:val="18"/>
              <w:bidi w:val="0"/>
              <w:jc w:val="center"/>
            </w:pPr>
            <w:r>
              <w:rPr>
                <w:rFonts w:hint="eastAsia"/>
                <w:lang w:val="en-US" w:eastAsia="zh-CN"/>
              </w:rPr>
              <w:t>23300</w:t>
            </w:r>
            <w:r>
              <w:t>万元</w:t>
            </w:r>
          </w:p>
        </w:tc>
        <w:tc>
          <w:tcPr>
            <w:tcW w:w="1770" w:type="dxa"/>
            <w:vAlign w:val="center"/>
          </w:tcPr>
          <w:p>
            <w:pPr>
              <w:pStyle w:val="18"/>
              <w:bidi w:val="0"/>
              <w:jc w:val="center"/>
            </w:pPr>
            <w:r>
              <w:t>实际环保投资</w:t>
            </w:r>
          </w:p>
        </w:tc>
        <w:tc>
          <w:tcPr>
            <w:tcW w:w="1080" w:type="dxa"/>
            <w:vAlign w:val="center"/>
          </w:tcPr>
          <w:p>
            <w:pPr>
              <w:pStyle w:val="18"/>
              <w:bidi w:val="0"/>
              <w:jc w:val="center"/>
            </w:pPr>
            <w:r>
              <w:rPr>
                <w:rFonts w:hint="eastAsia"/>
                <w:lang w:val="en-US" w:eastAsia="zh-CN"/>
              </w:rPr>
              <w:t>2349</w:t>
            </w:r>
            <w:r>
              <w:t>万元</w:t>
            </w:r>
          </w:p>
        </w:tc>
        <w:tc>
          <w:tcPr>
            <w:tcW w:w="540" w:type="dxa"/>
            <w:vAlign w:val="center"/>
          </w:tcPr>
          <w:p>
            <w:pPr>
              <w:pStyle w:val="18"/>
              <w:bidi w:val="0"/>
              <w:jc w:val="center"/>
            </w:pPr>
            <w:r>
              <w:t>比例</w:t>
            </w:r>
          </w:p>
        </w:tc>
        <w:tc>
          <w:tcPr>
            <w:tcW w:w="694" w:type="dxa"/>
            <w:tcBorders>
              <w:right w:val="single" w:color="000000" w:sz="6" w:space="0"/>
            </w:tcBorders>
            <w:vAlign w:val="center"/>
          </w:tcPr>
          <w:p>
            <w:pPr>
              <w:pStyle w:val="18"/>
              <w:bidi w:val="0"/>
              <w:jc w:val="center"/>
            </w:pPr>
            <w:r>
              <w:rPr>
                <w:rFonts w:hint="eastAsia"/>
                <w:lang w:val="en-US" w:eastAsia="zh-CN"/>
              </w:rPr>
              <w:t>10.08</w:t>
            </w:r>
            <w: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34" w:hRule="atLeast"/>
          <w:jc w:val="center"/>
        </w:trPr>
        <w:tc>
          <w:tcPr>
            <w:tcW w:w="1554" w:type="dxa"/>
            <w:tcBorders>
              <w:left w:val="single" w:color="000000" w:sz="6" w:space="0"/>
            </w:tcBorders>
            <w:vAlign w:val="center"/>
          </w:tcPr>
          <w:p>
            <w:pPr>
              <w:pStyle w:val="18"/>
              <w:bidi w:val="0"/>
              <w:jc w:val="center"/>
            </w:pPr>
            <w:r>
              <w:t>设计生产能力</w:t>
            </w:r>
          </w:p>
        </w:tc>
        <w:tc>
          <w:tcPr>
            <w:tcW w:w="2486" w:type="dxa"/>
            <w:vAlign w:val="center"/>
          </w:tcPr>
          <w:p>
            <w:pPr>
              <w:pStyle w:val="18"/>
              <w:bidi w:val="0"/>
            </w:pPr>
            <w:r>
              <w:rPr>
                <w:rFonts w:hint="default"/>
              </w:rPr>
              <w:t>本项目建设道路总长度17.39km，属道路新建、改扩建项目，其中新建、改扩建道路各3条</w:t>
            </w:r>
          </w:p>
        </w:tc>
        <w:tc>
          <w:tcPr>
            <w:tcW w:w="1770" w:type="dxa"/>
            <w:vAlign w:val="center"/>
          </w:tcPr>
          <w:p>
            <w:pPr>
              <w:pStyle w:val="18"/>
              <w:bidi w:val="0"/>
              <w:jc w:val="center"/>
              <w:rPr>
                <w:color w:val="auto"/>
              </w:rPr>
            </w:pPr>
            <w:r>
              <w:rPr>
                <w:color w:val="auto"/>
              </w:rPr>
              <w:t>项目开工日期</w:t>
            </w:r>
          </w:p>
        </w:tc>
        <w:tc>
          <w:tcPr>
            <w:tcW w:w="2314" w:type="dxa"/>
            <w:gridSpan w:val="3"/>
            <w:tcBorders>
              <w:right w:val="single" w:color="000000" w:sz="6" w:space="0"/>
            </w:tcBorders>
            <w:vAlign w:val="center"/>
          </w:tcPr>
          <w:p>
            <w:pPr>
              <w:pStyle w:val="18"/>
              <w:bidi w:val="0"/>
              <w:jc w:val="center"/>
              <w:rPr>
                <w:color w:val="auto"/>
              </w:rPr>
            </w:pPr>
            <w:r>
              <w:rPr>
                <w:color w:val="auto"/>
              </w:rPr>
              <w:t>201</w:t>
            </w:r>
            <w:r>
              <w:rPr>
                <w:rFonts w:hint="eastAsia"/>
                <w:color w:val="auto"/>
                <w:lang w:val="en-US" w:eastAsia="zh-CN"/>
              </w:rPr>
              <w:t>7</w:t>
            </w:r>
            <w:r>
              <w:rPr>
                <w:color w:val="auto"/>
              </w:rPr>
              <w:t>年0</w:t>
            </w:r>
            <w:r>
              <w:rPr>
                <w:rFonts w:hint="eastAsia"/>
                <w:color w:val="auto"/>
                <w:lang w:val="en-US" w:eastAsia="zh-CN"/>
              </w:rPr>
              <w:t>6</w:t>
            </w:r>
            <w:r>
              <w:rPr>
                <w:color w:val="auto"/>
              </w:rPr>
              <w:t>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64" w:hRule="atLeast"/>
          <w:jc w:val="center"/>
        </w:trPr>
        <w:tc>
          <w:tcPr>
            <w:tcW w:w="1554" w:type="dxa"/>
            <w:tcBorders>
              <w:left w:val="single" w:color="000000" w:sz="6" w:space="0"/>
              <w:bottom w:val="single" w:color="000000" w:sz="6" w:space="0"/>
            </w:tcBorders>
            <w:vAlign w:val="center"/>
          </w:tcPr>
          <w:p>
            <w:pPr>
              <w:pStyle w:val="18"/>
              <w:bidi w:val="0"/>
              <w:jc w:val="center"/>
            </w:pPr>
            <w:r>
              <w:t>实际生产能力</w:t>
            </w:r>
          </w:p>
        </w:tc>
        <w:tc>
          <w:tcPr>
            <w:tcW w:w="2486" w:type="dxa"/>
            <w:tcBorders>
              <w:bottom w:val="single" w:color="000000" w:sz="6" w:space="0"/>
            </w:tcBorders>
            <w:vAlign w:val="center"/>
          </w:tcPr>
          <w:p>
            <w:pPr>
              <w:pStyle w:val="18"/>
              <w:bidi w:val="0"/>
            </w:pPr>
            <w:r>
              <w:rPr>
                <w:rFonts w:hint="default"/>
              </w:rPr>
              <w:t>本项目建设道路总长度17.39km，属道路新建、改扩建项目，其中新建、改扩建道路各3条</w:t>
            </w:r>
          </w:p>
        </w:tc>
        <w:tc>
          <w:tcPr>
            <w:tcW w:w="1770" w:type="dxa"/>
            <w:tcBorders>
              <w:bottom w:val="single" w:color="000000" w:sz="6" w:space="0"/>
            </w:tcBorders>
            <w:vAlign w:val="center"/>
          </w:tcPr>
          <w:p>
            <w:pPr>
              <w:pStyle w:val="18"/>
              <w:bidi w:val="0"/>
              <w:jc w:val="center"/>
              <w:rPr>
                <w:color w:val="auto"/>
              </w:rPr>
            </w:pPr>
            <w:r>
              <w:rPr>
                <w:color w:val="auto"/>
              </w:rPr>
              <w:t>投入试运行日期</w:t>
            </w:r>
          </w:p>
        </w:tc>
        <w:tc>
          <w:tcPr>
            <w:tcW w:w="2314" w:type="dxa"/>
            <w:gridSpan w:val="3"/>
            <w:tcBorders>
              <w:bottom w:val="single" w:color="000000" w:sz="6" w:space="0"/>
              <w:right w:val="single" w:color="000000" w:sz="6" w:space="0"/>
            </w:tcBorders>
            <w:vAlign w:val="center"/>
          </w:tcPr>
          <w:p>
            <w:pPr>
              <w:pStyle w:val="18"/>
              <w:bidi w:val="0"/>
              <w:jc w:val="center"/>
              <w:rPr>
                <w:color w:val="auto"/>
              </w:rPr>
            </w:pPr>
            <w:r>
              <w:rPr>
                <w:color w:val="auto"/>
              </w:rPr>
              <w:t>20</w:t>
            </w:r>
            <w:r>
              <w:rPr>
                <w:rFonts w:hint="eastAsia"/>
                <w:color w:val="auto"/>
                <w:lang w:val="en-US" w:eastAsia="zh-CN"/>
              </w:rPr>
              <w:t>23</w:t>
            </w:r>
            <w:r>
              <w:rPr>
                <w:color w:val="auto"/>
              </w:rPr>
              <w:t>年0</w:t>
            </w:r>
            <w:r>
              <w:rPr>
                <w:rFonts w:hint="eastAsia"/>
                <w:color w:val="auto"/>
                <w:lang w:val="en-US" w:eastAsia="zh-CN"/>
              </w:rPr>
              <w:t>9</w:t>
            </w:r>
            <w:r>
              <w:rPr>
                <w:color w:val="auto"/>
              </w:rPr>
              <w:t>月</w:t>
            </w:r>
          </w:p>
        </w:tc>
      </w:tr>
    </w:tbl>
    <w:p>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rPr>
          <w:rFonts w:ascii="宋体" w:hAnsi="宋体" w:eastAsia="宋体" w:cs="宋体"/>
          <w:sz w:val="24"/>
          <w:szCs w:val="24"/>
        </w:rPr>
        <w:sectPr>
          <w:footerReference r:id="rId6" w:type="default"/>
          <w:pgSz w:w="11906" w:h="16839"/>
          <w:pgMar w:top="1440" w:right="1803" w:bottom="1440" w:left="1803" w:header="992" w:footer="992" w:gutter="0"/>
          <w:pgBorders>
            <w:top w:val="none" w:sz="0" w:space="0"/>
            <w:left w:val="none" w:sz="0" w:space="0"/>
            <w:bottom w:val="none" w:sz="0" w:space="0"/>
            <w:right w:val="none" w:sz="0" w:space="0"/>
          </w:pgBorders>
          <w:pgNumType w:fmt="decimal" w:start="1"/>
          <w:cols w:space="720" w:num="1"/>
        </w:sectPr>
      </w:pPr>
    </w:p>
    <w:p>
      <w:pPr>
        <w:pStyle w:val="4"/>
        <w:bidi w:val="0"/>
      </w:pPr>
      <w:bookmarkStart w:id="4" w:name="_Toc13836"/>
      <w:r>
        <w:rPr>
          <w:rFonts w:ascii="宋体" w:hAnsi="宋体" w:eastAsia="宋体" w:cs="宋体"/>
          <w:spacing w:val="-7"/>
          <w:sz w:val="47"/>
          <w:szCs w:val="47"/>
          <w14:textOutline w14:w="8717" w14:cap="sq" w14:cmpd="sng">
            <w14:solidFill>
              <w14:srgbClr w14:val="000000"/>
            </w14:solidFill>
            <w14:prstDash w14:val="solid"/>
            <w14:bevel/>
          </w14:textOutline>
        </w:rPr>
        <w:t>一</w:t>
      </w:r>
      <w:r>
        <w:rPr>
          <w:rFonts w:ascii="宋体" w:hAnsi="宋体" w:eastAsia="宋体" w:cs="宋体"/>
          <w:spacing w:val="-90"/>
          <w:sz w:val="47"/>
          <w:szCs w:val="47"/>
        </w:rPr>
        <w:t xml:space="preserve"> </w:t>
      </w:r>
      <w:r>
        <w:rPr>
          <w:rFonts w:ascii="宋体" w:hAnsi="宋体" w:eastAsia="宋体" w:cs="宋体"/>
          <w:spacing w:val="-7"/>
          <w:sz w:val="47"/>
          <w:szCs w:val="47"/>
          <w14:textOutline w14:w="8717" w14:cap="sq" w14:cmpd="sng">
            <w14:solidFill>
              <w14:srgbClr w14:val="000000"/>
            </w14:solidFill>
            <w14:prstDash w14:val="solid"/>
            <w14:bevel/>
          </w14:textOutline>
        </w:rPr>
        <w:t>综述</w:t>
      </w:r>
      <w:bookmarkEnd w:id="4"/>
    </w:p>
    <w:p>
      <w:pPr>
        <w:pStyle w:val="5"/>
        <w:bidi w:val="0"/>
        <w:outlineLvl w:val="0"/>
        <w:rPr>
          <w:rFonts w:ascii="宋体" w:hAnsi="宋体" w:eastAsia="宋体" w:cs="宋体"/>
          <w:szCs w:val="24"/>
        </w:rPr>
      </w:pPr>
      <w:bookmarkStart w:id="5" w:name="_Toc9820"/>
      <w:r>
        <w:t>1.1 编制依据</w:t>
      </w:r>
      <w:bookmarkEnd w:id="5"/>
    </w:p>
    <w:p>
      <w:pPr>
        <w:pStyle w:val="6"/>
        <w:bidi w:val="0"/>
        <w:outlineLvl w:val="1"/>
      </w:pPr>
      <w:bookmarkStart w:id="6" w:name="_Toc31687"/>
      <w:r>
        <w:t>1.1.1法规性依据</w:t>
      </w:r>
      <w:bookmarkEnd w:id="6"/>
    </w:p>
    <w:p>
      <w:pPr>
        <w:bidi w:val="0"/>
      </w:pPr>
      <w:r>
        <w:t>（1）《中华人民共和国环境保护法》，2015年1月1日修订并实施</w:t>
      </w:r>
    </w:p>
    <w:p>
      <w:pPr>
        <w:bidi w:val="0"/>
      </w:pPr>
      <w:r>
        <w:t>（2）《中华人民共和国大气污染防治法》，2018年10月26日修订并施行</w:t>
      </w:r>
    </w:p>
    <w:p>
      <w:pPr>
        <w:bidi w:val="0"/>
      </w:pPr>
      <w:r>
        <w:t>（3）《中华人民共和国水污染防治法》，2018年1月1日修订并通过</w:t>
      </w:r>
    </w:p>
    <w:p>
      <w:pPr>
        <w:bidi w:val="0"/>
      </w:pPr>
      <w:r>
        <w:t>（4）《中华人民共和国环境噪声污染防治法》，2022年6月5日起实施</w:t>
      </w:r>
    </w:p>
    <w:p>
      <w:pPr>
        <w:bidi w:val="0"/>
      </w:pPr>
      <w:r>
        <w:t>（5）《中华人民共和国固体废物污染环境防治法》，2020.4.29修订，2020.9.1实施</w:t>
      </w:r>
    </w:p>
    <w:p>
      <w:pPr>
        <w:bidi w:val="0"/>
      </w:pPr>
      <w:r>
        <w:t>（6）《建设项目环境保护管理条例》，国务院第682号令，2017年10月1日实施</w:t>
      </w:r>
    </w:p>
    <w:p>
      <w:pPr>
        <w:bidi w:val="0"/>
      </w:pPr>
      <w:r>
        <w:t>（7）《建设项目竣工环境保护验收暂行办法》，国环规环评〔2017〕4号，环境保护部办公厅2017年11月22日印发</w:t>
      </w:r>
    </w:p>
    <w:p>
      <w:pPr>
        <w:bidi w:val="0"/>
      </w:pPr>
      <w:r>
        <w:t>（8）《新疆维吾尔自治区环境保护条例》，201</w:t>
      </w:r>
      <w:r>
        <w:rPr>
          <w:rFonts w:hint="eastAsia"/>
          <w:lang w:val="en-US" w:eastAsia="zh-CN"/>
        </w:rPr>
        <w:t>6</w:t>
      </w:r>
      <w:r>
        <w:t>年</w:t>
      </w:r>
      <w:r>
        <w:rPr>
          <w:rFonts w:hint="eastAsia"/>
          <w:lang w:val="en-US" w:eastAsia="zh-CN"/>
        </w:rPr>
        <w:t>12</w:t>
      </w:r>
      <w:r>
        <w:t>月1日</w:t>
      </w:r>
    </w:p>
    <w:p>
      <w:pPr>
        <w:bidi w:val="0"/>
        <w:rPr>
          <w:rFonts w:hint="eastAsia" w:eastAsia="宋体"/>
          <w:lang w:eastAsia="zh-CN"/>
        </w:rPr>
      </w:pPr>
      <w:r>
        <w:t>（9）《中华人民共和国</w:t>
      </w:r>
      <w:r>
        <w:rPr>
          <w:rFonts w:hint="eastAsia"/>
          <w:lang w:val="en-US" w:eastAsia="zh-CN"/>
        </w:rPr>
        <w:t>土壤</w:t>
      </w:r>
      <w:r>
        <w:t>污染防治法》</w:t>
      </w:r>
      <w:r>
        <w:rPr>
          <w:rFonts w:hint="eastAsia"/>
          <w:lang w:eastAsia="zh-CN"/>
        </w:rPr>
        <w:t>，</w:t>
      </w:r>
      <w:r>
        <w:t>201</w:t>
      </w:r>
      <w:r>
        <w:rPr>
          <w:rFonts w:hint="eastAsia"/>
          <w:lang w:val="en-US" w:eastAsia="zh-CN"/>
        </w:rPr>
        <w:t>8</w:t>
      </w:r>
      <w:r>
        <w:t>年</w:t>
      </w:r>
      <w:r>
        <w:rPr>
          <w:rFonts w:hint="eastAsia"/>
          <w:lang w:val="en-US" w:eastAsia="zh-CN"/>
        </w:rPr>
        <w:t>8</w:t>
      </w:r>
      <w:r>
        <w:t>月</w:t>
      </w:r>
      <w:r>
        <w:rPr>
          <w:rFonts w:hint="eastAsia"/>
          <w:lang w:val="en-US" w:eastAsia="zh-CN"/>
        </w:rPr>
        <w:t>3</w:t>
      </w:r>
      <w:r>
        <w:t>1日</w:t>
      </w:r>
    </w:p>
    <w:p>
      <w:pPr>
        <w:bidi w:val="0"/>
      </w:pPr>
      <w:r>
        <w:t>（</w:t>
      </w:r>
      <w:r>
        <w:rPr>
          <w:rFonts w:hint="eastAsia"/>
          <w:lang w:val="en-US" w:eastAsia="zh-CN"/>
        </w:rPr>
        <w:t>10</w:t>
      </w:r>
      <w:r>
        <w:t>）《中华人民共和国公路法》（2017年11月4日）</w:t>
      </w:r>
    </w:p>
    <w:p>
      <w:pPr>
        <w:pStyle w:val="6"/>
        <w:bidi w:val="0"/>
        <w:outlineLvl w:val="1"/>
      </w:pPr>
      <w:bookmarkStart w:id="7" w:name="_Toc3425"/>
      <w:r>
        <w:t>1.1.2技术性依据</w:t>
      </w:r>
      <w:bookmarkEnd w:id="7"/>
    </w:p>
    <w:p>
      <w:pPr>
        <w:bidi w:val="0"/>
      </w:pPr>
      <w:r>
        <w:t>（1）《建设项目竣工环境保护验收技术规范 生态影响类》（HJ/T 394-2007）；</w:t>
      </w:r>
    </w:p>
    <w:p>
      <w:pPr>
        <w:bidi w:val="0"/>
      </w:pPr>
      <w:r>
        <w:t>（2）《建设项目竣工环境保护验收技术规范 公路》（HJ552-2010）；</w:t>
      </w:r>
    </w:p>
    <w:p>
      <w:pPr>
        <w:bidi w:val="0"/>
        <w:outlineLvl w:val="2"/>
      </w:pPr>
      <w:bookmarkStart w:id="8" w:name="_Toc21555"/>
      <w:r>
        <w:t>（3）《地表水监测技术规范》（HJ/T91.2-2022）；</w:t>
      </w:r>
      <w:bookmarkEnd w:id="8"/>
    </w:p>
    <w:p>
      <w:pPr>
        <w:bidi w:val="0"/>
      </w:pPr>
      <w:r>
        <w:t>（4）</w:t>
      </w:r>
      <w:r>
        <w:rPr>
          <w:rFonts w:hint="eastAsia"/>
          <w:lang w:val="en-US" w:eastAsia="zh-CN"/>
        </w:rPr>
        <w:t>新农丽景环境咨询</w:t>
      </w:r>
      <w:r>
        <w:t>有限公司编制的《</w:t>
      </w:r>
      <w:r>
        <w:rPr>
          <w:rFonts w:hint="eastAsia"/>
          <w:lang w:eastAsia="zh-CN"/>
        </w:rPr>
        <w:t>新疆润盛投资发展有限公司开发区2017年基础设施建设项目配套道路及附属工程环境影响报告书</w:t>
      </w:r>
      <w:r>
        <w:t>》（201</w:t>
      </w:r>
      <w:r>
        <w:rPr>
          <w:rFonts w:hint="eastAsia"/>
          <w:lang w:val="en-US" w:eastAsia="zh-CN"/>
        </w:rPr>
        <w:t>7</w:t>
      </w:r>
      <w:r>
        <w:t>年</w:t>
      </w:r>
      <w:r>
        <w:rPr>
          <w:rFonts w:hint="eastAsia"/>
          <w:lang w:val="en-US" w:eastAsia="zh-CN"/>
        </w:rPr>
        <w:t>6</w:t>
      </w:r>
      <w:r>
        <w:t>月）；</w:t>
      </w:r>
    </w:p>
    <w:p>
      <w:pPr>
        <w:bidi w:val="0"/>
        <w:rPr>
          <w:rFonts w:hint="eastAsia"/>
          <w:lang w:val="en-US" w:eastAsia="zh-CN"/>
        </w:rPr>
      </w:pPr>
      <w:r>
        <w:t>（5）</w:t>
      </w:r>
      <w:r>
        <w:rPr>
          <w:rFonts w:hint="eastAsia"/>
          <w:lang w:val="en-US" w:eastAsia="zh-CN"/>
        </w:rPr>
        <w:t>原奎屯-独山子经济技术开发区环境保护局</w:t>
      </w:r>
      <w:r>
        <w:t>《</w:t>
      </w:r>
      <w:r>
        <w:rPr>
          <w:rFonts w:hint="eastAsia"/>
          <w:lang w:val="en-US" w:eastAsia="zh-CN"/>
        </w:rPr>
        <w:t>关于新疆润盛投资发展有限公司开发区2017年基础设施建设项目配套道路及附属工程环境影响报告书</w:t>
      </w:r>
      <w:r>
        <w:rPr>
          <w:rFonts w:hint="default"/>
          <w:lang w:val="en-US" w:eastAsia="zh-CN"/>
        </w:rPr>
        <w:t>的批复》（</w:t>
      </w:r>
      <w:r>
        <w:rPr>
          <w:rFonts w:hint="eastAsia"/>
          <w:lang w:val="en-US" w:eastAsia="zh-CN"/>
        </w:rPr>
        <w:t>奎独开环函[2017]14号</w:t>
      </w:r>
      <w:r>
        <w:rPr>
          <w:rFonts w:hint="default"/>
          <w:lang w:val="en-US" w:eastAsia="zh-CN"/>
        </w:rPr>
        <w:t>）</w:t>
      </w:r>
      <w:r>
        <w:rPr>
          <w:rFonts w:hint="eastAsia"/>
          <w:lang w:val="en-US" w:eastAsia="zh-CN"/>
        </w:rPr>
        <w:t>。（2017.6.30）</w:t>
      </w:r>
    </w:p>
    <w:p>
      <w:pPr>
        <w:pStyle w:val="6"/>
        <w:bidi w:val="0"/>
        <w:outlineLvl w:val="1"/>
      </w:pPr>
      <w:bookmarkStart w:id="9" w:name="_Toc14669"/>
      <w:r>
        <w:t>1.1.3其他技术规范</w:t>
      </w:r>
      <w:bookmarkEnd w:id="9"/>
    </w:p>
    <w:p>
      <w:pPr>
        <w:bidi w:val="0"/>
      </w:pPr>
      <w:r>
        <w:t>（</w:t>
      </w:r>
      <w:r>
        <w:rPr>
          <w:rFonts w:hint="eastAsia"/>
          <w:lang w:val="en-US" w:eastAsia="zh-CN"/>
        </w:rPr>
        <w:t>1</w:t>
      </w:r>
      <w:r>
        <w:t>）《危险废物贮存污染控制标准》（GB18597-2023）；</w:t>
      </w:r>
    </w:p>
    <w:p>
      <w:pPr>
        <w:bidi w:val="0"/>
      </w:pPr>
      <w:r>
        <w:t>（</w:t>
      </w:r>
      <w:r>
        <w:rPr>
          <w:rFonts w:hint="eastAsia"/>
          <w:lang w:val="en-US" w:eastAsia="zh-CN"/>
        </w:rPr>
        <w:t>2</w:t>
      </w:r>
      <w:r>
        <w:t>）《一般工业固体废物贮存和填埋污染控制标准》（GB18599-2020）；</w:t>
      </w:r>
    </w:p>
    <w:p>
      <w:pPr>
        <w:bidi w:val="0"/>
      </w:pPr>
      <w:r>
        <w:t>（</w:t>
      </w:r>
      <w:r>
        <w:rPr>
          <w:rFonts w:hint="eastAsia"/>
          <w:lang w:val="en-US" w:eastAsia="zh-CN"/>
        </w:rPr>
        <w:t>3</w:t>
      </w:r>
      <w:r>
        <w:t>）《关于印发环评管理中部分行业建设项目重大变动清单的通知》（环办〔2015〕52号）；</w:t>
      </w:r>
    </w:p>
    <w:p>
      <w:pPr>
        <w:bidi w:val="0"/>
      </w:pPr>
      <w:r>
        <w:t>（</w:t>
      </w:r>
      <w:r>
        <w:rPr>
          <w:rFonts w:hint="eastAsia"/>
          <w:lang w:val="en-US" w:eastAsia="zh-CN"/>
        </w:rPr>
        <w:t>4</w:t>
      </w:r>
      <w:r>
        <w:t>）排污许可管理条例（中华人民共和国国务院令 第736号）（2021年3月1号）。</w:t>
      </w:r>
    </w:p>
    <w:p>
      <w:pPr>
        <w:spacing w:line="219" w:lineRule="auto"/>
        <w:rPr>
          <w:rFonts w:ascii="宋体" w:hAnsi="宋体" w:eastAsia="宋体" w:cs="宋体"/>
          <w:sz w:val="24"/>
          <w:szCs w:val="24"/>
        </w:rPr>
        <w:sectPr>
          <w:footerReference r:id="rId7" w:type="default"/>
          <w:pgSz w:w="11906" w:h="16840"/>
          <w:pgMar w:top="1440" w:right="1803" w:bottom="1440" w:left="1803" w:header="992" w:footer="992" w:gutter="0"/>
          <w:pgBorders>
            <w:top w:val="none" w:sz="0" w:space="0"/>
            <w:left w:val="none" w:sz="0" w:space="0"/>
            <w:bottom w:val="none" w:sz="0" w:space="0"/>
            <w:right w:val="none" w:sz="0" w:space="0"/>
          </w:pgBorders>
          <w:pgNumType w:fmt="decimal"/>
          <w:cols w:space="720" w:num="1"/>
        </w:sectPr>
      </w:pPr>
    </w:p>
    <w:p>
      <w:pPr>
        <w:pStyle w:val="5"/>
        <w:bidi w:val="0"/>
        <w:outlineLvl w:val="0"/>
      </w:pPr>
      <w:bookmarkStart w:id="10" w:name="_Toc6144"/>
      <w:r>
        <w:t>1.2调查范围、环境监测因子、敏感目标、调查重点</w:t>
      </w:r>
      <w:bookmarkEnd w:id="10"/>
    </w:p>
    <w:p>
      <w:pPr>
        <w:pStyle w:val="6"/>
        <w:bidi w:val="0"/>
        <w:outlineLvl w:val="1"/>
      </w:pPr>
      <w:bookmarkStart w:id="11" w:name="_Toc25038"/>
      <w:r>
        <w:t>1.2.1调查范围</w:t>
      </w:r>
      <w:bookmarkEnd w:id="11"/>
    </w:p>
    <w:p>
      <w:pPr>
        <w:bidi w:val="0"/>
      </w:pPr>
      <w:r>
        <w:t>根据《</w:t>
      </w:r>
      <w:r>
        <w:rPr>
          <w:rFonts w:hint="eastAsia"/>
          <w:lang w:val="en-US" w:eastAsia="zh-CN"/>
        </w:rPr>
        <w:t>开发区2017年基础设施建设项目配套道路及附属工程环境影响报告书</w:t>
      </w:r>
      <w:r>
        <w:t>》(HJ552-2010)，验收调查的范围原则上与环境影响评价文件的评价范围一致；当工程实际建设内容发生变更或环境影响评价文件未能全面反映出工程建设的实际环境影响时，应根据工程实际变更和实际环境影响情况，结合现场勘探对调查范围进行适当调整。本项目竣工环保验收的调查范围见</w:t>
      </w:r>
      <w:r>
        <w:rPr>
          <w:rFonts w:hint="eastAsia"/>
          <w:lang w:val="en-US" w:eastAsia="zh-CN"/>
        </w:rPr>
        <w:t>下</w:t>
      </w:r>
      <w:r>
        <w:t>表：</w:t>
      </w:r>
    </w:p>
    <w:p>
      <w:pPr>
        <w:pStyle w:val="16"/>
        <w:bidi w:val="0"/>
      </w:pPr>
      <w:r>
        <w:t>表1.2-1</w:t>
      </w:r>
      <w:r>
        <w:rPr>
          <w:rFonts w:hint="eastAsia"/>
          <w:lang w:val="en-US" w:eastAsia="zh-CN"/>
        </w:rPr>
        <w:t xml:space="preserve">  </w:t>
      </w:r>
      <w:r>
        <w:t>调查范围、调查因子</w:t>
      </w:r>
    </w:p>
    <w:tbl>
      <w:tblPr>
        <w:tblStyle w:val="20"/>
        <w:tblW w:w="5004" w:type="pct"/>
        <w:tblInd w:w="0" w:type="dxa"/>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Layout w:type="autofit"/>
        <w:tblCellMar>
          <w:top w:w="0" w:type="dxa"/>
          <w:left w:w="0" w:type="dxa"/>
          <w:bottom w:w="0" w:type="dxa"/>
          <w:right w:w="0" w:type="dxa"/>
        </w:tblCellMar>
      </w:tblPr>
      <w:tblGrid>
        <w:gridCol w:w="1561"/>
        <w:gridCol w:w="3390"/>
        <w:gridCol w:w="3360"/>
      </w:tblGrid>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91" w:hRule="atLeast"/>
        </w:trPr>
        <w:tc>
          <w:tcPr>
            <w:tcW w:w="939" w:type="pct"/>
            <w:vAlign w:val="center"/>
          </w:tcPr>
          <w:p>
            <w:pPr>
              <w:pStyle w:val="18"/>
              <w:bidi w:val="0"/>
              <w:jc w:val="center"/>
            </w:pPr>
            <w:r>
              <w:t>调查项目</w:t>
            </w:r>
          </w:p>
        </w:tc>
        <w:tc>
          <w:tcPr>
            <w:tcW w:w="2039" w:type="pct"/>
            <w:vAlign w:val="center"/>
          </w:tcPr>
          <w:p>
            <w:pPr>
              <w:pStyle w:val="18"/>
              <w:bidi w:val="0"/>
              <w:jc w:val="center"/>
            </w:pPr>
            <w:r>
              <w:t>调查范围</w:t>
            </w:r>
          </w:p>
        </w:tc>
        <w:tc>
          <w:tcPr>
            <w:tcW w:w="2020" w:type="pct"/>
            <w:vAlign w:val="center"/>
          </w:tcPr>
          <w:p>
            <w:pPr>
              <w:pStyle w:val="18"/>
              <w:bidi w:val="0"/>
              <w:jc w:val="center"/>
            </w:pPr>
            <w:r>
              <w:t>验收范围</w:t>
            </w: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73" w:hRule="atLeast"/>
        </w:trPr>
        <w:tc>
          <w:tcPr>
            <w:tcW w:w="939" w:type="pct"/>
            <w:vAlign w:val="center"/>
          </w:tcPr>
          <w:p>
            <w:pPr>
              <w:pStyle w:val="18"/>
              <w:bidi w:val="0"/>
              <w:jc w:val="center"/>
            </w:pPr>
            <w:r>
              <w:t>声环境</w:t>
            </w:r>
          </w:p>
        </w:tc>
        <w:tc>
          <w:tcPr>
            <w:tcW w:w="2039" w:type="pct"/>
            <w:vAlign w:val="center"/>
          </w:tcPr>
          <w:p>
            <w:pPr>
              <w:pStyle w:val="18"/>
              <w:bidi w:val="0"/>
              <w:jc w:val="center"/>
            </w:pPr>
            <w:r>
              <w:t>道路中心线两侧各200m范围</w:t>
            </w:r>
          </w:p>
        </w:tc>
        <w:tc>
          <w:tcPr>
            <w:tcW w:w="2020" w:type="pct"/>
            <w:vAlign w:val="center"/>
          </w:tcPr>
          <w:p>
            <w:pPr>
              <w:pStyle w:val="18"/>
              <w:bidi w:val="0"/>
              <w:jc w:val="center"/>
            </w:pPr>
            <w:r>
              <w:t>道路中心线两侧各200m范围</w:t>
            </w: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73" w:hRule="atLeast"/>
        </w:trPr>
        <w:tc>
          <w:tcPr>
            <w:tcW w:w="939" w:type="pct"/>
            <w:vAlign w:val="center"/>
          </w:tcPr>
          <w:p>
            <w:pPr>
              <w:pStyle w:val="18"/>
              <w:bidi w:val="0"/>
              <w:jc w:val="center"/>
            </w:pPr>
            <w:r>
              <w:t>大气环境</w:t>
            </w:r>
          </w:p>
        </w:tc>
        <w:tc>
          <w:tcPr>
            <w:tcW w:w="2039" w:type="pct"/>
            <w:vAlign w:val="center"/>
          </w:tcPr>
          <w:p>
            <w:pPr>
              <w:pStyle w:val="18"/>
              <w:bidi w:val="0"/>
              <w:jc w:val="center"/>
            </w:pPr>
            <w:r>
              <w:t>道路中心线两侧各200m范围</w:t>
            </w:r>
          </w:p>
        </w:tc>
        <w:tc>
          <w:tcPr>
            <w:tcW w:w="2020" w:type="pct"/>
            <w:vAlign w:val="center"/>
          </w:tcPr>
          <w:p>
            <w:pPr>
              <w:pStyle w:val="18"/>
              <w:bidi w:val="0"/>
              <w:jc w:val="center"/>
            </w:pPr>
            <w:r>
              <w:t>道路中心线两侧各200m范围</w:t>
            </w: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73" w:hRule="atLeast"/>
        </w:trPr>
        <w:tc>
          <w:tcPr>
            <w:tcW w:w="939" w:type="pct"/>
            <w:vAlign w:val="center"/>
          </w:tcPr>
          <w:p>
            <w:pPr>
              <w:pStyle w:val="18"/>
              <w:bidi w:val="0"/>
              <w:jc w:val="center"/>
            </w:pPr>
            <w:r>
              <w:t>生态环境</w:t>
            </w:r>
          </w:p>
        </w:tc>
        <w:tc>
          <w:tcPr>
            <w:tcW w:w="2039" w:type="pct"/>
            <w:vAlign w:val="center"/>
          </w:tcPr>
          <w:p>
            <w:pPr>
              <w:pStyle w:val="18"/>
              <w:bidi w:val="0"/>
              <w:jc w:val="center"/>
            </w:pPr>
            <w:r>
              <w:t>道路红线外200m</w:t>
            </w:r>
          </w:p>
        </w:tc>
        <w:tc>
          <w:tcPr>
            <w:tcW w:w="2020" w:type="pct"/>
            <w:vAlign w:val="center"/>
          </w:tcPr>
          <w:p>
            <w:pPr>
              <w:pStyle w:val="18"/>
              <w:bidi w:val="0"/>
              <w:jc w:val="center"/>
            </w:pPr>
            <w:r>
              <w:t>道路红线外200m</w:t>
            </w:r>
          </w:p>
        </w:tc>
      </w:tr>
    </w:tbl>
    <w:p>
      <w:pPr>
        <w:pStyle w:val="6"/>
        <w:bidi w:val="0"/>
        <w:outlineLvl w:val="1"/>
      </w:pPr>
      <w:bookmarkStart w:id="12" w:name="_Toc25313"/>
      <w:r>
        <w:t>1.2.2调查因子</w:t>
      </w:r>
      <w:bookmarkEnd w:id="12"/>
    </w:p>
    <w:p>
      <w:pPr>
        <w:bidi w:val="0"/>
      </w:pPr>
      <w:r>
        <w:t>经筛选，本工程主要</w:t>
      </w:r>
      <w:r>
        <w:rPr>
          <w:rFonts w:hint="eastAsia"/>
          <w:lang w:val="en-US" w:eastAsia="zh-CN"/>
        </w:rPr>
        <w:t>环保验收调查因子与环评运营期评价因子</w:t>
      </w:r>
      <w:r>
        <w:t>见</w:t>
      </w:r>
      <w:r>
        <w:rPr>
          <w:rFonts w:hint="eastAsia"/>
          <w:lang w:val="en-US" w:eastAsia="zh-CN"/>
        </w:rPr>
        <w:t>下</w:t>
      </w:r>
      <w:r>
        <w:t>表。</w:t>
      </w:r>
    </w:p>
    <w:p>
      <w:pPr>
        <w:pStyle w:val="16"/>
        <w:bidi w:val="0"/>
        <w:rPr>
          <w:rFonts w:hint="eastAsia" w:eastAsia="宋体"/>
          <w:lang w:val="en-US" w:eastAsia="zh-CN"/>
        </w:rPr>
      </w:pPr>
      <w:r>
        <w:t>表1.2-</w:t>
      </w:r>
      <w:r>
        <w:rPr>
          <w:rFonts w:hint="eastAsia"/>
          <w:lang w:val="en-US" w:eastAsia="zh-CN"/>
        </w:rPr>
        <w:t xml:space="preserve">2  </w:t>
      </w:r>
      <w:r>
        <w:t>本工程主要</w:t>
      </w:r>
      <w:r>
        <w:rPr>
          <w:rFonts w:hint="eastAsia"/>
          <w:lang w:val="en-US" w:eastAsia="zh-CN"/>
        </w:rPr>
        <w:t>环保验收调查因子与环评运营期</w:t>
      </w:r>
      <w:r>
        <w:t>评价因子</w:t>
      </w:r>
      <w:r>
        <w:rPr>
          <w:rFonts w:hint="eastAsia"/>
          <w:lang w:val="en-US" w:eastAsia="zh-CN"/>
        </w:rPr>
        <w:t>对比表</w:t>
      </w:r>
    </w:p>
    <w:tbl>
      <w:tblPr>
        <w:tblStyle w:val="20"/>
        <w:tblW w:w="5051"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465"/>
        <w:gridCol w:w="2173"/>
        <w:gridCol w:w="47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873" w:type="pct"/>
            <w:vAlign w:val="center"/>
          </w:tcPr>
          <w:p>
            <w:pPr>
              <w:pStyle w:val="18"/>
              <w:bidi w:val="0"/>
            </w:pPr>
            <w:r>
              <w:t>类型</w:t>
            </w:r>
          </w:p>
        </w:tc>
        <w:tc>
          <w:tcPr>
            <w:tcW w:w="1295" w:type="pct"/>
            <w:vAlign w:val="center"/>
          </w:tcPr>
          <w:p>
            <w:pPr>
              <w:pStyle w:val="18"/>
              <w:bidi w:val="0"/>
              <w:rPr>
                <w:rFonts w:hint="eastAsia"/>
                <w:lang w:eastAsia="zh-CN"/>
              </w:rPr>
            </w:pPr>
            <w:r>
              <w:rPr>
                <w:rFonts w:hint="eastAsia"/>
                <w:lang w:val="en-US" w:eastAsia="zh-CN"/>
              </w:rPr>
              <w:t>环评阶段</w:t>
            </w:r>
            <w:r>
              <w:t>评价</w:t>
            </w:r>
            <w:r>
              <w:rPr>
                <w:rFonts w:hint="eastAsia"/>
                <w:lang w:val="en-US" w:eastAsia="zh-CN"/>
              </w:rPr>
              <w:t>因子</w:t>
            </w:r>
          </w:p>
        </w:tc>
        <w:tc>
          <w:tcPr>
            <w:tcW w:w="2831" w:type="pct"/>
            <w:vAlign w:val="center"/>
          </w:tcPr>
          <w:p>
            <w:pPr>
              <w:pStyle w:val="18"/>
              <w:bidi w:val="0"/>
            </w:pPr>
            <w:r>
              <w:rPr>
                <w:rFonts w:hint="eastAsia"/>
                <w:lang w:val="en-US" w:eastAsia="zh-CN"/>
              </w:rPr>
              <w:t>验收调查</w:t>
            </w:r>
            <w:r>
              <w:t>因子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4" w:hRule="atLeast"/>
        </w:trPr>
        <w:tc>
          <w:tcPr>
            <w:tcW w:w="873" w:type="pct"/>
            <w:tcBorders>
              <w:bottom w:val="nil"/>
            </w:tcBorders>
            <w:vAlign w:val="center"/>
          </w:tcPr>
          <w:p>
            <w:pPr>
              <w:pStyle w:val="18"/>
              <w:bidi w:val="0"/>
            </w:pPr>
            <w:r>
              <w:t>生态环境</w:t>
            </w:r>
          </w:p>
        </w:tc>
        <w:tc>
          <w:tcPr>
            <w:tcW w:w="1295" w:type="pct"/>
            <w:vAlign w:val="center"/>
          </w:tcPr>
          <w:p>
            <w:pPr>
              <w:pStyle w:val="18"/>
              <w:bidi w:val="0"/>
            </w:pPr>
            <w:r>
              <w:t>土壤侵蚀量、水土流失</w:t>
            </w:r>
          </w:p>
        </w:tc>
        <w:tc>
          <w:tcPr>
            <w:tcW w:w="2831" w:type="pct"/>
            <w:vAlign w:val="center"/>
          </w:tcPr>
          <w:p>
            <w:pPr>
              <w:pStyle w:val="18"/>
              <w:bidi w:val="0"/>
            </w:pPr>
            <w:r>
              <w:t>土壤侵蚀量、水土流失</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2" w:hRule="atLeast"/>
        </w:trPr>
        <w:tc>
          <w:tcPr>
            <w:tcW w:w="873" w:type="pct"/>
            <w:tcBorders>
              <w:bottom w:val="nil"/>
            </w:tcBorders>
            <w:vAlign w:val="center"/>
          </w:tcPr>
          <w:p>
            <w:pPr>
              <w:pStyle w:val="18"/>
              <w:bidi w:val="0"/>
            </w:pPr>
            <w:r>
              <w:t>空气环境</w:t>
            </w:r>
          </w:p>
        </w:tc>
        <w:tc>
          <w:tcPr>
            <w:tcW w:w="1295" w:type="pct"/>
            <w:vAlign w:val="center"/>
          </w:tcPr>
          <w:p>
            <w:pPr>
              <w:pStyle w:val="18"/>
              <w:bidi w:val="0"/>
            </w:pPr>
            <w:r>
              <w:t>PM₁₀、NO₂、SO₂</w:t>
            </w:r>
          </w:p>
        </w:tc>
        <w:tc>
          <w:tcPr>
            <w:tcW w:w="2831" w:type="pct"/>
            <w:vAlign w:val="center"/>
          </w:tcPr>
          <w:p>
            <w:pPr>
              <w:pStyle w:val="18"/>
              <w:bidi w:val="0"/>
            </w:pPr>
            <w:r>
              <w:rPr>
                <w:rFonts w:hint="eastAsia"/>
                <w:lang w:val="en-US" w:eastAsia="zh-CN"/>
              </w:rPr>
              <w:t>调查道路沿线两侧</w:t>
            </w:r>
            <w:r>
              <w:rPr>
                <w:rFonts w:hint="default"/>
                <w:lang w:val="en-US" w:eastAsia="zh-CN"/>
              </w:rPr>
              <w:t>200m</w:t>
            </w:r>
            <w:r>
              <w:rPr>
                <w:rFonts w:hint="eastAsia"/>
                <w:lang w:val="en-US" w:eastAsia="zh-CN"/>
              </w:rPr>
              <w:t>范围内环境敏感目标分布情况；调查施工过程中采取的减少粉尘污染的措施及效果；调查试运营期环境空气质量现状及保护措施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4" w:hRule="atLeast"/>
        </w:trPr>
        <w:tc>
          <w:tcPr>
            <w:tcW w:w="873" w:type="pct"/>
            <w:tcBorders>
              <w:bottom w:val="nil"/>
            </w:tcBorders>
            <w:vAlign w:val="center"/>
          </w:tcPr>
          <w:p>
            <w:pPr>
              <w:pStyle w:val="18"/>
              <w:bidi w:val="0"/>
            </w:pPr>
            <w:r>
              <w:t>声环境</w:t>
            </w:r>
          </w:p>
        </w:tc>
        <w:tc>
          <w:tcPr>
            <w:tcW w:w="1295" w:type="pct"/>
            <w:vAlign w:val="center"/>
          </w:tcPr>
          <w:p>
            <w:pPr>
              <w:pStyle w:val="18"/>
              <w:bidi w:val="0"/>
            </w:pPr>
            <w:r>
              <w:t>等效连续A声级，Leg(A</w:t>
            </w:r>
            <w:r>
              <w:rPr>
                <w:rFonts w:hint="eastAsia"/>
                <w:lang w:eastAsia="zh-CN"/>
              </w:rPr>
              <w:t>）</w:t>
            </w:r>
          </w:p>
        </w:tc>
        <w:tc>
          <w:tcPr>
            <w:tcW w:w="2831" w:type="pct"/>
            <w:tcBorders>
              <w:bottom w:val="nil"/>
            </w:tcBorders>
            <w:vAlign w:val="center"/>
          </w:tcPr>
          <w:p>
            <w:pPr>
              <w:pStyle w:val="18"/>
              <w:bidi w:val="0"/>
              <w:rPr>
                <w:rFonts w:hint="eastAsia"/>
                <w:lang w:eastAsia="zh-CN"/>
              </w:rPr>
            </w:pPr>
            <w:r>
              <w:rPr>
                <w:rFonts w:hint="eastAsia"/>
                <w:lang w:eastAsia="zh-CN"/>
              </w:rPr>
              <w:t>调查道路声环境敏感点分布及噪声达标情况、交通噪声衰减情况、24小时交通噪声情况，调查范围内工程建设对敏感点的噪声影响程度、防治措施及效果。调查因子为等效连续A声级(LAeq)</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1" w:hRule="atLeast"/>
        </w:trPr>
        <w:tc>
          <w:tcPr>
            <w:tcW w:w="873" w:type="pct"/>
            <w:vAlign w:val="center"/>
          </w:tcPr>
          <w:p>
            <w:pPr>
              <w:pStyle w:val="18"/>
              <w:bidi w:val="0"/>
            </w:pPr>
            <w:r>
              <w:t>水环境</w:t>
            </w:r>
          </w:p>
        </w:tc>
        <w:tc>
          <w:tcPr>
            <w:tcW w:w="1295" w:type="pct"/>
            <w:vAlign w:val="center"/>
          </w:tcPr>
          <w:p>
            <w:pPr>
              <w:pStyle w:val="18"/>
              <w:bidi w:val="0"/>
            </w:pPr>
            <w:r>
              <w:t>监测项目为pH、氨氮、硝酸盐、亚硝酸盐、挥发性酚类、氰化物、砷、汞、铬(六价)</w:t>
            </w:r>
            <w:r>
              <w:rPr>
                <w:rFonts w:hint="eastAsia"/>
                <w:lang w:eastAsia="zh-CN"/>
              </w:rPr>
              <w:t>、</w:t>
            </w:r>
            <w:r>
              <w:t>总硬度、铅、氟、镉、铁、锰、溶解性总固体、高锰酸盐指数、总大肠菌群类</w:t>
            </w:r>
          </w:p>
        </w:tc>
        <w:tc>
          <w:tcPr>
            <w:tcW w:w="2831" w:type="pct"/>
            <w:vAlign w:val="center"/>
          </w:tcPr>
          <w:p>
            <w:pPr>
              <w:pStyle w:val="18"/>
              <w:bidi w:val="0"/>
            </w:pPr>
            <w:r>
              <w:rPr>
                <w:rFonts w:hint="eastAsia"/>
              </w:rPr>
              <w:t>调查道路施工期的生活污水处理和排放情况，运营期沿线路面径流排放方式、排放去向，水环境敏感目标的分布情况及质量现状等。调查因子为SS、石油类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7" w:hRule="atLeast"/>
        </w:trPr>
        <w:tc>
          <w:tcPr>
            <w:tcW w:w="873" w:type="pct"/>
            <w:vAlign w:val="center"/>
          </w:tcPr>
          <w:p>
            <w:pPr>
              <w:pStyle w:val="18"/>
              <w:bidi w:val="0"/>
            </w:pPr>
            <w:r>
              <w:t>固体废物</w:t>
            </w:r>
          </w:p>
        </w:tc>
        <w:tc>
          <w:tcPr>
            <w:tcW w:w="1295" w:type="pct"/>
            <w:vAlign w:val="center"/>
          </w:tcPr>
          <w:p>
            <w:pPr>
              <w:pStyle w:val="18"/>
              <w:bidi w:val="0"/>
            </w:pPr>
            <w:r>
              <w:t>废沥青路面、施工弃方</w:t>
            </w:r>
          </w:p>
        </w:tc>
        <w:tc>
          <w:tcPr>
            <w:tcW w:w="2831" w:type="pct"/>
            <w:vAlign w:val="center"/>
          </w:tcPr>
          <w:p>
            <w:pPr>
              <w:pStyle w:val="18"/>
              <w:bidi w:val="0"/>
            </w:pPr>
            <w:r>
              <w:rPr>
                <w:rFonts w:hint="eastAsia"/>
                <w:lang w:val="en-US" w:eastAsia="zh-CN"/>
              </w:rPr>
              <w:t>调查固体废弃物处置情况，取、弃土场基本情况以及生态及功能恢复情况</w:t>
            </w:r>
          </w:p>
        </w:tc>
      </w:tr>
    </w:tbl>
    <w:p>
      <w:pPr>
        <w:spacing w:line="14" w:lineRule="auto"/>
        <w:rPr>
          <w:rFonts w:ascii="Arial" w:hAnsi="Arial" w:eastAsia="Arial" w:cs="Arial"/>
          <w:sz w:val="2"/>
          <w:szCs w:val="2"/>
        </w:rPr>
        <w:sectPr>
          <w:pgSz w:w="11900" w:h="16840"/>
          <w:pgMar w:top="1440" w:right="1803" w:bottom="1440" w:left="1803" w:header="992" w:footer="992" w:gutter="0"/>
          <w:pgBorders>
            <w:top w:val="none" w:sz="0" w:space="0"/>
            <w:left w:val="none" w:sz="0" w:space="0"/>
            <w:bottom w:val="none" w:sz="0" w:space="0"/>
            <w:right w:val="none" w:sz="0" w:space="0"/>
          </w:pgBorders>
          <w:pgNumType w:fmt="decimal"/>
          <w:cols w:space="720" w:num="1"/>
        </w:sectPr>
      </w:pPr>
    </w:p>
    <w:p>
      <w:pPr>
        <w:pStyle w:val="5"/>
        <w:bidi w:val="0"/>
        <w:outlineLvl w:val="0"/>
      </w:pPr>
      <w:bookmarkStart w:id="13" w:name="_Toc21408"/>
      <w:r>
        <w:t>1.3验收标准</w:t>
      </w:r>
      <w:bookmarkEnd w:id="13"/>
    </w:p>
    <w:p>
      <w:pPr>
        <w:bidi w:val="0"/>
      </w:pPr>
      <w:r>
        <w:rPr>
          <w:rFonts w:hint="eastAsia"/>
          <w:lang w:val="en-US" w:eastAsia="zh-CN"/>
        </w:rPr>
        <w:t>本次验收标准</w:t>
      </w:r>
      <w:r>
        <w:t>采用</w:t>
      </w:r>
      <w:r>
        <w:rPr>
          <w:rFonts w:hint="eastAsia"/>
          <w:lang w:val="en-US" w:eastAsia="zh-CN"/>
        </w:rPr>
        <w:t>本项目环境影响报告书</w:t>
      </w:r>
      <w:r>
        <w:t>及</w:t>
      </w:r>
      <w:r>
        <w:rPr>
          <w:rFonts w:hint="eastAsia"/>
          <w:lang w:val="en-US" w:eastAsia="zh-CN"/>
        </w:rPr>
        <w:t>其</w:t>
      </w:r>
      <w:r>
        <w:rPr>
          <w:rFonts w:hint="eastAsia"/>
        </w:rPr>
        <w:t>批复（</w:t>
      </w:r>
      <w:r>
        <w:rPr>
          <w:rFonts w:hint="eastAsia"/>
          <w:lang w:val="en-US" w:eastAsia="zh-CN"/>
        </w:rPr>
        <w:t>奎独开环函[2017]14号</w:t>
      </w:r>
      <w:r>
        <w:rPr>
          <w:rFonts w:hint="eastAsia"/>
          <w:lang w:eastAsia="zh-CN"/>
        </w:rPr>
        <w:t>）</w:t>
      </w:r>
      <w:r>
        <w:t>确定的标准进行验收</w:t>
      </w:r>
      <w:r>
        <w:rPr>
          <w:rFonts w:hint="eastAsia"/>
          <w:lang w:val="en-US" w:eastAsia="zh-CN"/>
        </w:rPr>
        <w:t>准，对已修订重新颁布的标准则采用现行新标准。</w:t>
      </w:r>
      <w:r>
        <w:t>详见下表。</w:t>
      </w:r>
    </w:p>
    <w:p>
      <w:pPr>
        <w:pStyle w:val="16"/>
        <w:bidi w:val="0"/>
      </w:pPr>
      <w:r>
        <w:t>表1</w:t>
      </w:r>
      <w:r>
        <w:rPr>
          <w:rFonts w:hint="eastAsia"/>
          <w:lang w:val="en-US" w:eastAsia="zh-CN"/>
        </w:rPr>
        <w:t>.3</w:t>
      </w:r>
      <w:r>
        <w:t>-</w:t>
      </w:r>
      <w:r>
        <w:rPr>
          <w:rFonts w:hint="eastAsia"/>
          <w:lang w:val="en-US" w:eastAsia="zh-CN"/>
        </w:rPr>
        <w:t>1</w:t>
      </w:r>
      <w:r>
        <w:t xml:space="preserve">    本项目竣工环境保护验收调查使用标准汇总表</w:t>
      </w:r>
    </w:p>
    <w:tbl>
      <w:tblPr>
        <w:tblStyle w:val="20"/>
        <w:tblW w:w="4998" w:type="pct"/>
        <w:jc w:val="center"/>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Layout w:type="autofit"/>
        <w:tblCellMar>
          <w:top w:w="0" w:type="dxa"/>
          <w:left w:w="0" w:type="dxa"/>
          <w:bottom w:w="0" w:type="dxa"/>
          <w:right w:w="0" w:type="dxa"/>
        </w:tblCellMar>
      </w:tblPr>
      <w:tblGrid>
        <w:gridCol w:w="1785"/>
        <w:gridCol w:w="3458"/>
        <w:gridCol w:w="1217"/>
        <w:gridCol w:w="1853"/>
      </w:tblGrid>
      <w:tr>
        <w:tblPrEx>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30" w:hRule="atLeast"/>
          <w:jc w:val="center"/>
        </w:trPr>
        <w:tc>
          <w:tcPr>
            <w:tcW w:w="1073" w:type="pct"/>
            <w:tcBorders>
              <w:top w:val="single" w:color="000000" w:sz="10" w:space="0"/>
            </w:tcBorders>
            <w:vAlign w:val="center"/>
          </w:tcPr>
          <w:p>
            <w:pPr>
              <w:pStyle w:val="18"/>
              <w:bidi w:val="0"/>
              <w:jc w:val="center"/>
            </w:pPr>
            <w:r>
              <w:t>项目</w:t>
            </w:r>
          </w:p>
        </w:tc>
        <w:tc>
          <w:tcPr>
            <w:tcW w:w="2079" w:type="pct"/>
            <w:tcBorders>
              <w:top w:val="single" w:color="000000" w:sz="10" w:space="0"/>
            </w:tcBorders>
            <w:vAlign w:val="center"/>
          </w:tcPr>
          <w:p>
            <w:pPr>
              <w:pStyle w:val="18"/>
              <w:bidi w:val="0"/>
              <w:jc w:val="center"/>
            </w:pPr>
            <w:r>
              <w:t>标准名称</w:t>
            </w:r>
          </w:p>
        </w:tc>
        <w:tc>
          <w:tcPr>
            <w:tcW w:w="732" w:type="pct"/>
            <w:tcBorders>
              <w:top w:val="single" w:color="000000" w:sz="10" w:space="0"/>
            </w:tcBorders>
            <w:vAlign w:val="center"/>
          </w:tcPr>
          <w:p>
            <w:pPr>
              <w:pStyle w:val="18"/>
              <w:bidi w:val="0"/>
              <w:jc w:val="center"/>
            </w:pPr>
            <w:r>
              <w:t>类别</w:t>
            </w:r>
          </w:p>
        </w:tc>
        <w:tc>
          <w:tcPr>
            <w:tcW w:w="1114" w:type="pct"/>
            <w:tcBorders>
              <w:top w:val="single" w:color="000000" w:sz="10" w:space="0"/>
            </w:tcBorders>
            <w:vAlign w:val="center"/>
          </w:tcPr>
          <w:p>
            <w:pPr>
              <w:pStyle w:val="18"/>
              <w:bidi w:val="0"/>
              <w:jc w:val="center"/>
            </w:pPr>
            <w:r>
              <w:t>本次验收适用级别</w:t>
            </w:r>
          </w:p>
        </w:tc>
      </w:tr>
      <w:tr>
        <w:tblPrEx>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352" w:hRule="atLeast"/>
          <w:jc w:val="center"/>
        </w:trPr>
        <w:tc>
          <w:tcPr>
            <w:tcW w:w="1073" w:type="pct"/>
            <w:vAlign w:val="center"/>
          </w:tcPr>
          <w:p>
            <w:pPr>
              <w:pStyle w:val="18"/>
              <w:bidi w:val="0"/>
              <w:jc w:val="center"/>
            </w:pPr>
            <w:r>
              <w:rPr>
                <w:rFonts w:hint="eastAsia"/>
                <w:lang w:val="en-US" w:eastAsia="zh-CN"/>
              </w:rPr>
              <w:t>地下</w:t>
            </w:r>
            <w:r>
              <w:t>水</w:t>
            </w:r>
          </w:p>
        </w:tc>
        <w:tc>
          <w:tcPr>
            <w:tcW w:w="2079" w:type="pct"/>
            <w:vAlign w:val="center"/>
          </w:tcPr>
          <w:p>
            <w:pPr>
              <w:pStyle w:val="18"/>
              <w:bidi w:val="0"/>
              <w:jc w:val="center"/>
            </w:pPr>
            <w:r>
              <w:rPr>
                <w:rFonts w:hint="default"/>
                <w:lang w:val="en-US" w:eastAsia="zh-CN"/>
              </w:rPr>
              <w:t>《</w:t>
            </w:r>
            <w:r>
              <w:rPr>
                <w:rFonts w:hint="eastAsia"/>
                <w:lang w:val="en-US" w:eastAsia="zh-CN"/>
              </w:rPr>
              <w:t>地下水</w:t>
            </w:r>
            <w:r>
              <w:rPr>
                <w:rFonts w:hint="default"/>
                <w:lang w:val="en-US" w:eastAsia="zh-CN"/>
              </w:rPr>
              <w:t>质量标准》(GB</w:t>
            </w:r>
            <w:r>
              <w:rPr>
                <w:rFonts w:hint="eastAsia"/>
                <w:lang w:val="en-US" w:eastAsia="zh-CN"/>
              </w:rPr>
              <w:t>/T14848</w:t>
            </w:r>
            <w:r>
              <w:rPr>
                <w:rFonts w:hint="default"/>
                <w:lang w:val="en-US" w:eastAsia="zh-CN"/>
              </w:rPr>
              <w:t>-</w:t>
            </w:r>
            <w:r>
              <w:rPr>
                <w:rFonts w:hint="eastAsia"/>
                <w:lang w:val="en-US" w:eastAsia="zh-CN"/>
              </w:rPr>
              <w:t>2017</w:t>
            </w:r>
            <w:r>
              <w:rPr>
                <w:rFonts w:hint="default"/>
                <w:lang w:val="en-US" w:eastAsia="zh-CN"/>
              </w:rPr>
              <w:t>)</w:t>
            </w:r>
          </w:p>
        </w:tc>
        <w:tc>
          <w:tcPr>
            <w:tcW w:w="732" w:type="pct"/>
            <w:vAlign w:val="center"/>
          </w:tcPr>
          <w:p>
            <w:pPr>
              <w:pStyle w:val="18"/>
              <w:bidi w:val="0"/>
              <w:jc w:val="center"/>
            </w:pPr>
            <w:r>
              <w:t>验收标准</w:t>
            </w:r>
          </w:p>
        </w:tc>
        <w:tc>
          <w:tcPr>
            <w:tcW w:w="1114" w:type="pct"/>
            <w:vAlign w:val="center"/>
          </w:tcPr>
          <w:p>
            <w:pPr>
              <w:pStyle w:val="18"/>
              <w:bidi w:val="0"/>
              <w:jc w:val="center"/>
            </w:pPr>
            <w:r>
              <w:t>Ⅲ类标准</w:t>
            </w:r>
          </w:p>
        </w:tc>
      </w:tr>
      <w:tr>
        <w:tblPrEx>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92" w:hRule="atLeast"/>
          <w:jc w:val="center"/>
        </w:trPr>
        <w:tc>
          <w:tcPr>
            <w:tcW w:w="1073" w:type="pct"/>
            <w:vAlign w:val="center"/>
          </w:tcPr>
          <w:p>
            <w:pPr>
              <w:pStyle w:val="18"/>
              <w:bidi w:val="0"/>
              <w:jc w:val="center"/>
            </w:pPr>
            <w:r>
              <w:t>环境空气</w:t>
            </w:r>
          </w:p>
        </w:tc>
        <w:tc>
          <w:tcPr>
            <w:tcW w:w="2079" w:type="pct"/>
            <w:vAlign w:val="center"/>
          </w:tcPr>
          <w:p>
            <w:pPr>
              <w:pStyle w:val="18"/>
              <w:bidi w:val="0"/>
              <w:jc w:val="center"/>
            </w:pPr>
            <w:r>
              <w:t>《环境空气质量标准》(GB3095-2012)</w:t>
            </w:r>
          </w:p>
        </w:tc>
        <w:tc>
          <w:tcPr>
            <w:tcW w:w="732" w:type="pct"/>
            <w:vAlign w:val="center"/>
          </w:tcPr>
          <w:p>
            <w:pPr>
              <w:pStyle w:val="18"/>
              <w:bidi w:val="0"/>
              <w:jc w:val="center"/>
            </w:pPr>
            <w:r>
              <w:t>验收标准</w:t>
            </w:r>
          </w:p>
        </w:tc>
        <w:tc>
          <w:tcPr>
            <w:tcW w:w="1114" w:type="pct"/>
            <w:vAlign w:val="center"/>
          </w:tcPr>
          <w:p>
            <w:pPr>
              <w:pStyle w:val="18"/>
              <w:bidi w:val="0"/>
              <w:jc w:val="center"/>
            </w:pPr>
            <w:r>
              <w:t>二级标准</w:t>
            </w:r>
          </w:p>
        </w:tc>
      </w:tr>
      <w:tr>
        <w:tblPrEx>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61" w:hRule="atLeast"/>
          <w:jc w:val="center"/>
        </w:trPr>
        <w:tc>
          <w:tcPr>
            <w:tcW w:w="1073" w:type="pct"/>
            <w:tcBorders>
              <w:bottom w:val="single" w:color="000000" w:sz="10" w:space="0"/>
            </w:tcBorders>
            <w:vAlign w:val="center"/>
          </w:tcPr>
          <w:p>
            <w:pPr>
              <w:pStyle w:val="18"/>
              <w:bidi w:val="0"/>
              <w:jc w:val="center"/>
            </w:pPr>
            <w:r>
              <w:t>噪声</w:t>
            </w:r>
          </w:p>
        </w:tc>
        <w:tc>
          <w:tcPr>
            <w:tcW w:w="2079" w:type="pct"/>
            <w:tcBorders>
              <w:bottom w:val="single" w:color="000000" w:sz="10" w:space="0"/>
            </w:tcBorders>
            <w:vAlign w:val="center"/>
          </w:tcPr>
          <w:p>
            <w:pPr>
              <w:pStyle w:val="18"/>
              <w:bidi w:val="0"/>
              <w:jc w:val="center"/>
            </w:pPr>
            <w:r>
              <w:t>《声环境质量标准》（GB3096-2008）</w:t>
            </w:r>
          </w:p>
        </w:tc>
        <w:tc>
          <w:tcPr>
            <w:tcW w:w="732" w:type="pct"/>
            <w:tcBorders>
              <w:bottom w:val="single" w:color="000000" w:sz="10" w:space="0"/>
            </w:tcBorders>
            <w:vAlign w:val="center"/>
          </w:tcPr>
          <w:p>
            <w:pPr>
              <w:pStyle w:val="18"/>
              <w:bidi w:val="0"/>
              <w:jc w:val="center"/>
            </w:pPr>
            <w:r>
              <w:t>验收标准</w:t>
            </w:r>
          </w:p>
        </w:tc>
        <w:tc>
          <w:tcPr>
            <w:tcW w:w="1114" w:type="pct"/>
            <w:tcBorders>
              <w:bottom w:val="single" w:color="000000" w:sz="10" w:space="0"/>
            </w:tcBorders>
            <w:vAlign w:val="center"/>
          </w:tcPr>
          <w:p>
            <w:pPr>
              <w:pStyle w:val="18"/>
              <w:bidi w:val="0"/>
              <w:jc w:val="center"/>
            </w:pPr>
            <w:r>
              <w:t>4a类</w:t>
            </w:r>
            <w:r>
              <w:rPr>
                <w:rFonts w:hint="eastAsia"/>
                <w:lang w:eastAsia="zh-CN"/>
              </w:rPr>
              <w:t>、</w:t>
            </w:r>
            <w:r>
              <w:rPr>
                <w:rFonts w:hint="eastAsia"/>
                <w:lang w:val="en-US" w:eastAsia="zh-CN"/>
              </w:rPr>
              <w:t>3类</w:t>
            </w:r>
            <w:r>
              <w:t>标准</w:t>
            </w:r>
          </w:p>
        </w:tc>
      </w:tr>
    </w:tbl>
    <w:p>
      <w:pPr>
        <w:pStyle w:val="6"/>
        <w:bidi w:val="0"/>
        <w:outlineLvl w:val="1"/>
        <w:rPr>
          <w:rFonts w:hint="eastAsia"/>
          <w:lang w:val="en-US" w:eastAsia="zh-CN"/>
        </w:rPr>
      </w:pPr>
      <w:bookmarkStart w:id="14" w:name="_Toc14123"/>
      <w:r>
        <w:rPr>
          <w:rFonts w:hint="eastAsia"/>
          <w:lang w:val="en-US" w:eastAsia="zh-CN"/>
        </w:rPr>
        <w:t>1.3.1环境质量标准</w:t>
      </w:r>
      <w:bookmarkEnd w:id="14"/>
    </w:p>
    <w:p>
      <w:pPr>
        <w:numPr>
          <w:ilvl w:val="0"/>
          <w:numId w:val="1"/>
        </w:numPr>
        <w:bidi w:val="0"/>
        <w:outlineLvl w:val="2"/>
        <w:rPr>
          <w:rFonts w:hint="eastAsia"/>
          <w:lang w:val="en-US" w:eastAsia="zh-CN"/>
        </w:rPr>
      </w:pPr>
      <w:bookmarkStart w:id="15" w:name="_Toc30248"/>
      <w:r>
        <w:rPr>
          <w:rFonts w:hint="eastAsia"/>
          <w:lang w:val="en-US" w:eastAsia="zh-CN"/>
        </w:rPr>
        <w:t>环境空气</w:t>
      </w:r>
      <w:bookmarkEnd w:id="15"/>
    </w:p>
    <w:p>
      <w:pPr>
        <w:bidi w:val="0"/>
      </w:pPr>
      <w:r>
        <w:rPr>
          <w:rFonts w:hint="eastAsia"/>
          <w:lang w:val="en-US" w:eastAsia="zh-CN"/>
        </w:rPr>
        <w:t>环评报告书中提出环境空气执行《环境空气质量标准》</w:t>
      </w:r>
      <w:r>
        <w:rPr>
          <w:rFonts w:hint="default"/>
          <w:lang w:val="en-US" w:eastAsia="zh-CN"/>
        </w:rPr>
        <w:t>(GB3095-</w:t>
      </w:r>
      <w:r>
        <w:rPr>
          <w:rFonts w:hint="eastAsia"/>
          <w:lang w:val="en-US" w:eastAsia="zh-CN"/>
        </w:rPr>
        <w:t>2012</w:t>
      </w:r>
      <w:r>
        <w:rPr>
          <w:rFonts w:hint="default"/>
          <w:lang w:val="en-US" w:eastAsia="zh-CN"/>
        </w:rPr>
        <w:t>)</w:t>
      </w:r>
      <w:r>
        <w:rPr>
          <w:rFonts w:hint="eastAsia"/>
          <w:lang w:val="en-US" w:eastAsia="zh-CN"/>
        </w:rPr>
        <w:t>二级标准。本次验收调查同原环评报告书。</w:t>
      </w:r>
    </w:p>
    <w:p>
      <w:pPr>
        <w:pStyle w:val="16"/>
        <w:bidi w:val="0"/>
        <w:rPr>
          <w:rFonts w:hint="default" w:eastAsia="宋体"/>
          <w:lang w:val="en-US" w:eastAsia="zh-CN"/>
        </w:rPr>
      </w:pPr>
      <w:r>
        <w:t>表1</w:t>
      </w:r>
      <w:r>
        <w:rPr>
          <w:rFonts w:hint="eastAsia"/>
          <w:lang w:val="en-US" w:eastAsia="zh-CN"/>
        </w:rPr>
        <w:t>.3</w:t>
      </w:r>
      <w:r>
        <w:t>-</w:t>
      </w:r>
      <w:r>
        <w:rPr>
          <w:rFonts w:hint="eastAsia"/>
          <w:lang w:val="en-US" w:eastAsia="zh-CN"/>
        </w:rPr>
        <w:t>2</w:t>
      </w:r>
      <w:r>
        <w:t xml:space="preserve">    </w:t>
      </w:r>
      <w:r>
        <w:rPr>
          <w:rFonts w:hint="eastAsia"/>
          <w:lang w:val="en-US" w:eastAsia="zh-CN"/>
        </w:rPr>
        <w:t>环境空气质量</w:t>
      </w:r>
    </w:p>
    <w:tbl>
      <w:tblPr>
        <w:tblStyle w:val="20"/>
        <w:tblW w:w="4999" w:type="pct"/>
        <w:jc w:val="center"/>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Layout w:type="autofit"/>
        <w:tblCellMar>
          <w:top w:w="0" w:type="dxa"/>
          <w:left w:w="0" w:type="dxa"/>
          <w:bottom w:w="0" w:type="dxa"/>
          <w:right w:w="0" w:type="dxa"/>
        </w:tblCellMar>
      </w:tblPr>
      <w:tblGrid>
        <w:gridCol w:w="2244"/>
        <w:gridCol w:w="2172"/>
        <w:gridCol w:w="2177"/>
        <w:gridCol w:w="1721"/>
      </w:tblGrid>
      <w:tr>
        <w:tblPrEx>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262" w:hRule="atLeast"/>
          <w:jc w:val="center"/>
        </w:trPr>
        <w:tc>
          <w:tcPr>
            <w:tcW w:w="1349" w:type="pct"/>
            <w:vMerge w:val="restart"/>
            <w:tcBorders>
              <w:top w:val="single" w:color="000000" w:sz="10" w:space="0"/>
            </w:tcBorders>
            <w:vAlign w:val="center"/>
          </w:tcPr>
          <w:p>
            <w:pPr>
              <w:pStyle w:val="18"/>
              <w:bidi w:val="0"/>
            </w:pPr>
            <w:r>
              <w:t>项目</w:t>
            </w:r>
          </w:p>
        </w:tc>
        <w:tc>
          <w:tcPr>
            <w:tcW w:w="2615" w:type="pct"/>
            <w:gridSpan w:val="2"/>
            <w:tcBorders>
              <w:top w:val="single" w:color="000000" w:sz="10" w:space="0"/>
            </w:tcBorders>
            <w:vAlign w:val="center"/>
          </w:tcPr>
          <w:p>
            <w:pPr>
              <w:pStyle w:val="18"/>
              <w:bidi w:val="0"/>
              <w:rPr>
                <w:rFonts w:hint="default"/>
                <w:lang w:val="en-US" w:eastAsia="zh-CN"/>
              </w:rPr>
            </w:pPr>
            <w:r>
              <w:rPr>
                <w:rFonts w:hint="eastAsia"/>
                <w:lang w:val="en-US" w:eastAsia="zh-CN"/>
              </w:rPr>
              <w:t>浓度限制（</w:t>
            </w:r>
            <w:r>
              <w:rPr>
                <w:rFonts w:hint="default"/>
                <w:lang w:val="en-US" w:eastAsia="zh-CN"/>
              </w:rPr>
              <w:t>mg/Nm3</w:t>
            </w:r>
            <w:r>
              <w:rPr>
                <w:rFonts w:hint="eastAsia"/>
                <w:lang w:val="en-US" w:eastAsia="zh-CN"/>
              </w:rPr>
              <w:t>）</w:t>
            </w:r>
          </w:p>
        </w:tc>
        <w:tc>
          <w:tcPr>
            <w:tcW w:w="1035" w:type="pct"/>
            <w:vMerge w:val="restart"/>
            <w:tcBorders>
              <w:top w:val="single" w:color="000000" w:sz="10" w:space="0"/>
            </w:tcBorders>
            <w:vAlign w:val="center"/>
          </w:tcPr>
          <w:p>
            <w:pPr>
              <w:pStyle w:val="18"/>
              <w:bidi w:val="0"/>
              <w:rPr>
                <w:rFonts w:hint="eastAsia" w:eastAsia="宋体"/>
                <w:lang w:eastAsia="zh-CN"/>
              </w:rPr>
            </w:pPr>
            <w:r>
              <w:rPr>
                <w:rFonts w:hint="eastAsia"/>
                <w:lang w:val="en-US" w:eastAsia="zh-CN"/>
              </w:rPr>
              <w:t>备注</w:t>
            </w:r>
          </w:p>
        </w:tc>
      </w:tr>
      <w:tr>
        <w:tblPrEx>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262" w:hRule="atLeast"/>
          <w:jc w:val="center"/>
        </w:trPr>
        <w:tc>
          <w:tcPr>
            <w:tcW w:w="1349" w:type="pct"/>
            <w:vMerge w:val="continue"/>
            <w:vAlign w:val="center"/>
          </w:tcPr>
          <w:p>
            <w:pPr>
              <w:pStyle w:val="18"/>
              <w:bidi w:val="0"/>
            </w:pPr>
          </w:p>
        </w:tc>
        <w:tc>
          <w:tcPr>
            <w:tcW w:w="1306" w:type="pct"/>
            <w:tcBorders>
              <w:top w:val="single" w:color="000000" w:sz="10" w:space="0"/>
            </w:tcBorders>
            <w:vAlign w:val="center"/>
          </w:tcPr>
          <w:p>
            <w:pPr>
              <w:pStyle w:val="18"/>
              <w:bidi w:val="0"/>
              <w:rPr>
                <w:rFonts w:hint="default"/>
                <w:lang w:val="en-US" w:eastAsia="zh-CN"/>
              </w:rPr>
            </w:pPr>
            <w:r>
              <w:rPr>
                <w:rFonts w:hint="eastAsia"/>
                <w:lang w:val="en-US" w:eastAsia="zh-CN"/>
              </w:rPr>
              <w:t>取值时间</w:t>
            </w:r>
          </w:p>
        </w:tc>
        <w:tc>
          <w:tcPr>
            <w:tcW w:w="1308" w:type="pct"/>
            <w:tcBorders>
              <w:top w:val="single" w:color="000000" w:sz="10" w:space="0"/>
            </w:tcBorders>
            <w:vAlign w:val="center"/>
          </w:tcPr>
          <w:p>
            <w:pPr>
              <w:pStyle w:val="18"/>
              <w:bidi w:val="0"/>
              <w:rPr>
                <w:rFonts w:hint="default"/>
                <w:lang w:val="en-US" w:eastAsia="zh-CN"/>
              </w:rPr>
            </w:pPr>
            <w:r>
              <w:rPr>
                <w:rFonts w:hint="eastAsia"/>
                <w:lang w:val="en-US" w:eastAsia="zh-CN"/>
              </w:rPr>
              <w:t>二级标准</w:t>
            </w:r>
          </w:p>
        </w:tc>
        <w:tc>
          <w:tcPr>
            <w:tcW w:w="1035" w:type="pct"/>
            <w:vMerge w:val="continue"/>
            <w:vAlign w:val="center"/>
          </w:tcPr>
          <w:p>
            <w:pPr>
              <w:pStyle w:val="18"/>
              <w:bidi w:val="0"/>
            </w:pPr>
          </w:p>
        </w:tc>
      </w:tr>
      <w:tr>
        <w:tblPrEx>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352" w:hRule="atLeast"/>
          <w:jc w:val="center"/>
        </w:trPr>
        <w:tc>
          <w:tcPr>
            <w:tcW w:w="1349" w:type="pct"/>
            <w:vAlign w:val="center"/>
          </w:tcPr>
          <w:p>
            <w:pPr>
              <w:pStyle w:val="18"/>
              <w:bidi w:val="0"/>
            </w:pPr>
            <w:r>
              <w:t>PM₁₀</w:t>
            </w:r>
          </w:p>
        </w:tc>
        <w:tc>
          <w:tcPr>
            <w:tcW w:w="1306" w:type="pct"/>
            <w:vAlign w:val="center"/>
          </w:tcPr>
          <w:p>
            <w:pPr>
              <w:pStyle w:val="18"/>
              <w:bidi w:val="0"/>
            </w:pPr>
            <w:r>
              <w:rPr>
                <w:rFonts w:hint="default"/>
                <w:lang w:val="en-US" w:eastAsia="zh-CN"/>
              </w:rPr>
              <w:t>24</w:t>
            </w:r>
            <w:r>
              <w:rPr>
                <w:rFonts w:hint="eastAsia"/>
                <w:lang w:val="en-US" w:eastAsia="zh-CN"/>
              </w:rPr>
              <w:t>小时平均</w:t>
            </w:r>
          </w:p>
        </w:tc>
        <w:tc>
          <w:tcPr>
            <w:tcW w:w="1308" w:type="pct"/>
            <w:vAlign w:val="center"/>
          </w:tcPr>
          <w:p>
            <w:pPr>
              <w:pStyle w:val="18"/>
              <w:bidi w:val="0"/>
              <w:rPr>
                <w:rFonts w:hint="default"/>
                <w:lang w:val="en-US" w:eastAsia="zh-CN"/>
              </w:rPr>
            </w:pPr>
            <w:r>
              <w:rPr>
                <w:rFonts w:hint="eastAsia"/>
                <w:lang w:val="en-US" w:eastAsia="zh-CN"/>
              </w:rPr>
              <w:t>0.15</w:t>
            </w:r>
          </w:p>
        </w:tc>
        <w:tc>
          <w:tcPr>
            <w:tcW w:w="1035" w:type="pct"/>
            <w:vMerge w:val="restart"/>
            <w:vAlign w:val="center"/>
          </w:tcPr>
          <w:p>
            <w:pPr>
              <w:pStyle w:val="18"/>
              <w:bidi w:val="0"/>
            </w:pPr>
            <w:r>
              <w:rPr>
                <w:rFonts w:hint="default"/>
                <w:lang w:val="en-US" w:eastAsia="zh-CN"/>
              </w:rPr>
              <w:t>(GB3095-</w:t>
            </w:r>
            <w:r>
              <w:rPr>
                <w:rFonts w:hint="eastAsia"/>
                <w:lang w:val="en-US" w:eastAsia="zh-CN"/>
              </w:rPr>
              <w:t>2012</w:t>
            </w:r>
            <w:r>
              <w:rPr>
                <w:rFonts w:hint="default"/>
                <w:lang w:val="en-US" w:eastAsia="zh-CN"/>
              </w:rPr>
              <w:t>)</w:t>
            </w:r>
            <w:r>
              <w:rPr>
                <w:rFonts w:hint="eastAsia"/>
                <w:lang w:val="en-US" w:eastAsia="zh-CN"/>
              </w:rPr>
              <w:t>二级</w:t>
            </w:r>
          </w:p>
        </w:tc>
      </w:tr>
      <w:tr>
        <w:tblPrEx>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293" w:hRule="atLeast"/>
          <w:jc w:val="center"/>
        </w:trPr>
        <w:tc>
          <w:tcPr>
            <w:tcW w:w="1349" w:type="pct"/>
            <w:vMerge w:val="restart"/>
            <w:vAlign w:val="center"/>
          </w:tcPr>
          <w:p>
            <w:pPr>
              <w:pStyle w:val="18"/>
              <w:bidi w:val="0"/>
            </w:pPr>
            <w:r>
              <w:t>NO₂</w:t>
            </w:r>
          </w:p>
        </w:tc>
        <w:tc>
          <w:tcPr>
            <w:tcW w:w="1306" w:type="pct"/>
            <w:vAlign w:val="center"/>
          </w:tcPr>
          <w:p>
            <w:pPr>
              <w:pStyle w:val="18"/>
              <w:bidi w:val="0"/>
            </w:pPr>
            <w:r>
              <w:rPr>
                <w:rFonts w:hint="default"/>
                <w:lang w:val="en-US" w:eastAsia="zh-CN"/>
              </w:rPr>
              <w:t>24</w:t>
            </w:r>
            <w:r>
              <w:rPr>
                <w:rFonts w:hint="eastAsia"/>
                <w:lang w:val="en-US" w:eastAsia="zh-CN"/>
              </w:rPr>
              <w:t>小时平均</w:t>
            </w:r>
          </w:p>
        </w:tc>
        <w:tc>
          <w:tcPr>
            <w:tcW w:w="1308" w:type="pct"/>
            <w:vAlign w:val="center"/>
          </w:tcPr>
          <w:p>
            <w:pPr>
              <w:pStyle w:val="18"/>
              <w:bidi w:val="0"/>
              <w:rPr>
                <w:rFonts w:hint="default"/>
                <w:lang w:val="en-US" w:eastAsia="zh-CN"/>
              </w:rPr>
            </w:pPr>
            <w:r>
              <w:rPr>
                <w:rFonts w:hint="eastAsia"/>
                <w:lang w:val="en-US" w:eastAsia="zh-CN"/>
              </w:rPr>
              <w:t>0.08</w:t>
            </w:r>
          </w:p>
        </w:tc>
        <w:tc>
          <w:tcPr>
            <w:tcW w:w="1035" w:type="pct"/>
            <w:vMerge w:val="continue"/>
            <w:vAlign w:val="center"/>
          </w:tcPr>
          <w:p>
            <w:pPr>
              <w:pStyle w:val="18"/>
              <w:bidi w:val="0"/>
            </w:pPr>
          </w:p>
        </w:tc>
      </w:tr>
      <w:tr>
        <w:tblPrEx>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293" w:hRule="atLeast"/>
          <w:jc w:val="center"/>
        </w:trPr>
        <w:tc>
          <w:tcPr>
            <w:tcW w:w="1349" w:type="pct"/>
            <w:vMerge w:val="continue"/>
            <w:vAlign w:val="center"/>
          </w:tcPr>
          <w:p>
            <w:pPr>
              <w:pStyle w:val="18"/>
              <w:bidi w:val="0"/>
            </w:pPr>
          </w:p>
        </w:tc>
        <w:tc>
          <w:tcPr>
            <w:tcW w:w="1306" w:type="pct"/>
            <w:vAlign w:val="center"/>
          </w:tcPr>
          <w:p>
            <w:pPr>
              <w:pStyle w:val="18"/>
              <w:bidi w:val="0"/>
              <w:rPr>
                <w:rFonts w:hint="default"/>
                <w:lang w:val="en-US" w:eastAsia="zh-CN"/>
              </w:rPr>
            </w:pPr>
            <w:r>
              <w:rPr>
                <w:rFonts w:hint="eastAsia"/>
                <w:lang w:val="en-US" w:eastAsia="zh-CN"/>
              </w:rPr>
              <w:t>1小时平均</w:t>
            </w:r>
          </w:p>
        </w:tc>
        <w:tc>
          <w:tcPr>
            <w:tcW w:w="1308" w:type="pct"/>
            <w:vAlign w:val="center"/>
          </w:tcPr>
          <w:p>
            <w:pPr>
              <w:pStyle w:val="18"/>
              <w:bidi w:val="0"/>
              <w:rPr>
                <w:rFonts w:hint="default"/>
                <w:lang w:val="en-US" w:eastAsia="zh-CN"/>
              </w:rPr>
            </w:pPr>
            <w:r>
              <w:rPr>
                <w:rFonts w:hint="eastAsia"/>
                <w:lang w:val="en-US" w:eastAsia="zh-CN"/>
              </w:rPr>
              <w:t>0.2</w:t>
            </w:r>
          </w:p>
        </w:tc>
        <w:tc>
          <w:tcPr>
            <w:tcW w:w="1035" w:type="pct"/>
            <w:vMerge w:val="continue"/>
            <w:vAlign w:val="center"/>
          </w:tcPr>
          <w:p>
            <w:pPr>
              <w:pStyle w:val="18"/>
              <w:bidi w:val="0"/>
              <w:rPr>
                <w:rFonts w:hint="default"/>
                <w:lang w:val="en-US" w:eastAsia="zh-CN"/>
              </w:rPr>
            </w:pPr>
          </w:p>
        </w:tc>
      </w:tr>
      <w:tr>
        <w:tblPrEx>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312" w:hRule="atLeast"/>
          <w:jc w:val="center"/>
        </w:trPr>
        <w:tc>
          <w:tcPr>
            <w:tcW w:w="1349" w:type="pct"/>
            <w:vMerge w:val="restart"/>
            <w:vAlign w:val="center"/>
          </w:tcPr>
          <w:p>
            <w:pPr>
              <w:pStyle w:val="18"/>
              <w:bidi w:val="0"/>
            </w:pPr>
            <w:r>
              <w:t>SO₂</w:t>
            </w:r>
          </w:p>
        </w:tc>
        <w:tc>
          <w:tcPr>
            <w:tcW w:w="1306" w:type="pct"/>
            <w:tcBorders>
              <w:bottom w:val="single" w:color="000000" w:sz="10" w:space="0"/>
            </w:tcBorders>
            <w:vAlign w:val="center"/>
          </w:tcPr>
          <w:p>
            <w:pPr>
              <w:pStyle w:val="18"/>
              <w:bidi w:val="0"/>
            </w:pPr>
            <w:r>
              <w:rPr>
                <w:rFonts w:hint="default"/>
                <w:lang w:val="en-US" w:eastAsia="zh-CN"/>
              </w:rPr>
              <w:t>24</w:t>
            </w:r>
            <w:r>
              <w:rPr>
                <w:rFonts w:hint="eastAsia"/>
                <w:lang w:val="en-US" w:eastAsia="zh-CN"/>
              </w:rPr>
              <w:t>小时平均</w:t>
            </w:r>
          </w:p>
        </w:tc>
        <w:tc>
          <w:tcPr>
            <w:tcW w:w="1308" w:type="pct"/>
            <w:tcBorders>
              <w:bottom w:val="single" w:color="000000" w:sz="10" w:space="0"/>
            </w:tcBorders>
            <w:vAlign w:val="center"/>
          </w:tcPr>
          <w:p>
            <w:pPr>
              <w:pStyle w:val="18"/>
              <w:bidi w:val="0"/>
              <w:rPr>
                <w:rFonts w:hint="default"/>
                <w:lang w:val="en-US" w:eastAsia="zh-CN"/>
              </w:rPr>
            </w:pPr>
            <w:r>
              <w:rPr>
                <w:rFonts w:hint="eastAsia"/>
                <w:lang w:val="en-US" w:eastAsia="zh-CN"/>
              </w:rPr>
              <w:t>0.15</w:t>
            </w:r>
          </w:p>
        </w:tc>
        <w:tc>
          <w:tcPr>
            <w:tcW w:w="1035" w:type="pct"/>
            <w:vMerge w:val="continue"/>
            <w:vAlign w:val="center"/>
          </w:tcPr>
          <w:p>
            <w:pPr>
              <w:pStyle w:val="18"/>
              <w:bidi w:val="0"/>
            </w:pPr>
          </w:p>
        </w:tc>
      </w:tr>
      <w:tr>
        <w:tblPrEx>
          <w:tblBorders>
            <w:top w:val="single" w:color="000000" w:sz="2" w:space="0"/>
            <w:left w:val="single" w:color="auto" w:sz="4" w:space="0"/>
            <w:bottom w:val="single" w:color="000000" w:sz="2"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312" w:hRule="atLeast"/>
          <w:jc w:val="center"/>
        </w:trPr>
        <w:tc>
          <w:tcPr>
            <w:tcW w:w="1349" w:type="pct"/>
            <w:vMerge w:val="continue"/>
            <w:tcBorders>
              <w:bottom w:val="single" w:color="000000" w:sz="10" w:space="0"/>
            </w:tcBorders>
            <w:vAlign w:val="center"/>
          </w:tcPr>
          <w:p>
            <w:pPr>
              <w:pStyle w:val="18"/>
              <w:bidi w:val="0"/>
            </w:pPr>
          </w:p>
        </w:tc>
        <w:tc>
          <w:tcPr>
            <w:tcW w:w="1306" w:type="pct"/>
            <w:tcBorders>
              <w:bottom w:val="single" w:color="000000" w:sz="10" w:space="0"/>
            </w:tcBorders>
            <w:vAlign w:val="center"/>
          </w:tcPr>
          <w:p>
            <w:pPr>
              <w:pStyle w:val="18"/>
              <w:bidi w:val="0"/>
            </w:pPr>
            <w:r>
              <w:rPr>
                <w:rFonts w:hint="eastAsia"/>
                <w:lang w:val="en-US" w:eastAsia="zh-CN"/>
              </w:rPr>
              <w:t>1小时平均</w:t>
            </w:r>
          </w:p>
        </w:tc>
        <w:tc>
          <w:tcPr>
            <w:tcW w:w="1308" w:type="pct"/>
            <w:tcBorders>
              <w:bottom w:val="single" w:color="000000" w:sz="10" w:space="0"/>
            </w:tcBorders>
            <w:vAlign w:val="center"/>
          </w:tcPr>
          <w:p>
            <w:pPr>
              <w:pStyle w:val="18"/>
              <w:bidi w:val="0"/>
              <w:rPr>
                <w:rFonts w:hint="default"/>
                <w:lang w:val="en-US" w:eastAsia="zh-CN"/>
              </w:rPr>
            </w:pPr>
            <w:r>
              <w:rPr>
                <w:rFonts w:hint="eastAsia"/>
                <w:lang w:val="en-US" w:eastAsia="zh-CN"/>
              </w:rPr>
              <w:t>0.5</w:t>
            </w:r>
          </w:p>
        </w:tc>
        <w:tc>
          <w:tcPr>
            <w:tcW w:w="1035" w:type="pct"/>
            <w:vMerge w:val="continue"/>
            <w:tcBorders>
              <w:bottom w:val="single" w:color="000000" w:sz="10" w:space="0"/>
            </w:tcBorders>
            <w:vAlign w:val="center"/>
          </w:tcPr>
          <w:p>
            <w:pPr>
              <w:pStyle w:val="18"/>
              <w:bidi w:val="0"/>
            </w:pPr>
          </w:p>
        </w:tc>
      </w:tr>
    </w:tbl>
    <w:p>
      <w:pPr>
        <w:numPr>
          <w:ilvl w:val="0"/>
          <w:numId w:val="1"/>
        </w:numPr>
        <w:bidi w:val="0"/>
        <w:ind w:left="0" w:leftChars="0" w:firstLine="480" w:firstLineChars="200"/>
        <w:outlineLvl w:val="2"/>
        <w:rPr>
          <w:rFonts w:hint="eastAsia"/>
          <w:lang w:val="en-US" w:eastAsia="zh-CN"/>
        </w:rPr>
      </w:pPr>
      <w:bookmarkStart w:id="16" w:name="_Toc7046"/>
      <w:r>
        <w:rPr>
          <w:rFonts w:hint="eastAsia"/>
          <w:lang w:val="en-US" w:eastAsia="zh-CN"/>
        </w:rPr>
        <w:t>声环境</w:t>
      </w:r>
      <w:bookmarkEnd w:id="16"/>
    </w:p>
    <w:p>
      <w:pPr>
        <w:bidi w:val="0"/>
        <w:rPr>
          <w:rFonts w:hint="default"/>
          <w:lang w:val="en-US" w:eastAsia="zh-CN"/>
        </w:rPr>
      </w:pPr>
      <w:r>
        <w:t>根据《声环境功能区划分技术规范》(GB/T15190-2014)</w:t>
      </w:r>
      <w:r>
        <w:rPr>
          <w:rFonts w:hint="eastAsia"/>
          <w:lang w:eastAsia="zh-CN"/>
        </w:rPr>
        <w:t>，</w:t>
      </w:r>
      <w:r>
        <w:t>工程建成后，临街建筑以高于三层楼房以上(含三层)的建筑为主，将第一排建筑物面向道路一侧的区域划为4a类标准适用区域；临街建筑以低于三层楼房建筑(含开阔地)为主，道路边界线外30m内执行《声环境质量标准》(GB3096-2008)中的4a类标准；30m外执行3类标准。</w:t>
      </w:r>
    </w:p>
    <w:p>
      <w:pPr>
        <w:pStyle w:val="5"/>
        <w:bidi w:val="0"/>
        <w:outlineLvl w:val="0"/>
      </w:pPr>
      <w:bookmarkStart w:id="17" w:name="_Toc26332"/>
      <w:r>
        <w:t>1.4环境保护目标</w:t>
      </w:r>
      <w:bookmarkEnd w:id="17"/>
    </w:p>
    <w:p>
      <w:pPr>
        <w:pStyle w:val="6"/>
        <w:bidi w:val="0"/>
        <w:outlineLvl w:val="1"/>
      </w:pPr>
      <w:bookmarkStart w:id="18" w:name="_Toc27453"/>
      <w:r>
        <w:t>1.4.</w:t>
      </w:r>
      <w:r>
        <w:rPr>
          <w:rFonts w:hint="eastAsia"/>
          <w:lang w:val="en-US" w:eastAsia="zh-CN"/>
        </w:rPr>
        <w:t>1</w:t>
      </w:r>
      <w:r>
        <w:t>环境</w:t>
      </w:r>
      <w:r>
        <w:rPr>
          <w:rFonts w:hint="eastAsia"/>
          <w:lang w:val="en-US" w:eastAsia="zh-CN"/>
        </w:rPr>
        <w:t>空气及声环境</w:t>
      </w:r>
      <w:r>
        <w:t>保护目标</w:t>
      </w:r>
      <w:bookmarkEnd w:id="18"/>
    </w:p>
    <w:p>
      <w:pPr>
        <w:bidi w:val="0"/>
      </w:pPr>
      <w:r>
        <w:rPr>
          <w:rFonts w:hint="eastAsia"/>
          <w:lang w:val="en-US" w:eastAsia="zh-CN"/>
        </w:rPr>
        <w:t>①</w:t>
      </w:r>
      <w:r>
        <w:t>生态环境保护目标</w:t>
      </w:r>
    </w:p>
    <w:p>
      <w:pPr>
        <w:bidi w:val="0"/>
      </w:pPr>
      <w:r>
        <w:t>本工程沿线无国家重点保护野生动物和野生植物等，本工程生态保护目标为改扩建道路两侧分布的榆树、杨树、果树等。</w:t>
      </w:r>
    </w:p>
    <w:p>
      <w:pPr>
        <w:bidi w:val="0"/>
      </w:pPr>
      <w:r>
        <w:rPr>
          <w:rFonts w:hint="eastAsia"/>
          <w:lang w:val="en-US" w:eastAsia="zh-CN"/>
        </w:rPr>
        <w:t>②</w:t>
      </w:r>
      <w:r>
        <w:t>水环境保护目标</w:t>
      </w:r>
    </w:p>
    <w:p>
      <w:pPr>
        <w:bidi w:val="0"/>
      </w:pPr>
      <w:r>
        <w:t>本工程</w:t>
      </w:r>
      <w:r>
        <w:rPr>
          <w:rFonts w:hint="eastAsia"/>
          <w:lang w:val="en-US" w:eastAsia="zh-CN"/>
        </w:rPr>
        <w:t>途经</w:t>
      </w:r>
      <w:r>
        <w:t>区域无地表水穿越。</w:t>
      </w:r>
    </w:p>
    <w:p>
      <w:pPr>
        <w:bidi w:val="0"/>
        <w:outlineLvl w:val="2"/>
      </w:pPr>
      <w:bookmarkStart w:id="19" w:name="_Toc8411"/>
      <w:r>
        <w:t>(2)污染控制目标</w:t>
      </w:r>
      <w:bookmarkEnd w:id="19"/>
    </w:p>
    <w:p>
      <w:pPr>
        <w:bidi w:val="0"/>
      </w:pPr>
      <w:r>
        <w:t>为确保工程区周围生态环境、空气质量及声环境等不因本工程的建设而受到不利影响，本评价确定以下污染控制目标：控制施工占地范围，降低由于施工而造成的植被破坏及水土流失，控制施工期的废气、噪声、废水的产生和排放；控制工程建设后，评价区域内的环境质量不因本工程的建设而下降。具体为：</w:t>
      </w:r>
    </w:p>
    <w:p>
      <w:pPr>
        <w:bidi w:val="0"/>
      </w:pPr>
      <w:r>
        <w:t>①环境空气</w:t>
      </w:r>
    </w:p>
    <w:p>
      <w:pPr>
        <w:bidi w:val="0"/>
      </w:pPr>
      <w:r>
        <w:t>确保施工期原料装卸、运输、土方填挖产生的扬尘得到有效控制，保护工程所在地环境空气质量不受影响。</w:t>
      </w:r>
    </w:p>
    <w:p>
      <w:pPr>
        <w:bidi w:val="0"/>
      </w:pPr>
      <w:r>
        <w:t>②声环境</w:t>
      </w:r>
    </w:p>
    <w:p>
      <w:pPr>
        <w:bidi w:val="0"/>
      </w:pPr>
      <w:r>
        <w:t>控制施工期和运营期产生的噪声对所在地声环境的影响，使区域内的声环境满足3类区标准要求。</w:t>
      </w:r>
    </w:p>
    <w:p>
      <w:pPr>
        <w:bidi w:val="0"/>
      </w:pPr>
      <w:r>
        <w:t>③水环境</w:t>
      </w:r>
    </w:p>
    <w:p>
      <w:pPr>
        <w:bidi w:val="0"/>
      </w:pPr>
      <w:r>
        <w:t>确保施工期生产废水和生活污水排放不对工程区域地下水产生影响。</w:t>
      </w:r>
    </w:p>
    <w:p>
      <w:pPr>
        <w:bidi w:val="0"/>
      </w:pPr>
      <w:r>
        <w:t>④生态环境</w:t>
      </w:r>
    </w:p>
    <w:p>
      <w:pPr>
        <w:bidi w:val="0"/>
      </w:pPr>
      <w:r>
        <w:t>保护建设工程评价范围内的自然生态环境质量不受明显影响，对道路现有树优先采取保留或异地栽植，防止对周围土壤和现有土质结构产生破坏性影响，保持和保护工程所在区域周围生态环境状况。</w:t>
      </w:r>
    </w:p>
    <w:p>
      <w:pPr>
        <w:pStyle w:val="5"/>
        <w:bidi w:val="0"/>
        <w:outlineLvl w:val="0"/>
      </w:pPr>
      <w:bookmarkStart w:id="20" w:name="_Toc5612"/>
      <w:r>
        <w:t>1.5调查重点</w:t>
      </w:r>
      <w:bookmarkEnd w:id="20"/>
    </w:p>
    <w:p>
      <w:pPr>
        <w:bidi w:val="0"/>
        <w:rPr>
          <w:lang w:val="en-US" w:eastAsia="en-US"/>
        </w:rPr>
      </w:pPr>
      <w:r>
        <w:rPr>
          <w:lang w:val="en-US" w:eastAsia="en-US"/>
        </w:rPr>
        <w:t>根据对工程路段现场踏勘调查、工程特点和周围环境特征，确定本工程评价的重点是声环境、大气环境影响评价，建设期的污染防治对策、水土保持措施，同时兼顾水环境影响、社会经济影响评价。主要工作内容如下：</w:t>
      </w:r>
    </w:p>
    <w:p>
      <w:pPr>
        <w:bidi w:val="0"/>
        <w:rPr>
          <w:lang w:val="en-US" w:eastAsia="en-US"/>
        </w:rPr>
      </w:pPr>
      <w:r>
        <w:rPr>
          <w:lang w:val="en-US" w:eastAsia="en-US"/>
        </w:rPr>
        <w:t>(1)声环境影响评价以评价道路工程两侧声环境质量达标情况为主，重点评价运营期公路交通噪声在预测年份对沿线重要敏感点的影响，包括预测影响范围、程度，绘制等声值线图，要求采取的环境保护措施等。</w:t>
      </w:r>
    </w:p>
    <w:p>
      <w:pPr>
        <w:bidi w:val="0"/>
        <w:rPr>
          <w:lang w:val="en-US" w:eastAsia="en-US"/>
        </w:rPr>
      </w:pPr>
      <w:r>
        <w:rPr>
          <w:lang w:val="en-US" w:eastAsia="en-US"/>
        </w:rPr>
        <w:t>(2)大气环境重点评价工程建成运营后，预测道路行驶车辆排放的汽车尾气对两侧环境敏感目标的影响程度、范围。</w:t>
      </w:r>
    </w:p>
    <w:p>
      <w:pPr>
        <w:bidi w:val="0"/>
        <w:rPr>
          <w:lang w:val="en-US" w:eastAsia="en-US"/>
        </w:rPr>
      </w:pPr>
      <w:r>
        <w:rPr>
          <w:lang w:val="en-US" w:eastAsia="en-US"/>
        </w:rPr>
        <w:t>(3)生态环境评价重点是调查工程占地面积、占地类型、植被损失及水土流失和保护情况，对损失植被进行恢复或补偿。</w:t>
      </w:r>
    </w:p>
    <w:p>
      <w:pPr>
        <w:bidi w:val="0"/>
        <w:rPr>
          <w:rFonts w:hint="eastAsia"/>
          <w:lang w:val="en-US" w:eastAsia="zh-CN"/>
        </w:rPr>
      </w:pPr>
      <w:r>
        <w:rPr>
          <w:lang w:val="en-US" w:eastAsia="en-US"/>
        </w:rPr>
        <w:t>(4)社会经济影响重点评价施工期间的交通组织、以及工程社会经济效益分析，包括对区域社会经济的促进作用、城市绿化和景观的改善以及配套管网的完</w:t>
      </w:r>
      <w:r>
        <w:rPr>
          <w:rFonts w:hint="eastAsia"/>
          <w:lang w:val="en-US" w:eastAsia="zh-CN"/>
        </w:rPr>
        <w:t>善等。</w:t>
      </w:r>
    </w:p>
    <w:p>
      <w:pPr>
        <w:bidi w:val="0"/>
        <w:rPr>
          <w:lang w:val="en-US" w:eastAsia="en-US"/>
        </w:rPr>
      </w:pPr>
      <w:r>
        <w:rPr>
          <w:lang w:val="en-US" w:eastAsia="en-US"/>
        </w:rPr>
        <w:t>(5)施工期环境影响重点分析公路施工工艺和施工方法对施工期声环境、空气环境和生态环境的污染防治措施可行性的论证。</w:t>
      </w:r>
    </w:p>
    <w:p>
      <w:pPr>
        <w:bidi w:val="0"/>
        <w:rPr>
          <w:lang w:val="en-US" w:eastAsia="en-US"/>
        </w:rPr>
      </w:pPr>
      <w:r>
        <w:rPr>
          <w:lang w:val="en-US" w:eastAsia="en-US"/>
        </w:rPr>
        <w:t>(6)环境污染防治对策的目的是为使工程建设对环境造成的不利影响降低到最小程度，主要内容为声环境、环境空气、水环境、生态和社会环境影响的防治措施。</w:t>
      </w:r>
    </w:p>
    <w:p>
      <w:pPr>
        <w:pStyle w:val="5"/>
        <w:bidi w:val="0"/>
        <w:outlineLvl w:val="0"/>
      </w:pPr>
      <w:bookmarkStart w:id="21" w:name="_Toc6761"/>
      <w:r>
        <w:t>1.6验收工作流程</w:t>
      </w:r>
      <w:bookmarkEnd w:id="21"/>
    </w:p>
    <w:p>
      <w:pPr>
        <w:bidi w:val="0"/>
      </w:pPr>
      <w:r>
        <w:rPr>
          <w:rFonts w:hint="eastAsia"/>
          <w:lang w:val="en-US" w:eastAsia="zh-CN"/>
        </w:rPr>
        <w:t>开发区2017年基础设施建设项目配套道路及附属工程项目</w:t>
      </w:r>
      <w:r>
        <w:t>竣工环境保护验收调查工作程序见</w:t>
      </w:r>
      <w:r>
        <w:rPr>
          <w:rFonts w:hint="eastAsia"/>
          <w:lang w:val="en-US" w:eastAsia="zh-CN"/>
        </w:rPr>
        <w:t>下</w:t>
      </w:r>
      <w:r>
        <w:t>图。</w:t>
      </w:r>
    </w:p>
    <w:p>
      <w:pPr>
        <w:keepNext w:val="0"/>
        <w:keepLines w:val="0"/>
        <w:pageBreakBefore w:val="0"/>
        <w:widowControl/>
        <w:kinsoku/>
        <w:wordWrap/>
        <w:overflowPunct/>
        <w:topLinePunct w:val="0"/>
        <w:autoSpaceDE/>
        <w:autoSpaceDN/>
        <w:bidi w:val="0"/>
        <w:adjustRightInd/>
        <w:snapToGrid/>
        <w:spacing w:line="240" w:lineRule="auto"/>
        <w:ind w:firstLine="0" w:firstLineChars="0"/>
        <w:textAlignment w:val="baseline"/>
        <w:rPr>
          <w:rFonts w:hint="eastAsia"/>
          <w:lang w:val="en-US" w:eastAsia="zh-CN"/>
        </w:rPr>
      </w:pPr>
      <w:r>
        <w:rPr>
          <w:position w:val="-244"/>
        </w:rPr>
        <w:drawing>
          <wp:inline distT="0" distB="0" distL="0" distR="0">
            <wp:extent cx="5243195" cy="6577965"/>
            <wp:effectExtent l="0" t="0" r="14605" b="13335"/>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20"/>
                    <a:stretch>
                      <a:fillRect/>
                    </a:stretch>
                  </pic:blipFill>
                  <pic:spPr>
                    <a:xfrm>
                      <a:off x="0" y="0"/>
                      <a:ext cx="5243195" cy="6577965"/>
                    </a:xfrm>
                    <a:prstGeom prst="rect">
                      <a:avLst/>
                    </a:prstGeom>
                  </pic:spPr>
                </pic:pic>
              </a:graphicData>
            </a:graphic>
          </wp:inline>
        </w:drawing>
      </w:r>
    </w:p>
    <w:p>
      <w:pPr>
        <w:pStyle w:val="16"/>
        <w:bidi w:val="0"/>
      </w:pPr>
      <w:r>
        <w:t>图1-1  验收调查工作程序示意图</w:t>
      </w:r>
    </w:p>
    <w:p>
      <w:pPr>
        <w:bidi w:val="0"/>
        <w:rPr>
          <w:rFonts w:hint="default"/>
          <w:lang w:val="en-US" w:eastAsia="zh-CN"/>
        </w:rPr>
        <w:sectPr>
          <w:pgSz w:w="11906" w:h="16838"/>
          <w:pgMar w:top="1440" w:right="1800" w:bottom="1440" w:left="1800" w:header="992"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bidi w:val="0"/>
        <w:outlineLvl w:val="1"/>
      </w:pPr>
      <w:bookmarkStart w:id="22" w:name="_Toc12689"/>
      <w:r>
        <w:t>二 工程调查</w:t>
      </w:r>
      <w:bookmarkEnd w:id="22"/>
    </w:p>
    <w:p>
      <w:pPr>
        <w:pStyle w:val="5"/>
        <w:bidi w:val="0"/>
        <w:outlineLvl w:val="0"/>
      </w:pPr>
      <w:bookmarkStart w:id="23" w:name="_Toc20268"/>
      <w:r>
        <w:t>2.1项目设计与建设过程</w:t>
      </w:r>
      <w:bookmarkEnd w:id="23"/>
    </w:p>
    <w:p>
      <w:pPr>
        <w:pStyle w:val="6"/>
        <w:bidi w:val="0"/>
        <w:outlineLvl w:val="1"/>
      </w:pPr>
      <w:bookmarkStart w:id="24" w:name="_Toc6743"/>
      <w:r>
        <w:t>2.1.1项目工程设计过程</w:t>
      </w:r>
      <w:bookmarkEnd w:id="24"/>
    </w:p>
    <w:p>
      <w:pPr>
        <w:bidi w:val="0"/>
      </w:pPr>
      <w:r>
        <w:t>项目于201</w:t>
      </w:r>
      <w:r>
        <w:rPr>
          <w:rFonts w:hint="eastAsia"/>
          <w:lang w:val="en-US" w:eastAsia="zh-CN"/>
        </w:rPr>
        <w:t>7</w:t>
      </w:r>
      <w:r>
        <w:t>年</w:t>
      </w:r>
      <w:r>
        <w:rPr>
          <w:rFonts w:hint="eastAsia"/>
          <w:lang w:val="en-US" w:eastAsia="zh-CN"/>
        </w:rPr>
        <w:t>6</w:t>
      </w:r>
      <w:r>
        <w:t>月，</w:t>
      </w:r>
      <w:r>
        <w:rPr>
          <w:rFonts w:hint="eastAsia"/>
          <w:lang w:val="en-US" w:eastAsia="zh-CN"/>
        </w:rPr>
        <w:t>新疆润盛投资有限公司</w:t>
      </w:r>
      <w:r>
        <w:t>委托</w:t>
      </w:r>
      <w:r>
        <w:rPr>
          <w:rFonts w:hint="eastAsia"/>
          <w:lang w:val="en-US" w:eastAsia="zh-CN"/>
        </w:rPr>
        <w:t>新疆天合环境技术咨询有限公司</w:t>
      </w:r>
      <w:r>
        <w:t>《</w:t>
      </w:r>
      <w:r>
        <w:rPr>
          <w:rFonts w:hint="eastAsia"/>
        </w:rPr>
        <w:t>开发区2017年基础设施建设项目配套道路及附属工程环境影响报告书</w:t>
      </w:r>
      <w:r>
        <w:t>》，并于2017年</w:t>
      </w:r>
      <w:r>
        <w:rPr>
          <w:rFonts w:hint="eastAsia"/>
          <w:lang w:val="en-US" w:eastAsia="zh-CN"/>
        </w:rPr>
        <w:t>6</w:t>
      </w:r>
      <w:r>
        <w:t>月</w:t>
      </w:r>
      <w:r>
        <w:rPr>
          <w:rFonts w:hint="eastAsia"/>
          <w:lang w:val="en-US" w:eastAsia="zh-CN"/>
        </w:rPr>
        <w:t>30</w:t>
      </w:r>
      <w:r>
        <w:t>日，该项目通过</w:t>
      </w:r>
      <w:r>
        <w:rPr>
          <w:rFonts w:hint="eastAsia"/>
          <w:lang w:val="en-US" w:eastAsia="zh-CN"/>
        </w:rPr>
        <w:t>原奎屯-独山子经济技术开发区环境保护局</w:t>
      </w:r>
      <w:r>
        <w:t>的批复(文件号：</w:t>
      </w:r>
      <w:r>
        <w:rPr>
          <w:rFonts w:hint="eastAsia"/>
          <w:lang w:val="en-US" w:eastAsia="zh-CN"/>
        </w:rPr>
        <w:t>奎独开环函</w:t>
      </w:r>
      <w:r>
        <w:rPr>
          <w:rFonts w:hint="default"/>
        </w:rPr>
        <w:t>[</w:t>
      </w:r>
      <w:r>
        <w:rPr>
          <w:rFonts w:hint="default"/>
          <w:lang w:val="en-US" w:eastAsia="zh-CN"/>
        </w:rPr>
        <w:t>20</w:t>
      </w:r>
      <w:r>
        <w:rPr>
          <w:rFonts w:hint="eastAsia"/>
          <w:lang w:val="en-US" w:eastAsia="zh-CN"/>
        </w:rPr>
        <w:t>17</w:t>
      </w:r>
      <w:r>
        <w:rPr>
          <w:rFonts w:hint="default"/>
        </w:rPr>
        <w:t>]</w:t>
      </w:r>
      <w:r>
        <w:rPr>
          <w:rFonts w:hint="eastAsia"/>
          <w:lang w:val="en-US" w:eastAsia="zh-CN"/>
        </w:rPr>
        <w:t>14</w:t>
      </w:r>
      <w:r>
        <w:rPr>
          <w:rFonts w:hint="default"/>
        </w:rPr>
        <w:t>号</w:t>
      </w:r>
      <w:r>
        <w:t>)。</w:t>
      </w:r>
    </w:p>
    <w:p>
      <w:pPr>
        <w:bidi w:val="0"/>
      </w:pPr>
      <w:r>
        <w:t>经自查，项目运行正常。根据环境保护有关法律法规及建设项目竣工环境保护验收管理办法的有关规定，特委托</w:t>
      </w:r>
      <w:r>
        <w:rPr>
          <w:rFonts w:hint="eastAsia"/>
          <w:lang w:val="en-US" w:eastAsia="zh-CN"/>
        </w:rPr>
        <w:t>新农丽景环境咨询</w:t>
      </w:r>
      <w:r>
        <w:t>有限公司对项目进行竣工环境保护验收监测工作（委托书详见附件</w:t>
      </w:r>
      <w:r>
        <w:rPr>
          <w:rFonts w:hint="eastAsia"/>
          <w:lang w:val="en-US" w:eastAsia="zh-CN"/>
        </w:rPr>
        <w:t>1</w:t>
      </w:r>
      <w:r>
        <w:t>）。</w:t>
      </w:r>
    </w:p>
    <w:p>
      <w:pPr>
        <w:pStyle w:val="6"/>
        <w:bidi w:val="0"/>
        <w:outlineLvl w:val="1"/>
      </w:pPr>
      <w:bookmarkStart w:id="25" w:name="_Toc9555"/>
      <w:r>
        <w:t>2.1.2工程建设过程</w:t>
      </w:r>
      <w:bookmarkEnd w:id="25"/>
    </w:p>
    <w:p>
      <w:pPr>
        <w:bidi w:val="0"/>
      </w:pPr>
      <w:r>
        <w:t>本工程新建道路3条、改建道路3条，具体内容如下：</w:t>
      </w:r>
    </w:p>
    <w:p>
      <w:pPr>
        <w:bidi w:val="0"/>
      </w:pPr>
      <w:r>
        <w:t>①新建阿克苏路东延道路工程，道路等级为城市次干路，道路起点与部善街相交，终点接长江路，道路全长7225.06m</w:t>
      </w:r>
      <w:r>
        <w:rPr>
          <w:rFonts w:hint="eastAsia"/>
          <w:lang w:eastAsia="zh-CN"/>
        </w:rPr>
        <w:t>，</w:t>
      </w:r>
      <w:r>
        <w:t>其中阿克苏路(部善街—哈密街)规划红线宽度52m</w:t>
      </w:r>
      <w:r>
        <w:rPr>
          <w:rFonts w:hint="eastAsia"/>
          <w:lang w:eastAsia="zh-CN"/>
        </w:rPr>
        <w:t>，</w:t>
      </w:r>
      <w:r>
        <w:t>阿克苏路(哈密街—长江路)规划红线宽度80m,配套建设道路绿化及道路排水等附属工程；</w:t>
      </w:r>
    </w:p>
    <w:p>
      <w:pPr>
        <w:bidi w:val="0"/>
      </w:pPr>
      <w:r>
        <w:t>②新建南环路东延道路工程，道路等级为园区主干路，道路起点为黄河路，终点为长江路，道路全长3127.66m</w:t>
      </w:r>
      <w:r>
        <w:rPr>
          <w:rFonts w:hint="eastAsia"/>
          <w:lang w:eastAsia="zh-CN"/>
        </w:rPr>
        <w:t>，</w:t>
      </w:r>
      <w:r>
        <w:t>规划红线宽度为50m</w:t>
      </w:r>
      <w:r>
        <w:rPr>
          <w:rFonts w:hint="eastAsia"/>
          <w:lang w:eastAsia="zh-CN"/>
        </w:rPr>
        <w:t>，</w:t>
      </w:r>
      <w:r>
        <w:t>配套建设道路绿化工程；</w:t>
      </w:r>
    </w:p>
    <w:p>
      <w:pPr>
        <w:bidi w:val="0"/>
      </w:pPr>
      <w:r>
        <w:t>③新建淮河路道路工程，道路等级为城市次干路，道路起点为217国道，终点为福盛路交汇点，道路全长1248.78m</w:t>
      </w:r>
      <w:r>
        <w:rPr>
          <w:rFonts w:hint="eastAsia"/>
          <w:lang w:eastAsia="zh-CN"/>
        </w:rPr>
        <w:t>，</w:t>
      </w:r>
      <w:r>
        <w:t>规划红线宽度19m</w:t>
      </w:r>
      <w:r>
        <w:rPr>
          <w:rFonts w:hint="eastAsia"/>
          <w:lang w:eastAsia="zh-CN"/>
        </w:rPr>
        <w:t>，</w:t>
      </w:r>
      <w:r>
        <w:t>配套建设道路绿化及道路排水等附属工程；</w:t>
      </w:r>
    </w:p>
    <w:p>
      <w:pPr>
        <w:bidi w:val="0"/>
      </w:pPr>
      <w:r>
        <w:t>④改造东外环路道路，道路等级为城市主干路，改造工程对现道路全线进行拆除新建，道路起点为东外环路与贵阳路交叉路口，终点为与S115线交叉路口，道路全长2720.509m</w:t>
      </w:r>
      <w:r>
        <w:rPr>
          <w:rFonts w:hint="eastAsia"/>
          <w:lang w:eastAsia="zh-CN"/>
        </w:rPr>
        <w:t>，</w:t>
      </w:r>
      <w:r>
        <w:t>规划红线宽度100m</w:t>
      </w:r>
      <w:r>
        <w:rPr>
          <w:rFonts w:hint="eastAsia"/>
          <w:lang w:eastAsia="zh-CN"/>
        </w:rPr>
        <w:t>，</w:t>
      </w:r>
      <w:r>
        <w:t>配套建设道路绿化、亮化工程；</w:t>
      </w:r>
    </w:p>
    <w:p>
      <w:pPr>
        <w:bidi w:val="0"/>
      </w:pPr>
      <w:r>
        <w:t>⑤对米泉街道路进</w:t>
      </w:r>
      <w:r>
        <w:rPr>
          <w:rFonts w:hint="eastAsia" w:ascii="宋体" w:hAnsi="宋体" w:eastAsia="宋体" w:cs="宋体"/>
        </w:rPr>
        <w:t>行“白改黑”及</w:t>
      </w:r>
      <w:r>
        <w:t>延伸改造，道路等级为城市次干路，道路 起点为南环路南侧拟建厂区，道路终点为阿克苏路与呼图壁街交汇点，道路全长1499.722m</w:t>
      </w:r>
      <w:r>
        <w:rPr>
          <w:rFonts w:hint="eastAsia"/>
          <w:lang w:eastAsia="zh-CN"/>
        </w:rPr>
        <w:t>，</w:t>
      </w:r>
      <w:r>
        <w:t>规划红线宽度为40m</w:t>
      </w:r>
      <w:r>
        <w:rPr>
          <w:rFonts w:hint="eastAsia"/>
          <w:lang w:eastAsia="zh-CN"/>
        </w:rPr>
        <w:t>，</w:t>
      </w:r>
      <w:r>
        <w:t>配套建设道路绿化、亮化工程；</w:t>
      </w:r>
    </w:p>
    <w:p>
      <w:pPr>
        <w:bidi w:val="0"/>
      </w:pPr>
      <w:r>
        <w:t>⑥对吐鲁番街道路进</w:t>
      </w:r>
      <w:r>
        <w:rPr>
          <w:rFonts w:hint="eastAsia" w:ascii="宋体" w:hAnsi="宋体" w:eastAsia="宋体" w:cs="宋体"/>
        </w:rPr>
        <w:t>行“白改黑”改</w:t>
      </w:r>
      <w:r>
        <w:t>造，道路等级为城市次干路，道路起点为南环路与吐鲁番街交汇点，终点为库尔勒路与吐鲁番街交汇点，道路全长1572.724m</w:t>
      </w:r>
      <w:r>
        <w:rPr>
          <w:rFonts w:hint="eastAsia"/>
          <w:lang w:eastAsia="zh-CN"/>
        </w:rPr>
        <w:t>，</w:t>
      </w:r>
      <w:r>
        <w:t>红线宽度为40m</w:t>
      </w:r>
      <w:r>
        <w:rPr>
          <w:rFonts w:hint="eastAsia"/>
          <w:lang w:eastAsia="zh-CN"/>
        </w:rPr>
        <w:t>，</w:t>
      </w:r>
      <w:r>
        <w:t>配套建设道路绿化、亮化工程；</w:t>
      </w:r>
    </w:p>
    <w:p>
      <w:pPr>
        <w:bidi w:val="0"/>
      </w:pPr>
      <w:r>
        <w:t>⑦北一区及南区道路交通标志及标牌标线工程。</w:t>
      </w:r>
    </w:p>
    <w:p>
      <w:pPr>
        <w:bidi w:val="0"/>
      </w:pPr>
      <w:r>
        <w:t>本工程各条道路施工图于2017年3月前由新疆建筑设计研究院、石河子建筑规划设计研究院(有限公司)、新疆北疆建筑规划设计研究院(有限责任公司)完成。本工程计划于201</w:t>
      </w:r>
      <w:r>
        <w:rPr>
          <w:rFonts w:hint="eastAsia"/>
          <w:lang w:val="en-US" w:eastAsia="zh-CN"/>
        </w:rPr>
        <w:t>8</w:t>
      </w:r>
      <w:r>
        <w:t>年6月开工，</w:t>
      </w:r>
      <w:r>
        <w:rPr>
          <w:rFonts w:hint="eastAsia"/>
          <w:lang w:val="en-US" w:eastAsia="zh-CN"/>
        </w:rPr>
        <w:t>2023</w:t>
      </w:r>
      <w:r>
        <w:t>年</w:t>
      </w:r>
      <w:r>
        <w:rPr>
          <w:rFonts w:hint="eastAsia"/>
          <w:lang w:val="en-US" w:eastAsia="zh-CN"/>
        </w:rPr>
        <w:t>9</w:t>
      </w:r>
      <w:r>
        <w:t>月完工。</w:t>
      </w:r>
    </w:p>
    <w:p>
      <w:pPr>
        <w:bidi w:val="0"/>
      </w:pPr>
      <w:r>
        <w:t>详细的工程研究及建设进度如下：201</w:t>
      </w:r>
      <w:r>
        <w:rPr>
          <w:rFonts w:hint="eastAsia"/>
          <w:lang w:val="en-US" w:eastAsia="zh-CN"/>
        </w:rPr>
        <w:t>8</w:t>
      </w:r>
      <w:r>
        <w:t>.06本工程土建主体工程开工建设</w:t>
      </w:r>
      <w:r>
        <w:rPr>
          <w:rFonts w:hint="eastAsia"/>
          <w:lang w:eastAsia="zh-CN"/>
        </w:rPr>
        <w:t>；</w:t>
      </w:r>
      <w:r>
        <w:t>201</w:t>
      </w:r>
      <w:r>
        <w:rPr>
          <w:rFonts w:hint="eastAsia"/>
          <w:lang w:val="en-US" w:eastAsia="zh-CN"/>
        </w:rPr>
        <w:t>9</w:t>
      </w:r>
      <w:r>
        <w:t>.08本工程北一区道路通车试运行；20</w:t>
      </w:r>
      <w:r>
        <w:rPr>
          <w:rFonts w:hint="eastAsia"/>
          <w:lang w:val="en-US" w:eastAsia="zh-CN"/>
        </w:rPr>
        <w:t>20</w:t>
      </w:r>
      <w:r>
        <w:t>.09本工程物流园区道路通车试运行；本工程计划于20</w:t>
      </w:r>
      <w:r>
        <w:rPr>
          <w:rFonts w:hint="eastAsia"/>
          <w:lang w:val="en-US" w:eastAsia="zh-CN"/>
        </w:rPr>
        <w:t>23</w:t>
      </w:r>
      <w:r>
        <w:t>年年底建成投产。</w:t>
      </w:r>
    </w:p>
    <w:p>
      <w:pPr>
        <w:pStyle w:val="5"/>
        <w:bidi w:val="0"/>
        <w:outlineLvl w:val="0"/>
      </w:pPr>
      <w:bookmarkStart w:id="26" w:name="_Toc30101"/>
      <w:r>
        <w:t>2.2工程概况</w:t>
      </w:r>
      <w:bookmarkEnd w:id="26"/>
    </w:p>
    <w:p>
      <w:pPr>
        <w:pStyle w:val="6"/>
        <w:bidi w:val="0"/>
        <w:outlineLvl w:val="1"/>
      </w:pPr>
      <w:bookmarkStart w:id="27" w:name="_Toc19740"/>
      <w:r>
        <w:t>2.2.1地理位置</w:t>
      </w:r>
      <w:bookmarkEnd w:id="27"/>
    </w:p>
    <w:p>
      <w:pPr>
        <w:bidi w:val="0"/>
        <w:rPr>
          <w:rFonts w:ascii="宋体" w:hAnsi="宋体" w:eastAsia="宋体" w:cs="宋体"/>
          <w:sz w:val="24"/>
          <w:szCs w:val="24"/>
        </w:rPr>
      </w:pPr>
      <w:r>
        <w:t>本工程位于奎屯—独山子经济技术开发区内，本工程道路工程共涉及六条道路，各条道路位置分述如下：(1)阿克苏路东延起点与部善街相交，终点接长江路，道路全长7225.06m</w:t>
      </w:r>
      <w:r>
        <w:rPr>
          <w:rFonts w:hint="eastAsia"/>
          <w:lang w:eastAsia="zh-CN"/>
        </w:rPr>
        <w:t>，</w:t>
      </w:r>
      <w:r>
        <w:t>道路起点坐标N44°24'46</w:t>
      </w:r>
      <w:r>
        <w:rPr>
          <w:rFonts w:hint="default" w:ascii="Times New Roman" w:hAnsi="Times New Roman" w:cs="Times New Roman"/>
        </w:rPr>
        <w:t>.5</w:t>
      </w:r>
      <w:r>
        <w:rPr>
          <w:rFonts w:hint="default" w:ascii="Times New Roman" w:hAnsi="Times New Roman" w:cs="Times New Roman"/>
          <w:lang w:val="en-US" w:eastAsia="zh-CN"/>
        </w:rPr>
        <w:t>″</w:t>
      </w:r>
      <w:r>
        <w:rPr>
          <w:rFonts w:hint="eastAsia"/>
          <w:lang w:eastAsia="zh-CN"/>
        </w:rPr>
        <w:t>，</w:t>
      </w:r>
      <w:r>
        <w:t>E84°57'12.4</w:t>
      </w:r>
      <w:r>
        <w:rPr>
          <w:rFonts w:hint="default" w:ascii="Times New Roman" w:hAnsi="Times New Roman" w:cs="Times New Roman"/>
          <w:lang w:val="en-US" w:eastAsia="zh-CN"/>
        </w:rPr>
        <w:t>″</w:t>
      </w:r>
      <w:r>
        <w:rPr>
          <w:rFonts w:hint="eastAsia"/>
          <w:lang w:eastAsia="zh-CN"/>
        </w:rPr>
        <w:t>，</w:t>
      </w:r>
      <w:r>
        <w:t>终点坐标N44°24'25.7</w:t>
      </w:r>
      <w:r>
        <w:rPr>
          <w:rFonts w:hint="default" w:ascii="Times New Roman" w:hAnsi="Times New Roman" w:cs="Times New Roman"/>
          <w:lang w:val="en-US" w:eastAsia="zh-CN"/>
        </w:rPr>
        <w:t>″</w:t>
      </w:r>
      <w:r>
        <w:rPr>
          <w:rFonts w:hint="eastAsia"/>
          <w:lang w:eastAsia="zh-CN"/>
        </w:rPr>
        <w:t>，</w:t>
      </w:r>
      <w:r>
        <w:t>E85°02'38.8</w:t>
      </w:r>
      <w:r>
        <w:rPr>
          <w:rFonts w:hint="default" w:ascii="Times New Roman" w:hAnsi="Times New Roman" w:cs="Times New Roman"/>
          <w:lang w:val="en-US" w:eastAsia="zh-CN"/>
        </w:rPr>
        <w:t>″</w:t>
      </w:r>
      <w:r>
        <w:rPr>
          <w:rFonts w:hint="eastAsia"/>
          <w:lang w:eastAsia="zh-CN"/>
        </w:rPr>
        <w:t>；</w:t>
      </w:r>
      <w:r>
        <w:t>(2)南环路东延起点为黄河路，终点为长江路，道路全长3127.66m</w:t>
      </w:r>
      <w:r>
        <w:rPr>
          <w:rFonts w:hint="eastAsia"/>
          <w:lang w:eastAsia="zh-CN"/>
        </w:rPr>
        <w:t>，</w:t>
      </w:r>
      <w:r>
        <w:t>道路起点坐标N44°23'40.1</w:t>
      </w:r>
      <w:r>
        <w:rPr>
          <w:rFonts w:hint="default" w:ascii="Times New Roman" w:hAnsi="Times New Roman" w:cs="Times New Roman"/>
          <w:lang w:val="en-US" w:eastAsia="zh-CN"/>
        </w:rPr>
        <w:t>″</w:t>
      </w:r>
      <w:r>
        <w:rPr>
          <w:rFonts w:hint="eastAsia"/>
          <w:lang w:eastAsia="zh-CN"/>
        </w:rPr>
        <w:t>，</w:t>
      </w:r>
      <w:r>
        <w:t>E85°00'06.5</w:t>
      </w:r>
      <w:r>
        <w:rPr>
          <w:rFonts w:hint="default" w:ascii="Times New Roman" w:hAnsi="Times New Roman" w:cs="Times New Roman"/>
          <w:lang w:val="en-US" w:eastAsia="zh-CN"/>
        </w:rPr>
        <w:t>″</w:t>
      </w:r>
      <w:r>
        <w:rPr>
          <w:rFonts w:hint="eastAsia"/>
          <w:lang w:eastAsia="zh-CN"/>
        </w:rPr>
        <w:t>，</w:t>
      </w:r>
      <w:r>
        <w:t>终点坐标N44°23'33.0</w:t>
      </w:r>
      <w:r>
        <w:rPr>
          <w:rFonts w:hint="default" w:ascii="Times New Roman" w:hAnsi="Times New Roman" w:cs="Times New Roman"/>
          <w:lang w:val="en-US" w:eastAsia="zh-CN"/>
        </w:rPr>
        <w:t>″</w:t>
      </w:r>
      <w:r>
        <w:rPr>
          <w:rFonts w:hint="eastAsia"/>
          <w:lang w:eastAsia="zh-CN"/>
        </w:rPr>
        <w:t>，</w:t>
      </w:r>
      <w:r>
        <w:t>E85°02'32.4</w:t>
      </w:r>
      <w:r>
        <w:rPr>
          <w:rFonts w:hint="default" w:ascii="Times New Roman" w:hAnsi="Times New Roman" w:cs="Times New Roman"/>
          <w:lang w:val="en-US" w:eastAsia="zh-CN"/>
        </w:rPr>
        <w:t>″</w:t>
      </w:r>
      <w:r>
        <w:rPr>
          <w:rFonts w:hint="eastAsia"/>
          <w:lang w:eastAsia="zh-CN"/>
        </w:rPr>
        <w:t>；</w:t>
      </w:r>
      <w:r>
        <w:t>(3)淮河路起点为217国道，终点为福盛路交汇点，道路全长1248.78m</w:t>
      </w:r>
      <w:r>
        <w:rPr>
          <w:rFonts w:hint="eastAsia"/>
          <w:lang w:eastAsia="zh-CN"/>
        </w:rPr>
        <w:t>，</w:t>
      </w:r>
      <w:r>
        <w:t>道路起点坐标N44°23'38.7</w:t>
      </w:r>
      <w:r>
        <w:rPr>
          <w:rFonts w:hint="default" w:ascii="Times New Roman" w:hAnsi="Times New Roman" w:cs="Times New Roman"/>
          <w:lang w:val="en-US" w:eastAsia="zh-CN"/>
        </w:rPr>
        <w:t>″</w:t>
      </w:r>
      <w:r>
        <w:rPr>
          <w:rFonts w:hint="eastAsia"/>
          <w:lang w:eastAsia="zh-CN"/>
        </w:rPr>
        <w:t>，</w:t>
      </w:r>
      <w:r>
        <w:t>E84°51'21.5</w:t>
      </w:r>
      <w:r>
        <w:rPr>
          <w:rFonts w:hint="default" w:ascii="Times New Roman" w:hAnsi="Times New Roman" w:cs="Times New Roman"/>
          <w:lang w:val="en-US" w:eastAsia="zh-CN"/>
        </w:rPr>
        <w:t>″</w:t>
      </w:r>
      <w:r>
        <w:rPr>
          <w:rFonts w:hint="eastAsia"/>
          <w:lang w:eastAsia="zh-CN"/>
        </w:rPr>
        <w:t>，</w:t>
      </w:r>
      <w:r>
        <w:t>终点坐标N44°23'31.6</w:t>
      </w:r>
      <w:r>
        <w:rPr>
          <w:rFonts w:hint="default" w:ascii="Times New Roman" w:hAnsi="Times New Roman" w:cs="Times New Roman"/>
          <w:lang w:val="en-US" w:eastAsia="zh-CN"/>
        </w:rPr>
        <w:t>″</w:t>
      </w:r>
      <w:r>
        <w:rPr>
          <w:rFonts w:hint="eastAsia"/>
          <w:lang w:eastAsia="zh-CN"/>
        </w:rPr>
        <w:t>，</w:t>
      </w:r>
      <w:r>
        <w:t>E84°50'36.8</w:t>
      </w:r>
      <w:r>
        <w:rPr>
          <w:rFonts w:hint="default" w:ascii="Times New Roman" w:hAnsi="Times New Roman" w:cs="Times New Roman"/>
          <w:lang w:val="en-US" w:eastAsia="zh-CN"/>
        </w:rPr>
        <w:t>″</w:t>
      </w:r>
      <w:r>
        <w:rPr>
          <w:rFonts w:hint="eastAsia"/>
          <w:lang w:eastAsia="zh-CN"/>
        </w:rPr>
        <w:t>；</w:t>
      </w:r>
      <w:r>
        <w:t>(4)东外环路起点为东外环路与贵阳路交叉路口，终点为与S115线交叉路口，道路全长2720.509m</w:t>
      </w:r>
      <w:r>
        <w:rPr>
          <w:rFonts w:hint="eastAsia"/>
          <w:lang w:eastAsia="zh-CN"/>
        </w:rPr>
        <w:t>，</w:t>
      </w:r>
      <w:r>
        <w:t>道路起点坐标N44°21'37.3</w:t>
      </w:r>
      <w:r>
        <w:rPr>
          <w:rFonts w:hint="default" w:ascii="Times New Roman" w:hAnsi="Times New Roman" w:cs="Times New Roman"/>
          <w:lang w:val="en-US" w:eastAsia="zh-CN"/>
        </w:rPr>
        <w:t>″</w:t>
      </w:r>
      <w:r>
        <w:rPr>
          <w:rFonts w:hint="eastAsia"/>
          <w:lang w:eastAsia="zh-CN"/>
        </w:rPr>
        <w:t>，</w:t>
      </w:r>
      <w:r>
        <w:t>E84°58'19.6</w:t>
      </w:r>
      <w:r>
        <w:rPr>
          <w:rFonts w:hint="default" w:ascii="Times New Roman" w:hAnsi="Times New Roman" w:cs="Times New Roman"/>
          <w:lang w:val="en-US" w:eastAsia="zh-CN"/>
        </w:rPr>
        <w:t>″</w:t>
      </w:r>
      <w:r>
        <w:rPr>
          <w:rFonts w:hint="eastAsia"/>
          <w:lang w:eastAsia="zh-CN"/>
        </w:rPr>
        <w:t>，</w:t>
      </w:r>
      <w:r>
        <w:t>终点坐标N44°23'05.2</w:t>
      </w:r>
      <w:r>
        <w:rPr>
          <w:rFonts w:hint="default" w:ascii="Times New Roman" w:hAnsi="Times New Roman" w:cs="Times New Roman"/>
          <w:lang w:val="en-US" w:eastAsia="zh-CN"/>
        </w:rPr>
        <w:t>″</w:t>
      </w:r>
      <w:r>
        <w:rPr>
          <w:rFonts w:hint="eastAsia"/>
          <w:lang w:eastAsia="zh-CN"/>
        </w:rPr>
        <w:t>，</w:t>
      </w:r>
      <w:r>
        <w:t>E84°58'16.6</w:t>
      </w:r>
      <w:r>
        <w:rPr>
          <w:rFonts w:hint="default" w:ascii="Times New Roman" w:hAnsi="Times New Roman" w:cs="Times New Roman"/>
          <w:lang w:val="en-US" w:eastAsia="zh-CN"/>
        </w:rPr>
        <w:t>″</w:t>
      </w:r>
      <w:r>
        <w:rPr>
          <w:rFonts w:hint="eastAsia"/>
          <w:lang w:eastAsia="zh-CN"/>
        </w:rPr>
        <w:t>；</w:t>
      </w:r>
      <w:r>
        <w:t>(5)米泉街起点为南环路南侧拟建厂区门口，道路终点为阿克苏路与呼图壁街交汇点，道路全长1499.722m</w:t>
      </w:r>
      <w:r>
        <w:rPr>
          <w:rFonts w:hint="eastAsia"/>
          <w:lang w:eastAsia="zh-CN"/>
        </w:rPr>
        <w:t>，</w:t>
      </w:r>
      <w:r>
        <w:t>道路起点坐标N44°24'00.2</w:t>
      </w:r>
      <w:r>
        <w:rPr>
          <w:rFonts w:hint="default" w:ascii="Times New Roman" w:hAnsi="Times New Roman" w:cs="Times New Roman"/>
          <w:lang w:val="en-US" w:eastAsia="zh-CN"/>
        </w:rPr>
        <w:t>″</w:t>
      </w:r>
      <w:r>
        <w:rPr>
          <w:rFonts w:hint="eastAsia"/>
          <w:lang w:eastAsia="zh-CN"/>
        </w:rPr>
        <w:t>，</w:t>
      </w:r>
      <w:r>
        <w:t>E84°57’36.7"</w:t>
      </w:r>
      <w:r>
        <w:rPr>
          <w:rFonts w:hint="eastAsia"/>
          <w:lang w:eastAsia="zh-CN"/>
        </w:rPr>
        <w:t>，</w:t>
      </w:r>
      <w:r>
        <w:t>终点坐标N44°24'43.6</w:t>
      </w:r>
      <w:r>
        <w:rPr>
          <w:rFonts w:hint="default" w:ascii="Times New Roman" w:hAnsi="Times New Roman" w:cs="Times New Roman"/>
          <w:lang w:val="en-US" w:eastAsia="zh-CN"/>
        </w:rPr>
        <w:t>″</w:t>
      </w:r>
      <w:r>
        <w:rPr>
          <w:rFonts w:hint="eastAsia"/>
          <w:lang w:eastAsia="zh-CN"/>
        </w:rPr>
        <w:t>，</w:t>
      </w:r>
      <w:r>
        <w:t>E84°57'41.5</w:t>
      </w:r>
      <w:r>
        <w:rPr>
          <w:rFonts w:hint="default" w:ascii="Times New Roman" w:hAnsi="Times New Roman" w:cs="Times New Roman"/>
          <w:lang w:val="en-US" w:eastAsia="zh-CN"/>
        </w:rPr>
        <w:t>″</w:t>
      </w:r>
      <w:r>
        <w:rPr>
          <w:rFonts w:hint="eastAsia"/>
          <w:lang w:eastAsia="zh-CN"/>
        </w:rPr>
        <w:t>；</w:t>
      </w:r>
      <w:r>
        <w:t>(6)吐鲁番街起点为南环路与吐鲁番街交汇点，终点为库尔勒路与吐鲁番街交汇点，道路全长1572.724m</w:t>
      </w:r>
      <w:r>
        <w:rPr>
          <w:rFonts w:hint="eastAsia"/>
          <w:lang w:eastAsia="zh-CN"/>
        </w:rPr>
        <w:t>，</w:t>
      </w:r>
      <w:r>
        <w:t>道路起点坐标N44°24'10.8</w:t>
      </w:r>
      <w:r>
        <w:rPr>
          <w:rFonts w:hint="default" w:ascii="Times New Roman" w:hAnsi="Times New Roman" w:cs="Times New Roman"/>
          <w:lang w:val="en-US" w:eastAsia="zh-CN"/>
        </w:rPr>
        <w:t>″</w:t>
      </w:r>
      <w:r>
        <w:rPr>
          <w:rFonts w:hint="eastAsia"/>
          <w:lang w:eastAsia="zh-CN"/>
        </w:rPr>
        <w:t>，</w:t>
      </w:r>
      <w:r>
        <w:t>E84°56'40.1</w:t>
      </w:r>
      <w:r>
        <w:rPr>
          <w:rFonts w:hint="default" w:ascii="Times New Roman" w:hAnsi="Times New Roman" w:cs="Times New Roman"/>
          <w:lang w:val="en-US" w:eastAsia="zh-CN"/>
        </w:rPr>
        <w:t>″</w:t>
      </w:r>
      <w:r>
        <w:rPr>
          <w:rFonts w:hint="eastAsia"/>
          <w:lang w:eastAsia="zh-CN"/>
        </w:rPr>
        <w:t>，</w:t>
      </w:r>
      <w:r>
        <w:t>终点坐标N44°25'01.0</w:t>
      </w:r>
      <w:r>
        <w:rPr>
          <w:rFonts w:hint="default" w:ascii="Times New Roman" w:hAnsi="Times New Roman" w:cs="Times New Roman"/>
          <w:lang w:val="en-US" w:eastAsia="zh-CN"/>
        </w:rPr>
        <w:t>″</w:t>
      </w:r>
      <w:r>
        <w:rPr>
          <w:rFonts w:hint="eastAsia"/>
          <w:lang w:eastAsia="zh-CN"/>
        </w:rPr>
        <w:t>，</w:t>
      </w:r>
      <w:r>
        <w:t>E84°56°46.1</w:t>
      </w:r>
      <w:r>
        <w:rPr>
          <w:rFonts w:hint="default" w:ascii="Times New Roman" w:hAnsi="Times New Roman" w:cs="Times New Roman"/>
          <w:lang w:val="en-US" w:eastAsia="zh-CN"/>
        </w:rPr>
        <w:t>″</w:t>
      </w:r>
      <w:r>
        <w:t>。</w:t>
      </w:r>
    </w:p>
    <w:p>
      <w:pPr>
        <w:pStyle w:val="6"/>
        <w:bidi w:val="0"/>
        <w:outlineLvl w:val="1"/>
      </w:pPr>
      <w:bookmarkStart w:id="28" w:name="_Toc22992"/>
      <w:r>
        <w:t>2.2.2工程规模</w:t>
      </w:r>
      <w:bookmarkEnd w:id="28"/>
    </w:p>
    <w:p>
      <w:pPr>
        <w:bidi w:val="0"/>
      </w:pPr>
      <w:r>
        <w:t>本工程新建道路三条，新增永久占地约为75.47hm²</w:t>
      </w:r>
      <w:r>
        <w:rPr>
          <w:rFonts w:hint="eastAsia"/>
          <w:lang w:eastAsia="zh-CN"/>
        </w:rPr>
        <w:t>；</w:t>
      </w:r>
      <w:r>
        <w:t>改扩建道路三条，新增永久占地33.76hm²。本工程共新增永久占地约为109.23hm²。临时工程主要是建筑垃圾临时堆场、材料堆场、蒸发沉淀池、项目部及值班室，占地约为1470hm²</w:t>
      </w:r>
      <w:r>
        <w:rPr>
          <w:rFonts w:hint="eastAsia"/>
          <w:lang w:eastAsia="zh-CN"/>
        </w:rPr>
        <w:t>，</w:t>
      </w:r>
      <w:r>
        <w:t>道路施工及各类管线施工均在道路红线范围内敷设。</w:t>
      </w:r>
    </w:p>
    <w:p>
      <w:pPr>
        <w:bidi w:val="0"/>
      </w:pPr>
      <w:r>
        <w:t>本工程属于道路建设项目，总投资约为2.33亿元，其中环保投资2349万元，占总投资的10.08%。</w:t>
      </w:r>
    </w:p>
    <w:p>
      <w:pPr>
        <w:bidi w:val="0"/>
        <w:rPr>
          <w:rFonts w:ascii="宋体" w:hAnsi="宋体" w:eastAsia="宋体" w:cs="宋体"/>
          <w:szCs w:val="24"/>
        </w:rPr>
      </w:pPr>
      <w:r>
        <w:t>主要经济技术指标见</w:t>
      </w:r>
      <w:r>
        <w:rPr>
          <w:rFonts w:hint="eastAsia"/>
          <w:lang w:val="en-US" w:eastAsia="zh-CN"/>
        </w:rPr>
        <w:t>下</w:t>
      </w:r>
      <w:r>
        <w:t>表2-1：</w:t>
      </w:r>
    </w:p>
    <w:p>
      <w:pPr>
        <w:pStyle w:val="16"/>
        <w:bidi w:val="0"/>
        <w:rPr>
          <w:color w:val="auto"/>
        </w:rPr>
      </w:pPr>
      <w:r>
        <w:rPr>
          <w:color w:val="auto"/>
        </w:rPr>
        <w:t>表2-1  主要技术经济指标表</w:t>
      </w:r>
    </w:p>
    <w:tbl>
      <w:tblPr>
        <w:tblStyle w:val="20"/>
        <w:tblW w:w="5034"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85"/>
        <w:gridCol w:w="396"/>
        <w:gridCol w:w="1077"/>
        <w:gridCol w:w="2926"/>
        <w:gridCol w:w="1403"/>
        <w:gridCol w:w="22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2" w:hRule="atLeast"/>
        </w:trPr>
        <w:tc>
          <w:tcPr>
            <w:tcW w:w="170" w:type="pct"/>
            <w:textDirection w:val="tbRlV"/>
            <w:vAlign w:val="center"/>
          </w:tcPr>
          <w:p>
            <w:pPr>
              <w:pStyle w:val="18"/>
              <w:bidi w:val="0"/>
              <w:jc w:val="center"/>
              <w:rPr>
                <w:color w:val="auto"/>
              </w:rPr>
            </w:pPr>
            <w:r>
              <w:rPr>
                <w:color w:val="auto"/>
              </w:rPr>
              <w:t>序号</w:t>
            </w:r>
          </w:p>
        </w:tc>
        <w:tc>
          <w:tcPr>
            <w:tcW w:w="880" w:type="pct"/>
            <w:gridSpan w:val="2"/>
            <w:vAlign w:val="center"/>
          </w:tcPr>
          <w:p>
            <w:pPr>
              <w:pStyle w:val="18"/>
              <w:bidi w:val="0"/>
              <w:jc w:val="center"/>
              <w:rPr>
                <w:color w:val="auto"/>
              </w:rPr>
            </w:pPr>
            <w:r>
              <w:rPr>
                <w:color w:val="auto"/>
              </w:rPr>
              <w:t>指标</w:t>
            </w:r>
          </w:p>
        </w:tc>
        <w:tc>
          <w:tcPr>
            <w:tcW w:w="1745" w:type="pct"/>
            <w:vAlign w:val="center"/>
          </w:tcPr>
          <w:p>
            <w:pPr>
              <w:pStyle w:val="18"/>
              <w:bidi w:val="0"/>
              <w:jc w:val="center"/>
              <w:rPr>
                <w:color w:val="auto"/>
              </w:rPr>
            </w:pPr>
            <w:r>
              <w:rPr>
                <w:rFonts w:hint="eastAsia"/>
                <w:color w:val="auto"/>
                <w:lang w:val="en-US" w:eastAsia="zh-CN"/>
              </w:rPr>
              <w:t>环评</w:t>
            </w:r>
            <w:r>
              <w:rPr>
                <w:color w:val="auto"/>
              </w:rPr>
              <w:t>内容</w:t>
            </w:r>
          </w:p>
        </w:tc>
        <w:tc>
          <w:tcPr>
            <w:tcW w:w="2203" w:type="pct"/>
            <w:gridSpan w:val="2"/>
            <w:vAlign w:val="center"/>
          </w:tcPr>
          <w:p>
            <w:pPr>
              <w:pStyle w:val="18"/>
              <w:bidi w:val="0"/>
              <w:jc w:val="center"/>
              <w:rPr>
                <w:rFonts w:hint="default"/>
                <w:color w:val="auto"/>
                <w:lang w:val="en-US" w:eastAsia="zh-CN"/>
              </w:rPr>
            </w:pPr>
            <w:r>
              <w:rPr>
                <w:rFonts w:hint="eastAsia"/>
                <w:color w:val="auto"/>
                <w:lang w:val="en-US" w:eastAsia="zh-CN"/>
              </w:rPr>
              <w:t>实际建设内容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2796" w:type="pct"/>
            <w:gridSpan w:val="4"/>
            <w:vAlign w:val="center"/>
          </w:tcPr>
          <w:p>
            <w:pPr>
              <w:pStyle w:val="18"/>
              <w:bidi w:val="0"/>
              <w:jc w:val="center"/>
              <w:rPr>
                <w:color w:val="auto"/>
              </w:rPr>
            </w:pPr>
            <w:r>
              <w:rPr>
                <w:color w:val="auto"/>
              </w:rPr>
              <w:t>一、新建道路工程</w:t>
            </w:r>
          </w:p>
        </w:tc>
        <w:tc>
          <w:tcPr>
            <w:tcW w:w="2203" w:type="pct"/>
            <w:gridSpan w:val="2"/>
            <w:vAlign w:val="center"/>
          </w:tcPr>
          <w:p>
            <w:pPr>
              <w:pStyle w:val="18"/>
              <w:bidi w:val="0"/>
              <w:ind w:firstLine="0" w:firstLineChars="0"/>
              <w:jc w:val="center"/>
              <w:rPr>
                <w:rFonts w:hint="eastAsia" w:eastAsia="宋体"/>
                <w:color w:val="auto"/>
                <w:lang w:val="en-US" w:eastAsia="zh-CN"/>
              </w:rPr>
            </w:pPr>
            <w:r>
              <w:rPr>
                <w:color w:val="auto"/>
              </w:rPr>
              <w:t>一、新建道路工程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2796" w:type="pct"/>
            <w:gridSpan w:val="4"/>
            <w:vAlign w:val="center"/>
          </w:tcPr>
          <w:p>
            <w:pPr>
              <w:pStyle w:val="18"/>
              <w:bidi w:val="0"/>
              <w:jc w:val="center"/>
              <w:rPr>
                <w:color w:val="auto"/>
              </w:rPr>
            </w:pPr>
            <w:r>
              <w:rPr>
                <w:color w:val="auto"/>
              </w:rPr>
              <w:t>(一)阿克苏路东延</w:t>
            </w:r>
          </w:p>
        </w:tc>
        <w:tc>
          <w:tcPr>
            <w:tcW w:w="2203" w:type="pct"/>
            <w:gridSpan w:val="2"/>
            <w:vAlign w:val="center"/>
          </w:tcPr>
          <w:p>
            <w:pPr>
              <w:pStyle w:val="18"/>
              <w:bidi w:val="0"/>
              <w:ind w:firstLine="0" w:firstLineChars="0"/>
              <w:jc w:val="center"/>
              <w:rPr>
                <w:color w:val="auto"/>
              </w:rPr>
            </w:pPr>
            <w:r>
              <w:rPr>
                <w:color w:val="auto"/>
              </w:rPr>
              <w:t>(一)阿克苏路东延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70" w:type="pct"/>
            <w:vAlign w:val="center"/>
          </w:tcPr>
          <w:p>
            <w:pPr>
              <w:pStyle w:val="18"/>
              <w:bidi w:val="0"/>
              <w:jc w:val="center"/>
              <w:rPr>
                <w:color w:val="auto"/>
              </w:rPr>
            </w:pPr>
            <w:r>
              <w:rPr>
                <w:color w:val="auto"/>
              </w:rPr>
              <w:t>1</w:t>
            </w:r>
          </w:p>
        </w:tc>
        <w:tc>
          <w:tcPr>
            <w:tcW w:w="880" w:type="pct"/>
            <w:gridSpan w:val="2"/>
            <w:vAlign w:val="center"/>
          </w:tcPr>
          <w:p>
            <w:pPr>
              <w:pStyle w:val="18"/>
              <w:bidi w:val="0"/>
              <w:jc w:val="center"/>
              <w:rPr>
                <w:color w:val="auto"/>
              </w:rPr>
            </w:pPr>
            <w:r>
              <w:rPr>
                <w:color w:val="auto"/>
              </w:rPr>
              <w:t>道路等级</w:t>
            </w:r>
          </w:p>
        </w:tc>
        <w:tc>
          <w:tcPr>
            <w:tcW w:w="1745" w:type="pct"/>
            <w:vAlign w:val="center"/>
          </w:tcPr>
          <w:p>
            <w:pPr>
              <w:pStyle w:val="18"/>
              <w:bidi w:val="0"/>
              <w:jc w:val="center"/>
              <w:rPr>
                <w:color w:val="auto"/>
              </w:rPr>
            </w:pPr>
            <w:r>
              <w:rPr>
                <w:color w:val="auto"/>
              </w:rPr>
              <w:t>次干道</w:t>
            </w:r>
          </w:p>
        </w:tc>
        <w:tc>
          <w:tcPr>
            <w:tcW w:w="838" w:type="pct"/>
            <w:vAlign w:val="center"/>
          </w:tcPr>
          <w:p>
            <w:pPr>
              <w:pStyle w:val="18"/>
              <w:bidi w:val="0"/>
              <w:ind w:firstLine="0" w:firstLineChars="0"/>
              <w:jc w:val="center"/>
              <w:rPr>
                <w:color w:val="auto"/>
              </w:rPr>
            </w:pPr>
            <w:r>
              <w:rPr>
                <w:color w:val="auto"/>
              </w:rPr>
              <w:t>道路等级</w:t>
            </w:r>
          </w:p>
        </w:tc>
        <w:tc>
          <w:tcPr>
            <w:tcW w:w="1364" w:type="pct"/>
            <w:vAlign w:val="center"/>
          </w:tcPr>
          <w:p>
            <w:pPr>
              <w:pStyle w:val="18"/>
              <w:bidi w:val="0"/>
              <w:ind w:firstLine="0" w:firstLineChars="0"/>
              <w:jc w:val="center"/>
              <w:rPr>
                <w:color w:val="auto"/>
              </w:rPr>
            </w:pPr>
            <w:r>
              <w:rPr>
                <w:color w:val="auto"/>
              </w:rPr>
              <w:t>次干道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70" w:type="pct"/>
            <w:vAlign w:val="center"/>
          </w:tcPr>
          <w:p>
            <w:pPr>
              <w:pStyle w:val="18"/>
              <w:bidi w:val="0"/>
              <w:jc w:val="center"/>
            </w:pPr>
            <w:r>
              <w:t>2</w:t>
            </w:r>
          </w:p>
        </w:tc>
        <w:tc>
          <w:tcPr>
            <w:tcW w:w="880" w:type="pct"/>
            <w:gridSpan w:val="2"/>
            <w:vAlign w:val="center"/>
          </w:tcPr>
          <w:p>
            <w:pPr>
              <w:pStyle w:val="18"/>
              <w:bidi w:val="0"/>
              <w:jc w:val="center"/>
            </w:pPr>
            <w:r>
              <w:t>占地面积</w:t>
            </w:r>
          </w:p>
        </w:tc>
        <w:tc>
          <w:tcPr>
            <w:tcW w:w="1745" w:type="pct"/>
            <w:vAlign w:val="center"/>
          </w:tcPr>
          <w:p>
            <w:pPr>
              <w:pStyle w:val="18"/>
              <w:bidi w:val="0"/>
              <w:jc w:val="center"/>
            </w:pPr>
            <w:r>
              <w:t>红线内占地面积55.96hm²</w:t>
            </w:r>
          </w:p>
        </w:tc>
        <w:tc>
          <w:tcPr>
            <w:tcW w:w="838" w:type="pct"/>
            <w:vAlign w:val="center"/>
          </w:tcPr>
          <w:p>
            <w:pPr>
              <w:pStyle w:val="18"/>
              <w:bidi w:val="0"/>
              <w:ind w:firstLine="0" w:firstLineChars="0"/>
              <w:jc w:val="center"/>
            </w:pPr>
            <w:r>
              <w:t>占地面积</w:t>
            </w:r>
          </w:p>
        </w:tc>
        <w:tc>
          <w:tcPr>
            <w:tcW w:w="1364" w:type="pct"/>
            <w:vAlign w:val="center"/>
          </w:tcPr>
          <w:p>
            <w:pPr>
              <w:pStyle w:val="18"/>
              <w:bidi w:val="0"/>
              <w:ind w:firstLine="0" w:firstLineChars="0"/>
              <w:jc w:val="center"/>
            </w:pPr>
            <w:r>
              <w:t>红线内占地面积55.96hm²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70" w:type="pct"/>
            <w:vAlign w:val="center"/>
          </w:tcPr>
          <w:p>
            <w:pPr>
              <w:pStyle w:val="18"/>
              <w:bidi w:val="0"/>
              <w:jc w:val="center"/>
            </w:pPr>
            <w:r>
              <w:t>3</w:t>
            </w:r>
          </w:p>
        </w:tc>
        <w:tc>
          <w:tcPr>
            <w:tcW w:w="880" w:type="pct"/>
            <w:gridSpan w:val="2"/>
            <w:vAlign w:val="center"/>
          </w:tcPr>
          <w:p>
            <w:pPr>
              <w:pStyle w:val="18"/>
              <w:bidi w:val="0"/>
              <w:jc w:val="center"/>
            </w:pPr>
            <w:r>
              <w:t>道路长度</w:t>
            </w:r>
          </w:p>
        </w:tc>
        <w:tc>
          <w:tcPr>
            <w:tcW w:w="1745" w:type="pct"/>
            <w:vAlign w:val="center"/>
          </w:tcPr>
          <w:p>
            <w:pPr>
              <w:pStyle w:val="18"/>
              <w:bidi w:val="0"/>
              <w:jc w:val="center"/>
            </w:pPr>
            <w:r>
              <w:t>7225.06m</w:t>
            </w:r>
          </w:p>
        </w:tc>
        <w:tc>
          <w:tcPr>
            <w:tcW w:w="838" w:type="pct"/>
            <w:vAlign w:val="center"/>
          </w:tcPr>
          <w:p>
            <w:pPr>
              <w:pStyle w:val="18"/>
              <w:bidi w:val="0"/>
              <w:ind w:firstLine="0" w:firstLineChars="0"/>
              <w:jc w:val="center"/>
            </w:pPr>
            <w:r>
              <w:t>道路长度</w:t>
            </w:r>
          </w:p>
        </w:tc>
        <w:tc>
          <w:tcPr>
            <w:tcW w:w="1364" w:type="pct"/>
            <w:vAlign w:val="center"/>
          </w:tcPr>
          <w:p>
            <w:pPr>
              <w:pStyle w:val="18"/>
              <w:bidi w:val="0"/>
              <w:ind w:firstLine="0" w:firstLineChars="0"/>
              <w:jc w:val="center"/>
            </w:pPr>
            <w:r>
              <w:t>7225.06m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70" w:type="pct"/>
            <w:vMerge w:val="restart"/>
            <w:tcBorders>
              <w:bottom w:val="nil"/>
            </w:tcBorders>
            <w:vAlign w:val="center"/>
          </w:tcPr>
          <w:p>
            <w:pPr>
              <w:pStyle w:val="18"/>
              <w:bidi w:val="0"/>
              <w:jc w:val="center"/>
            </w:pPr>
            <w:r>
              <w:t>4</w:t>
            </w:r>
          </w:p>
        </w:tc>
        <w:tc>
          <w:tcPr>
            <w:tcW w:w="237" w:type="pct"/>
            <w:vMerge w:val="restart"/>
            <w:tcBorders>
              <w:bottom w:val="nil"/>
            </w:tcBorders>
            <w:vAlign w:val="center"/>
          </w:tcPr>
          <w:p>
            <w:pPr>
              <w:pStyle w:val="18"/>
              <w:bidi w:val="0"/>
              <w:jc w:val="center"/>
            </w:pPr>
            <w:r>
              <w:t>红线宽度</w:t>
            </w:r>
          </w:p>
        </w:tc>
        <w:tc>
          <w:tcPr>
            <w:tcW w:w="642" w:type="pct"/>
            <w:vAlign w:val="center"/>
          </w:tcPr>
          <w:p>
            <w:pPr>
              <w:pStyle w:val="18"/>
              <w:bidi w:val="0"/>
              <w:jc w:val="center"/>
            </w:pPr>
            <w:r>
              <w:t>部善街～哈密街</w:t>
            </w:r>
          </w:p>
        </w:tc>
        <w:tc>
          <w:tcPr>
            <w:tcW w:w="1745" w:type="pct"/>
            <w:vAlign w:val="center"/>
          </w:tcPr>
          <w:p>
            <w:pPr>
              <w:pStyle w:val="18"/>
              <w:bidi w:val="0"/>
              <w:jc w:val="center"/>
            </w:pPr>
            <w:r>
              <w:t>52m</w:t>
            </w:r>
          </w:p>
        </w:tc>
        <w:tc>
          <w:tcPr>
            <w:tcW w:w="838" w:type="pct"/>
            <w:vAlign w:val="center"/>
          </w:tcPr>
          <w:p>
            <w:pPr>
              <w:pStyle w:val="18"/>
              <w:bidi w:val="0"/>
              <w:ind w:firstLine="0" w:firstLineChars="0"/>
              <w:jc w:val="center"/>
            </w:pPr>
            <w:r>
              <w:t>部善街～哈密街</w:t>
            </w:r>
          </w:p>
        </w:tc>
        <w:tc>
          <w:tcPr>
            <w:tcW w:w="1364" w:type="pct"/>
            <w:vAlign w:val="center"/>
          </w:tcPr>
          <w:p>
            <w:pPr>
              <w:pStyle w:val="18"/>
              <w:bidi w:val="0"/>
              <w:ind w:firstLine="0" w:firstLineChars="0"/>
              <w:jc w:val="center"/>
            </w:pPr>
            <w:r>
              <w:t>52m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70" w:type="pct"/>
            <w:vMerge w:val="continue"/>
            <w:tcBorders>
              <w:top w:val="nil"/>
            </w:tcBorders>
            <w:vAlign w:val="center"/>
          </w:tcPr>
          <w:p>
            <w:pPr>
              <w:pStyle w:val="18"/>
              <w:bidi w:val="0"/>
              <w:jc w:val="center"/>
            </w:pPr>
          </w:p>
        </w:tc>
        <w:tc>
          <w:tcPr>
            <w:tcW w:w="237" w:type="pct"/>
            <w:vMerge w:val="continue"/>
            <w:tcBorders>
              <w:top w:val="nil"/>
            </w:tcBorders>
            <w:vAlign w:val="center"/>
          </w:tcPr>
          <w:p>
            <w:pPr>
              <w:pStyle w:val="18"/>
              <w:bidi w:val="0"/>
              <w:jc w:val="center"/>
            </w:pPr>
          </w:p>
        </w:tc>
        <w:tc>
          <w:tcPr>
            <w:tcW w:w="642" w:type="pct"/>
            <w:vAlign w:val="center"/>
          </w:tcPr>
          <w:p>
            <w:pPr>
              <w:pStyle w:val="18"/>
              <w:bidi w:val="0"/>
              <w:jc w:val="center"/>
            </w:pPr>
            <w:r>
              <w:t>哈密街～长江路</w:t>
            </w:r>
          </w:p>
        </w:tc>
        <w:tc>
          <w:tcPr>
            <w:tcW w:w="1745" w:type="pct"/>
            <w:vAlign w:val="center"/>
          </w:tcPr>
          <w:p>
            <w:pPr>
              <w:pStyle w:val="18"/>
              <w:bidi w:val="0"/>
              <w:jc w:val="center"/>
            </w:pPr>
            <w:r>
              <w:t>80m</w:t>
            </w:r>
          </w:p>
        </w:tc>
        <w:tc>
          <w:tcPr>
            <w:tcW w:w="838" w:type="pct"/>
            <w:vAlign w:val="center"/>
          </w:tcPr>
          <w:p>
            <w:pPr>
              <w:pStyle w:val="18"/>
              <w:bidi w:val="0"/>
              <w:ind w:firstLine="0" w:firstLineChars="0"/>
              <w:jc w:val="center"/>
            </w:pPr>
            <w:r>
              <w:t>哈密街～长江路</w:t>
            </w:r>
          </w:p>
        </w:tc>
        <w:tc>
          <w:tcPr>
            <w:tcW w:w="1364" w:type="pct"/>
            <w:vAlign w:val="center"/>
          </w:tcPr>
          <w:p>
            <w:pPr>
              <w:pStyle w:val="18"/>
              <w:bidi w:val="0"/>
              <w:ind w:firstLine="0" w:firstLineChars="0"/>
              <w:jc w:val="center"/>
            </w:pPr>
            <w:r>
              <w:t>80m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8" w:hRule="atLeast"/>
        </w:trPr>
        <w:tc>
          <w:tcPr>
            <w:tcW w:w="170" w:type="pct"/>
            <w:vMerge w:val="restart"/>
            <w:tcBorders>
              <w:bottom w:val="nil"/>
            </w:tcBorders>
            <w:vAlign w:val="center"/>
          </w:tcPr>
          <w:p>
            <w:pPr>
              <w:pStyle w:val="18"/>
              <w:bidi w:val="0"/>
              <w:jc w:val="center"/>
            </w:pPr>
            <w:r>
              <w:t>5</w:t>
            </w:r>
          </w:p>
        </w:tc>
        <w:tc>
          <w:tcPr>
            <w:tcW w:w="237" w:type="pct"/>
            <w:vMerge w:val="restart"/>
            <w:tcBorders>
              <w:bottom w:val="nil"/>
            </w:tcBorders>
            <w:vAlign w:val="center"/>
          </w:tcPr>
          <w:p>
            <w:pPr>
              <w:pStyle w:val="18"/>
              <w:bidi w:val="0"/>
              <w:jc w:val="center"/>
            </w:pPr>
            <w:r>
              <w:t>横断</w:t>
            </w:r>
          </w:p>
          <w:p>
            <w:pPr>
              <w:pStyle w:val="18"/>
              <w:bidi w:val="0"/>
              <w:jc w:val="center"/>
            </w:pPr>
            <w:r>
              <w:t>面设</w:t>
            </w:r>
          </w:p>
          <w:p>
            <w:pPr>
              <w:pStyle w:val="18"/>
              <w:bidi w:val="0"/>
              <w:jc w:val="center"/>
            </w:pPr>
            <w:r>
              <w:t>计</w:t>
            </w:r>
          </w:p>
        </w:tc>
        <w:tc>
          <w:tcPr>
            <w:tcW w:w="642" w:type="pct"/>
            <w:vAlign w:val="center"/>
          </w:tcPr>
          <w:p>
            <w:pPr>
              <w:pStyle w:val="18"/>
              <w:bidi w:val="0"/>
              <w:jc w:val="center"/>
            </w:pPr>
            <w:r>
              <w:t>部善街～哈密街</w:t>
            </w:r>
          </w:p>
        </w:tc>
        <w:tc>
          <w:tcPr>
            <w:tcW w:w="1745" w:type="pct"/>
            <w:vAlign w:val="center"/>
          </w:tcPr>
          <w:p>
            <w:pPr>
              <w:pStyle w:val="18"/>
              <w:bidi w:val="0"/>
              <w:jc w:val="center"/>
            </w:pPr>
            <w:r>
              <w:t>7.0m(绿化设施带)+5.0m(人非混行道)+6.0m(绿化带)+16m(机动车道)+6.0m(绿化带)+5.0(人非混行道)+7.0m(绿化设施带)=52m</w:t>
            </w:r>
          </w:p>
        </w:tc>
        <w:tc>
          <w:tcPr>
            <w:tcW w:w="838" w:type="pct"/>
            <w:vAlign w:val="center"/>
          </w:tcPr>
          <w:p>
            <w:pPr>
              <w:pStyle w:val="18"/>
              <w:bidi w:val="0"/>
              <w:ind w:firstLine="0" w:firstLineChars="0"/>
              <w:jc w:val="center"/>
            </w:pPr>
            <w:r>
              <w:t>部善街～哈密街</w:t>
            </w:r>
          </w:p>
        </w:tc>
        <w:tc>
          <w:tcPr>
            <w:tcW w:w="1364" w:type="pct"/>
            <w:vAlign w:val="center"/>
          </w:tcPr>
          <w:p>
            <w:pPr>
              <w:pStyle w:val="18"/>
              <w:bidi w:val="0"/>
              <w:ind w:firstLine="0" w:firstLineChars="0"/>
              <w:jc w:val="center"/>
            </w:pPr>
            <w:r>
              <w:t>7.0m(绿化设施带)+5.0m(人非混行道)+6.0m(绿化带)+16m(机动车道)+6.0m(绿化带)+5.0(人非混行道)+7.0m(绿化设施带)=52m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8" w:hRule="atLeast"/>
        </w:trPr>
        <w:tc>
          <w:tcPr>
            <w:tcW w:w="170" w:type="pct"/>
            <w:vMerge w:val="continue"/>
            <w:tcBorders>
              <w:top w:val="nil"/>
            </w:tcBorders>
            <w:vAlign w:val="center"/>
          </w:tcPr>
          <w:p>
            <w:pPr>
              <w:pStyle w:val="18"/>
              <w:bidi w:val="0"/>
              <w:jc w:val="center"/>
            </w:pPr>
          </w:p>
        </w:tc>
        <w:tc>
          <w:tcPr>
            <w:tcW w:w="237" w:type="pct"/>
            <w:vMerge w:val="continue"/>
            <w:tcBorders>
              <w:top w:val="nil"/>
            </w:tcBorders>
            <w:vAlign w:val="center"/>
          </w:tcPr>
          <w:p>
            <w:pPr>
              <w:pStyle w:val="18"/>
              <w:bidi w:val="0"/>
              <w:jc w:val="center"/>
            </w:pPr>
          </w:p>
        </w:tc>
        <w:tc>
          <w:tcPr>
            <w:tcW w:w="642" w:type="pct"/>
            <w:vAlign w:val="center"/>
          </w:tcPr>
          <w:p>
            <w:pPr>
              <w:pStyle w:val="18"/>
              <w:bidi w:val="0"/>
              <w:jc w:val="center"/>
            </w:pPr>
            <w:r>
              <w:t>哈密街～长江路</w:t>
            </w:r>
          </w:p>
        </w:tc>
        <w:tc>
          <w:tcPr>
            <w:tcW w:w="1745" w:type="pct"/>
            <w:vAlign w:val="center"/>
          </w:tcPr>
          <w:p>
            <w:pPr>
              <w:pStyle w:val="18"/>
              <w:bidi w:val="0"/>
              <w:jc w:val="center"/>
            </w:pPr>
            <w:r>
              <w:t>20.0m(绿化设施带)+5.0m(人非混行道)+7.0m(绿化带)+16m(机动车道)+7.0m(绿化带)+5.0(人非混行道)+20.0m(绿化设施带)=80m</w:t>
            </w:r>
          </w:p>
        </w:tc>
        <w:tc>
          <w:tcPr>
            <w:tcW w:w="838" w:type="pct"/>
            <w:vAlign w:val="center"/>
          </w:tcPr>
          <w:p>
            <w:pPr>
              <w:pStyle w:val="18"/>
              <w:bidi w:val="0"/>
              <w:ind w:firstLine="0" w:firstLineChars="0"/>
              <w:jc w:val="center"/>
            </w:pPr>
            <w:r>
              <w:t>哈密街～长江路</w:t>
            </w:r>
          </w:p>
        </w:tc>
        <w:tc>
          <w:tcPr>
            <w:tcW w:w="1364" w:type="pct"/>
            <w:vAlign w:val="center"/>
          </w:tcPr>
          <w:p>
            <w:pPr>
              <w:pStyle w:val="18"/>
              <w:bidi w:val="0"/>
              <w:ind w:firstLine="0" w:firstLineChars="0"/>
              <w:jc w:val="center"/>
            </w:pPr>
            <w:r>
              <w:t>20.0m(绿化设施带)+5.0m(人非混行道)+7.0m(绿化带)+16m(机动车道)+7.0m(绿化带)+5.0(人非混行道)+20.0m(绿化设施带)=80m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70" w:type="pct"/>
            <w:vAlign w:val="center"/>
          </w:tcPr>
          <w:p>
            <w:pPr>
              <w:pStyle w:val="18"/>
              <w:bidi w:val="0"/>
              <w:jc w:val="center"/>
            </w:pPr>
            <w:r>
              <w:t>6</w:t>
            </w:r>
          </w:p>
        </w:tc>
        <w:tc>
          <w:tcPr>
            <w:tcW w:w="880" w:type="pct"/>
            <w:gridSpan w:val="2"/>
            <w:vAlign w:val="center"/>
          </w:tcPr>
          <w:p>
            <w:pPr>
              <w:pStyle w:val="18"/>
              <w:bidi w:val="0"/>
              <w:jc w:val="center"/>
            </w:pPr>
            <w:r>
              <w:t>路面类型</w:t>
            </w:r>
          </w:p>
        </w:tc>
        <w:tc>
          <w:tcPr>
            <w:tcW w:w="1745" w:type="pct"/>
            <w:vAlign w:val="center"/>
          </w:tcPr>
          <w:p>
            <w:pPr>
              <w:pStyle w:val="18"/>
              <w:bidi w:val="0"/>
              <w:jc w:val="center"/>
            </w:pPr>
            <w:r>
              <w:t>沥青混凝土路面结构</w:t>
            </w:r>
          </w:p>
        </w:tc>
        <w:tc>
          <w:tcPr>
            <w:tcW w:w="1403" w:type="dxa"/>
            <w:vAlign w:val="center"/>
          </w:tcPr>
          <w:p>
            <w:pPr>
              <w:pStyle w:val="18"/>
              <w:bidi w:val="0"/>
              <w:ind w:firstLine="0" w:firstLineChars="0"/>
              <w:jc w:val="center"/>
            </w:pPr>
            <w:r>
              <w:t>路面类型</w:t>
            </w:r>
          </w:p>
        </w:tc>
        <w:tc>
          <w:tcPr>
            <w:tcW w:w="2286" w:type="dxa"/>
            <w:vAlign w:val="center"/>
          </w:tcPr>
          <w:p>
            <w:pPr>
              <w:pStyle w:val="18"/>
              <w:bidi w:val="0"/>
              <w:ind w:firstLine="0" w:firstLineChars="0"/>
              <w:jc w:val="center"/>
            </w:pPr>
            <w:r>
              <w:t>沥青混凝土路面结构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70" w:type="pct"/>
            <w:vAlign w:val="center"/>
          </w:tcPr>
          <w:p>
            <w:pPr>
              <w:pStyle w:val="18"/>
              <w:bidi w:val="0"/>
              <w:jc w:val="center"/>
            </w:pPr>
            <w:r>
              <w:t>7</w:t>
            </w:r>
          </w:p>
        </w:tc>
        <w:tc>
          <w:tcPr>
            <w:tcW w:w="880" w:type="pct"/>
            <w:gridSpan w:val="2"/>
            <w:vAlign w:val="center"/>
          </w:tcPr>
          <w:p>
            <w:pPr>
              <w:pStyle w:val="18"/>
              <w:bidi w:val="0"/>
              <w:jc w:val="center"/>
            </w:pPr>
            <w:r>
              <w:t>设计车速</w:t>
            </w:r>
          </w:p>
        </w:tc>
        <w:tc>
          <w:tcPr>
            <w:tcW w:w="1745" w:type="pct"/>
            <w:vAlign w:val="center"/>
          </w:tcPr>
          <w:p>
            <w:pPr>
              <w:pStyle w:val="18"/>
              <w:bidi w:val="0"/>
              <w:jc w:val="center"/>
            </w:pPr>
            <w:r>
              <w:t>40km/h</w:t>
            </w:r>
          </w:p>
        </w:tc>
        <w:tc>
          <w:tcPr>
            <w:tcW w:w="1403" w:type="dxa"/>
            <w:vAlign w:val="center"/>
          </w:tcPr>
          <w:p>
            <w:pPr>
              <w:pStyle w:val="18"/>
              <w:bidi w:val="0"/>
              <w:ind w:firstLine="0" w:firstLineChars="0"/>
              <w:jc w:val="center"/>
            </w:pPr>
            <w:r>
              <w:t>设计车速</w:t>
            </w:r>
          </w:p>
        </w:tc>
        <w:tc>
          <w:tcPr>
            <w:tcW w:w="2286" w:type="dxa"/>
            <w:vAlign w:val="center"/>
          </w:tcPr>
          <w:p>
            <w:pPr>
              <w:pStyle w:val="18"/>
              <w:bidi w:val="0"/>
              <w:ind w:firstLine="0" w:firstLineChars="0"/>
              <w:jc w:val="center"/>
            </w:pPr>
            <w:r>
              <w:t>40km/h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70" w:type="pct"/>
            <w:vAlign w:val="center"/>
          </w:tcPr>
          <w:p>
            <w:pPr>
              <w:pStyle w:val="18"/>
              <w:bidi w:val="0"/>
              <w:jc w:val="center"/>
            </w:pPr>
            <w:r>
              <w:t>8</w:t>
            </w:r>
          </w:p>
        </w:tc>
        <w:tc>
          <w:tcPr>
            <w:tcW w:w="880" w:type="pct"/>
            <w:gridSpan w:val="2"/>
            <w:vAlign w:val="center"/>
          </w:tcPr>
          <w:p>
            <w:pPr>
              <w:pStyle w:val="18"/>
              <w:bidi w:val="0"/>
              <w:jc w:val="center"/>
            </w:pPr>
            <w:r>
              <w:t>设计年限</w:t>
            </w:r>
          </w:p>
        </w:tc>
        <w:tc>
          <w:tcPr>
            <w:tcW w:w="1745" w:type="pct"/>
            <w:vAlign w:val="center"/>
          </w:tcPr>
          <w:p>
            <w:pPr>
              <w:pStyle w:val="18"/>
              <w:bidi w:val="0"/>
              <w:jc w:val="center"/>
            </w:pPr>
            <w:r>
              <w:t>10年</w:t>
            </w:r>
          </w:p>
        </w:tc>
        <w:tc>
          <w:tcPr>
            <w:tcW w:w="1403" w:type="dxa"/>
            <w:vAlign w:val="center"/>
          </w:tcPr>
          <w:p>
            <w:pPr>
              <w:pStyle w:val="18"/>
              <w:bidi w:val="0"/>
              <w:ind w:firstLine="0" w:firstLineChars="0"/>
              <w:jc w:val="center"/>
            </w:pPr>
            <w:r>
              <w:t>设计年限</w:t>
            </w:r>
          </w:p>
        </w:tc>
        <w:tc>
          <w:tcPr>
            <w:tcW w:w="2286" w:type="dxa"/>
            <w:vAlign w:val="center"/>
          </w:tcPr>
          <w:p>
            <w:pPr>
              <w:pStyle w:val="18"/>
              <w:bidi w:val="0"/>
              <w:ind w:firstLine="0" w:firstLineChars="0"/>
              <w:jc w:val="center"/>
            </w:pPr>
            <w:r>
              <w:t>10年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70" w:type="pct"/>
            <w:vAlign w:val="center"/>
          </w:tcPr>
          <w:p>
            <w:pPr>
              <w:pStyle w:val="18"/>
              <w:bidi w:val="0"/>
              <w:jc w:val="center"/>
            </w:pPr>
            <w:r>
              <w:t>9</w:t>
            </w:r>
          </w:p>
        </w:tc>
        <w:tc>
          <w:tcPr>
            <w:tcW w:w="880" w:type="pct"/>
            <w:gridSpan w:val="2"/>
            <w:vAlign w:val="center"/>
          </w:tcPr>
          <w:p>
            <w:pPr>
              <w:pStyle w:val="18"/>
              <w:bidi w:val="0"/>
              <w:jc w:val="center"/>
            </w:pPr>
            <w:r>
              <w:t>地震烈度</w:t>
            </w:r>
          </w:p>
        </w:tc>
        <w:tc>
          <w:tcPr>
            <w:tcW w:w="1745" w:type="pct"/>
            <w:vAlign w:val="center"/>
          </w:tcPr>
          <w:p>
            <w:pPr>
              <w:pStyle w:val="18"/>
              <w:bidi w:val="0"/>
              <w:jc w:val="center"/>
            </w:pPr>
            <w:r>
              <w:t>8度</w:t>
            </w:r>
          </w:p>
        </w:tc>
        <w:tc>
          <w:tcPr>
            <w:tcW w:w="1403" w:type="dxa"/>
            <w:vAlign w:val="center"/>
          </w:tcPr>
          <w:p>
            <w:pPr>
              <w:pStyle w:val="18"/>
              <w:bidi w:val="0"/>
              <w:ind w:firstLine="0" w:firstLineChars="0"/>
              <w:jc w:val="center"/>
            </w:pPr>
            <w:r>
              <w:t>地震烈度</w:t>
            </w:r>
          </w:p>
        </w:tc>
        <w:tc>
          <w:tcPr>
            <w:tcW w:w="2286" w:type="dxa"/>
            <w:vAlign w:val="center"/>
          </w:tcPr>
          <w:p>
            <w:pPr>
              <w:pStyle w:val="18"/>
              <w:bidi w:val="0"/>
              <w:ind w:firstLine="0" w:firstLineChars="0"/>
              <w:jc w:val="center"/>
            </w:pPr>
            <w:r>
              <w:t>8度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70" w:type="pct"/>
            <w:vAlign w:val="center"/>
          </w:tcPr>
          <w:p>
            <w:pPr>
              <w:pStyle w:val="18"/>
              <w:bidi w:val="0"/>
              <w:jc w:val="center"/>
            </w:pPr>
            <w:r>
              <w:t>10</w:t>
            </w:r>
          </w:p>
        </w:tc>
        <w:tc>
          <w:tcPr>
            <w:tcW w:w="880" w:type="pct"/>
            <w:gridSpan w:val="2"/>
            <w:vAlign w:val="center"/>
          </w:tcPr>
          <w:p>
            <w:pPr>
              <w:pStyle w:val="18"/>
              <w:bidi w:val="0"/>
              <w:jc w:val="center"/>
            </w:pPr>
            <w:r>
              <w:t>最大纵坡</w:t>
            </w:r>
          </w:p>
        </w:tc>
        <w:tc>
          <w:tcPr>
            <w:tcW w:w="1745" w:type="pct"/>
            <w:vAlign w:val="center"/>
          </w:tcPr>
          <w:p>
            <w:pPr>
              <w:pStyle w:val="18"/>
              <w:bidi w:val="0"/>
              <w:jc w:val="center"/>
            </w:pPr>
            <w:r>
              <w:t>1.00%</w:t>
            </w:r>
          </w:p>
        </w:tc>
        <w:tc>
          <w:tcPr>
            <w:tcW w:w="1403" w:type="dxa"/>
            <w:vAlign w:val="center"/>
          </w:tcPr>
          <w:p>
            <w:pPr>
              <w:pStyle w:val="18"/>
              <w:bidi w:val="0"/>
              <w:ind w:firstLine="0" w:firstLineChars="0"/>
              <w:jc w:val="center"/>
            </w:pPr>
            <w:r>
              <w:t>最大纵坡</w:t>
            </w:r>
          </w:p>
        </w:tc>
        <w:tc>
          <w:tcPr>
            <w:tcW w:w="2286" w:type="dxa"/>
            <w:vAlign w:val="center"/>
          </w:tcPr>
          <w:p>
            <w:pPr>
              <w:pStyle w:val="18"/>
              <w:bidi w:val="0"/>
              <w:ind w:firstLine="0" w:firstLineChars="0"/>
              <w:jc w:val="center"/>
            </w:pPr>
            <w: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70" w:type="pct"/>
            <w:vAlign w:val="center"/>
          </w:tcPr>
          <w:p>
            <w:pPr>
              <w:pStyle w:val="18"/>
              <w:bidi w:val="0"/>
              <w:jc w:val="center"/>
            </w:pPr>
            <w:r>
              <w:t>11</w:t>
            </w:r>
          </w:p>
        </w:tc>
        <w:tc>
          <w:tcPr>
            <w:tcW w:w="880" w:type="pct"/>
            <w:gridSpan w:val="2"/>
            <w:vAlign w:val="center"/>
          </w:tcPr>
          <w:p>
            <w:pPr>
              <w:pStyle w:val="18"/>
              <w:bidi w:val="0"/>
              <w:jc w:val="center"/>
            </w:pPr>
            <w:r>
              <w:t>最小纵坡</w:t>
            </w:r>
          </w:p>
        </w:tc>
        <w:tc>
          <w:tcPr>
            <w:tcW w:w="1745" w:type="pct"/>
            <w:vAlign w:val="center"/>
          </w:tcPr>
          <w:p>
            <w:pPr>
              <w:pStyle w:val="18"/>
              <w:bidi w:val="0"/>
              <w:jc w:val="center"/>
            </w:pPr>
            <w:r>
              <w:t>0.042%</w:t>
            </w:r>
          </w:p>
        </w:tc>
        <w:tc>
          <w:tcPr>
            <w:tcW w:w="1403" w:type="dxa"/>
            <w:vAlign w:val="center"/>
          </w:tcPr>
          <w:p>
            <w:pPr>
              <w:pStyle w:val="18"/>
              <w:bidi w:val="0"/>
              <w:ind w:firstLine="0" w:firstLineChars="0"/>
              <w:jc w:val="center"/>
            </w:pPr>
            <w:r>
              <w:t>最小纵坡</w:t>
            </w:r>
          </w:p>
        </w:tc>
        <w:tc>
          <w:tcPr>
            <w:tcW w:w="2286" w:type="dxa"/>
            <w:vAlign w:val="center"/>
          </w:tcPr>
          <w:p>
            <w:pPr>
              <w:pStyle w:val="18"/>
              <w:bidi w:val="0"/>
              <w:ind w:firstLine="0" w:firstLineChars="0"/>
              <w:jc w:val="center"/>
            </w:pPr>
            <w:r>
              <w:t>0.042%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70" w:type="pct"/>
            <w:vAlign w:val="center"/>
          </w:tcPr>
          <w:p>
            <w:pPr>
              <w:pStyle w:val="18"/>
              <w:bidi w:val="0"/>
              <w:jc w:val="center"/>
            </w:pPr>
            <w:r>
              <w:t>12</w:t>
            </w:r>
          </w:p>
        </w:tc>
        <w:tc>
          <w:tcPr>
            <w:tcW w:w="880" w:type="pct"/>
            <w:gridSpan w:val="2"/>
            <w:vAlign w:val="center"/>
          </w:tcPr>
          <w:p>
            <w:pPr>
              <w:pStyle w:val="18"/>
              <w:bidi w:val="0"/>
              <w:jc w:val="center"/>
            </w:pPr>
            <w:r>
              <w:t>荷载标准</w:t>
            </w:r>
          </w:p>
        </w:tc>
        <w:tc>
          <w:tcPr>
            <w:tcW w:w="1745" w:type="pct"/>
            <w:vAlign w:val="center"/>
          </w:tcPr>
          <w:p>
            <w:pPr>
              <w:pStyle w:val="18"/>
              <w:bidi w:val="0"/>
              <w:jc w:val="center"/>
            </w:pPr>
            <w:r>
              <w:t>BZZ-100型标准车</w:t>
            </w:r>
          </w:p>
        </w:tc>
        <w:tc>
          <w:tcPr>
            <w:tcW w:w="1403" w:type="dxa"/>
            <w:vAlign w:val="center"/>
          </w:tcPr>
          <w:p>
            <w:pPr>
              <w:pStyle w:val="18"/>
              <w:bidi w:val="0"/>
              <w:ind w:firstLine="0" w:firstLineChars="0"/>
              <w:jc w:val="center"/>
            </w:pPr>
            <w:r>
              <w:t>荷载标准</w:t>
            </w:r>
          </w:p>
        </w:tc>
        <w:tc>
          <w:tcPr>
            <w:tcW w:w="2286" w:type="dxa"/>
            <w:vAlign w:val="center"/>
          </w:tcPr>
          <w:p>
            <w:pPr>
              <w:pStyle w:val="18"/>
              <w:bidi w:val="0"/>
              <w:ind w:firstLine="0" w:firstLineChars="0"/>
              <w:jc w:val="center"/>
            </w:pPr>
            <w:r>
              <w:t>BZZ-100型标准车</w:t>
            </w:r>
          </w:p>
        </w:tc>
      </w:tr>
    </w:tbl>
    <w:p>
      <w:pPr>
        <w:spacing w:line="14" w:lineRule="auto"/>
        <w:rPr>
          <w:rFonts w:ascii="Arial"/>
          <w:sz w:val="2"/>
        </w:rPr>
      </w:pPr>
    </w:p>
    <w:tbl>
      <w:tblPr>
        <w:tblStyle w:val="20"/>
        <w:tblW w:w="5022"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62"/>
        <w:gridCol w:w="7"/>
        <w:gridCol w:w="1464"/>
        <w:gridCol w:w="10"/>
        <w:gridCol w:w="2979"/>
        <w:gridCol w:w="363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5" w:hRule="atLeast"/>
        </w:trPr>
        <w:tc>
          <w:tcPr>
            <w:tcW w:w="161" w:type="pct"/>
            <w:gridSpan w:val="2"/>
            <w:vAlign w:val="center"/>
          </w:tcPr>
          <w:p>
            <w:pPr>
              <w:pStyle w:val="18"/>
              <w:bidi w:val="0"/>
              <w:jc w:val="center"/>
            </w:pPr>
            <w:r>
              <w:t>13</w:t>
            </w:r>
          </w:p>
        </w:tc>
        <w:tc>
          <w:tcPr>
            <w:tcW w:w="882" w:type="pct"/>
            <w:gridSpan w:val="2"/>
            <w:vAlign w:val="center"/>
          </w:tcPr>
          <w:p>
            <w:pPr>
              <w:pStyle w:val="18"/>
              <w:bidi w:val="0"/>
              <w:jc w:val="center"/>
              <w:rPr>
                <w:rFonts w:hint="eastAsia" w:eastAsia="宋体"/>
                <w:lang w:eastAsia="zh-CN"/>
              </w:rPr>
            </w:pPr>
            <w:r>
              <w:t>绿化</w:t>
            </w:r>
            <w:r>
              <w:rPr>
                <w:rFonts w:hint="eastAsia"/>
                <w:lang w:val="en-US" w:eastAsia="zh-CN"/>
              </w:rPr>
              <w:t>面积</w:t>
            </w:r>
          </w:p>
        </w:tc>
        <w:tc>
          <w:tcPr>
            <w:tcW w:w="1782" w:type="pct"/>
            <w:vAlign w:val="center"/>
          </w:tcPr>
          <w:p>
            <w:pPr>
              <w:pStyle w:val="18"/>
              <w:bidi w:val="0"/>
              <w:jc w:val="center"/>
            </w:pPr>
            <w:r>
              <w:t>37.18hm²</w:t>
            </w:r>
            <w:r>
              <w:rPr>
                <w:rFonts w:hint="eastAsia"/>
                <w:lang w:eastAsia="zh-CN"/>
              </w:rPr>
              <w:t>，</w:t>
            </w:r>
            <w:r>
              <w:t>绿化率66.4%</w:t>
            </w:r>
          </w:p>
        </w:tc>
        <w:tc>
          <w:tcPr>
            <w:tcW w:w="2173" w:type="pct"/>
            <w:vAlign w:val="center"/>
          </w:tcPr>
          <w:p>
            <w:pPr>
              <w:pStyle w:val="18"/>
              <w:bidi w:val="0"/>
              <w:ind w:firstLine="0" w:firstLineChars="0"/>
              <w:jc w:val="center"/>
            </w:pPr>
            <w:r>
              <w:t>37.18hm²</w:t>
            </w:r>
            <w:r>
              <w:rPr>
                <w:rFonts w:hint="eastAsia"/>
                <w:lang w:eastAsia="zh-CN"/>
              </w:rPr>
              <w:t>，</w:t>
            </w:r>
            <w:r>
              <w:t>绿化率66.4%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14</w:t>
            </w:r>
          </w:p>
        </w:tc>
        <w:tc>
          <w:tcPr>
            <w:tcW w:w="882" w:type="pct"/>
            <w:gridSpan w:val="2"/>
            <w:vAlign w:val="center"/>
          </w:tcPr>
          <w:p>
            <w:pPr>
              <w:pStyle w:val="18"/>
              <w:bidi w:val="0"/>
              <w:jc w:val="center"/>
            </w:pPr>
            <w:r>
              <w:t>投资估算</w:t>
            </w:r>
          </w:p>
        </w:tc>
        <w:tc>
          <w:tcPr>
            <w:tcW w:w="1782" w:type="pct"/>
            <w:vAlign w:val="center"/>
          </w:tcPr>
          <w:p>
            <w:pPr>
              <w:pStyle w:val="18"/>
              <w:bidi w:val="0"/>
              <w:jc w:val="center"/>
            </w:pPr>
            <w:r>
              <w:t>6000万元</w:t>
            </w:r>
          </w:p>
        </w:tc>
        <w:tc>
          <w:tcPr>
            <w:tcW w:w="2173" w:type="pct"/>
            <w:vAlign w:val="center"/>
          </w:tcPr>
          <w:p>
            <w:pPr>
              <w:pStyle w:val="18"/>
              <w:bidi w:val="0"/>
              <w:ind w:firstLine="0" w:firstLineChars="0"/>
              <w:jc w:val="center"/>
            </w:pPr>
            <w:r>
              <w:t>6000万元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2826" w:type="pct"/>
            <w:gridSpan w:val="5"/>
            <w:vAlign w:val="center"/>
          </w:tcPr>
          <w:p>
            <w:pPr>
              <w:pStyle w:val="18"/>
              <w:bidi w:val="0"/>
              <w:jc w:val="center"/>
            </w:pPr>
            <w:r>
              <w:rPr>
                <w:color w:val="auto"/>
              </w:rPr>
              <w:t>(二)南环路东延</w:t>
            </w:r>
          </w:p>
        </w:tc>
        <w:tc>
          <w:tcPr>
            <w:tcW w:w="2173" w:type="pct"/>
            <w:vAlign w:val="center"/>
          </w:tcPr>
          <w:p>
            <w:pPr>
              <w:pStyle w:val="18"/>
              <w:bidi w:val="0"/>
              <w:jc w:val="center"/>
            </w:pPr>
            <w:r>
              <w:t>(二)南环路东延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61" w:type="pct"/>
            <w:gridSpan w:val="2"/>
            <w:vAlign w:val="center"/>
          </w:tcPr>
          <w:p>
            <w:pPr>
              <w:pStyle w:val="18"/>
              <w:bidi w:val="0"/>
              <w:jc w:val="center"/>
            </w:pPr>
            <w:r>
              <w:t>1</w:t>
            </w:r>
          </w:p>
        </w:tc>
        <w:tc>
          <w:tcPr>
            <w:tcW w:w="882" w:type="pct"/>
            <w:gridSpan w:val="2"/>
            <w:vAlign w:val="center"/>
          </w:tcPr>
          <w:p>
            <w:pPr>
              <w:pStyle w:val="18"/>
              <w:bidi w:val="0"/>
              <w:jc w:val="center"/>
            </w:pPr>
            <w:r>
              <w:t>道路等级</w:t>
            </w:r>
          </w:p>
        </w:tc>
        <w:tc>
          <w:tcPr>
            <w:tcW w:w="1782" w:type="pct"/>
            <w:vAlign w:val="center"/>
          </w:tcPr>
          <w:p>
            <w:pPr>
              <w:pStyle w:val="18"/>
              <w:bidi w:val="0"/>
              <w:jc w:val="center"/>
            </w:pPr>
            <w:r>
              <w:t>主干道</w:t>
            </w:r>
          </w:p>
        </w:tc>
        <w:tc>
          <w:tcPr>
            <w:tcW w:w="2173" w:type="pct"/>
            <w:vAlign w:val="center"/>
          </w:tcPr>
          <w:p>
            <w:pPr>
              <w:pStyle w:val="18"/>
              <w:bidi w:val="0"/>
              <w:ind w:firstLine="0" w:firstLineChars="0"/>
              <w:jc w:val="center"/>
            </w:pPr>
            <w:r>
              <w:t>主干道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161" w:type="pct"/>
            <w:gridSpan w:val="2"/>
            <w:vAlign w:val="center"/>
          </w:tcPr>
          <w:p>
            <w:pPr>
              <w:pStyle w:val="18"/>
              <w:bidi w:val="0"/>
              <w:jc w:val="center"/>
            </w:pPr>
            <w:r>
              <w:t>2</w:t>
            </w:r>
          </w:p>
        </w:tc>
        <w:tc>
          <w:tcPr>
            <w:tcW w:w="882" w:type="pct"/>
            <w:gridSpan w:val="2"/>
            <w:vAlign w:val="center"/>
          </w:tcPr>
          <w:p>
            <w:pPr>
              <w:pStyle w:val="18"/>
              <w:bidi w:val="0"/>
              <w:jc w:val="center"/>
            </w:pPr>
            <w:r>
              <w:t>占地面积</w:t>
            </w:r>
          </w:p>
        </w:tc>
        <w:tc>
          <w:tcPr>
            <w:tcW w:w="1782" w:type="pct"/>
            <w:vAlign w:val="center"/>
          </w:tcPr>
          <w:p>
            <w:pPr>
              <w:pStyle w:val="18"/>
              <w:bidi w:val="0"/>
              <w:jc w:val="center"/>
            </w:pPr>
            <w:r>
              <w:t>红线内占地面积15.64hm²</w:t>
            </w:r>
          </w:p>
        </w:tc>
        <w:tc>
          <w:tcPr>
            <w:tcW w:w="2173" w:type="pct"/>
            <w:vAlign w:val="center"/>
          </w:tcPr>
          <w:p>
            <w:pPr>
              <w:pStyle w:val="18"/>
              <w:bidi w:val="0"/>
              <w:ind w:firstLine="0" w:firstLineChars="0"/>
              <w:jc w:val="center"/>
            </w:pPr>
            <w:r>
              <w:t>红线内占地面积15.64hm²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161" w:type="pct"/>
            <w:gridSpan w:val="2"/>
            <w:vAlign w:val="center"/>
          </w:tcPr>
          <w:p>
            <w:pPr>
              <w:pStyle w:val="18"/>
              <w:bidi w:val="0"/>
              <w:jc w:val="center"/>
            </w:pPr>
            <w:r>
              <w:t>3</w:t>
            </w:r>
          </w:p>
        </w:tc>
        <w:tc>
          <w:tcPr>
            <w:tcW w:w="882" w:type="pct"/>
            <w:gridSpan w:val="2"/>
            <w:vAlign w:val="center"/>
          </w:tcPr>
          <w:p>
            <w:pPr>
              <w:pStyle w:val="18"/>
              <w:bidi w:val="0"/>
              <w:jc w:val="center"/>
            </w:pPr>
            <w:r>
              <w:t>道路长度</w:t>
            </w:r>
          </w:p>
        </w:tc>
        <w:tc>
          <w:tcPr>
            <w:tcW w:w="1782" w:type="pct"/>
            <w:vAlign w:val="center"/>
          </w:tcPr>
          <w:p>
            <w:pPr>
              <w:pStyle w:val="18"/>
              <w:bidi w:val="0"/>
              <w:jc w:val="center"/>
            </w:pPr>
            <w:r>
              <w:t>3127.66m</w:t>
            </w:r>
          </w:p>
        </w:tc>
        <w:tc>
          <w:tcPr>
            <w:tcW w:w="2173" w:type="pct"/>
            <w:vAlign w:val="center"/>
          </w:tcPr>
          <w:p>
            <w:pPr>
              <w:pStyle w:val="18"/>
              <w:bidi w:val="0"/>
              <w:ind w:firstLine="0" w:firstLineChars="0"/>
              <w:jc w:val="center"/>
            </w:pPr>
            <w:r>
              <w:t>3127.66m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61" w:type="pct"/>
            <w:gridSpan w:val="2"/>
            <w:vAlign w:val="center"/>
          </w:tcPr>
          <w:p>
            <w:pPr>
              <w:pStyle w:val="18"/>
              <w:bidi w:val="0"/>
              <w:jc w:val="center"/>
            </w:pPr>
            <w:r>
              <w:t>4</w:t>
            </w:r>
          </w:p>
        </w:tc>
        <w:tc>
          <w:tcPr>
            <w:tcW w:w="882" w:type="pct"/>
            <w:gridSpan w:val="2"/>
            <w:vAlign w:val="center"/>
          </w:tcPr>
          <w:p>
            <w:pPr>
              <w:pStyle w:val="18"/>
              <w:bidi w:val="0"/>
              <w:jc w:val="center"/>
            </w:pPr>
            <w:r>
              <w:t>红线宽度</w:t>
            </w:r>
          </w:p>
        </w:tc>
        <w:tc>
          <w:tcPr>
            <w:tcW w:w="1782" w:type="pct"/>
            <w:vAlign w:val="center"/>
          </w:tcPr>
          <w:p>
            <w:pPr>
              <w:pStyle w:val="18"/>
              <w:bidi w:val="0"/>
              <w:jc w:val="center"/>
            </w:pPr>
            <w:r>
              <w:t>50m</w:t>
            </w:r>
          </w:p>
        </w:tc>
        <w:tc>
          <w:tcPr>
            <w:tcW w:w="2173" w:type="pct"/>
            <w:vAlign w:val="center"/>
          </w:tcPr>
          <w:p>
            <w:pPr>
              <w:pStyle w:val="18"/>
              <w:bidi w:val="0"/>
              <w:ind w:firstLine="0" w:firstLineChars="0"/>
              <w:jc w:val="center"/>
            </w:pPr>
            <w:r>
              <w:t>50m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9" w:hRule="atLeast"/>
        </w:trPr>
        <w:tc>
          <w:tcPr>
            <w:tcW w:w="161" w:type="pct"/>
            <w:gridSpan w:val="2"/>
            <w:vAlign w:val="center"/>
          </w:tcPr>
          <w:p>
            <w:pPr>
              <w:pStyle w:val="18"/>
              <w:bidi w:val="0"/>
              <w:jc w:val="center"/>
            </w:pPr>
            <w:r>
              <w:t>5</w:t>
            </w:r>
          </w:p>
        </w:tc>
        <w:tc>
          <w:tcPr>
            <w:tcW w:w="882" w:type="pct"/>
            <w:gridSpan w:val="2"/>
            <w:vAlign w:val="center"/>
          </w:tcPr>
          <w:p>
            <w:pPr>
              <w:pStyle w:val="18"/>
              <w:bidi w:val="0"/>
              <w:jc w:val="center"/>
            </w:pPr>
            <w:r>
              <w:t>横断面设计</w:t>
            </w:r>
          </w:p>
        </w:tc>
        <w:tc>
          <w:tcPr>
            <w:tcW w:w="1782" w:type="pct"/>
            <w:vAlign w:val="center"/>
          </w:tcPr>
          <w:p>
            <w:pPr>
              <w:pStyle w:val="18"/>
              <w:bidi w:val="0"/>
              <w:jc w:val="center"/>
            </w:pPr>
            <w:r>
              <w:t>7.5m(人行道)+7.5m(绿化带)+2.0m(路肩)+16m(机动车道)+2.0m(路肩)+7.5m(绿化带)+7.5m(人行道)=50m</w:t>
            </w:r>
          </w:p>
        </w:tc>
        <w:tc>
          <w:tcPr>
            <w:tcW w:w="2173" w:type="pct"/>
            <w:vAlign w:val="center"/>
          </w:tcPr>
          <w:p>
            <w:pPr>
              <w:pStyle w:val="18"/>
              <w:bidi w:val="0"/>
              <w:ind w:firstLine="0" w:firstLineChars="0"/>
              <w:jc w:val="center"/>
            </w:pPr>
            <w:r>
              <w:t>7.5m(人行道)+7.5m(绿化带)+2.0m(路肩)+16m(机动车道)+2.0m(路肩)+7.5m(绿化带)+7.5m(人行道)=50m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0" w:hRule="atLeast"/>
        </w:trPr>
        <w:tc>
          <w:tcPr>
            <w:tcW w:w="161" w:type="pct"/>
            <w:gridSpan w:val="2"/>
            <w:vAlign w:val="center"/>
          </w:tcPr>
          <w:p>
            <w:pPr>
              <w:pStyle w:val="18"/>
              <w:bidi w:val="0"/>
              <w:jc w:val="center"/>
            </w:pPr>
            <w:r>
              <w:t>6</w:t>
            </w:r>
          </w:p>
        </w:tc>
        <w:tc>
          <w:tcPr>
            <w:tcW w:w="882" w:type="pct"/>
            <w:gridSpan w:val="2"/>
            <w:vAlign w:val="center"/>
          </w:tcPr>
          <w:p>
            <w:pPr>
              <w:pStyle w:val="18"/>
              <w:bidi w:val="0"/>
              <w:jc w:val="center"/>
            </w:pPr>
            <w:r>
              <w:t>路面类型</w:t>
            </w:r>
          </w:p>
        </w:tc>
        <w:tc>
          <w:tcPr>
            <w:tcW w:w="1782" w:type="pct"/>
            <w:vAlign w:val="center"/>
          </w:tcPr>
          <w:p>
            <w:pPr>
              <w:pStyle w:val="18"/>
              <w:bidi w:val="0"/>
              <w:jc w:val="center"/>
            </w:pPr>
            <w:r>
              <w:t>沥青混凝土路面结构</w:t>
            </w:r>
          </w:p>
        </w:tc>
        <w:tc>
          <w:tcPr>
            <w:tcW w:w="2173" w:type="pct"/>
            <w:vAlign w:val="center"/>
          </w:tcPr>
          <w:p>
            <w:pPr>
              <w:pStyle w:val="18"/>
              <w:bidi w:val="0"/>
              <w:ind w:firstLine="0" w:firstLineChars="0"/>
              <w:jc w:val="center"/>
            </w:pPr>
            <w:r>
              <w:t>沥青混凝土路面结构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61" w:type="pct"/>
            <w:gridSpan w:val="2"/>
            <w:vAlign w:val="center"/>
          </w:tcPr>
          <w:p>
            <w:pPr>
              <w:pStyle w:val="18"/>
              <w:bidi w:val="0"/>
              <w:jc w:val="center"/>
            </w:pPr>
            <w:r>
              <w:t>7</w:t>
            </w:r>
          </w:p>
        </w:tc>
        <w:tc>
          <w:tcPr>
            <w:tcW w:w="882" w:type="pct"/>
            <w:gridSpan w:val="2"/>
            <w:vAlign w:val="center"/>
          </w:tcPr>
          <w:p>
            <w:pPr>
              <w:pStyle w:val="18"/>
              <w:bidi w:val="0"/>
              <w:jc w:val="center"/>
            </w:pPr>
            <w:r>
              <w:t>设计车速</w:t>
            </w:r>
          </w:p>
        </w:tc>
        <w:tc>
          <w:tcPr>
            <w:tcW w:w="1782" w:type="pct"/>
            <w:vAlign w:val="center"/>
          </w:tcPr>
          <w:p>
            <w:pPr>
              <w:pStyle w:val="18"/>
              <w:bidi w:val="0"/>
              <w:jc w:val="center"/>
            </w:pPr>
            <w:r>
              <w:t>40km/h</w:t>
            </w:r>
          </w:p>
        </w:tc>
        <w:tc>
          <w:tcPr>
            <w:tcW w:w="2173" w:type="pct"/>
            <w:vAlign w:val="center"/>
          </w:tcPr>
          <w:p>
            <w:pPr>
              <w:pStyle w:val="18"/>
              <w:bidi w:val="0"/>
              <w:ind w:firstLine="0" w:firstLineChars="0"/>
              <w:jc w:val="center"/>
            </w:pPr>
            <w:r>
              <w:t>40km/h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8</w:t>
            </w:r>
          </w:p>
        </w:tc>
        <w:tc>
          <w:tcPr>
            <w:tcW w:w="882" w:type="pct"/>
            <w:gridSpan w:val="2"/>
            <w:vAlign w:val="center"/>
          </w:tcPr>
          <w:p>
            <w:pPr>
              <w:pStyle w:val="18"/>
              <w:bidi w:val="0"/>
              <w:jc w:val="center"/>
            </w:pPr>
            <w:r>
              <w:t>设计年限</w:t>
            </w:r>
          </w:p>
        </w:tc>
        <w:tc>
          <w:tcPr>
            <w:tcW w:w="1782" w:type="pct"/>
            <w:vAlign w:val="center"/>
          </w:tcPr>
          <w:p>
            <w:pPr>
              <w:pStyle w:val="18"/>
              <w:bidi w:val="0"/>
              <w:jc w:val="center"/>
            </w:pPr>
            <w:r>
              <w:t>15年</w:t>
            </w:r>
          </w:p>
        </w:tc>
        <w:tc>
          <w:tcPr>
            <w:tcW w:w="2173" w:type="pct"/>
            <w:vAlign w:val="center"/>
          </w:tcPr>
          <w:p>
            <w:pPr>
              <w:pStyle w:val="18"/>
              <w:bidi w:val="0"/>
              <w:ind w:firstLine="0" w:firstLineChars="0"/>
              <w:jc w:val="center"/>
            </w:pPr>
            <w:r>
              <w:t>15年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 w:type="pct"/>
            <w:gridSpan w:val="2"/>
            <w:vAlign w:val="center"/>
          </w:tcPr>
          <w:p>
            <w:pPr>
              <w:pStyle w:val="18"/>
              <w:bidi w:val="0"/>
              <w:jc w:val="center"/>
            </w:pPr>
            <w:r>
              <w:t>9</w:t>
            </w:r>
          </w:p>
        </w:tc>
        <w:tc>
          <w:tcPr>
            <w:tcW w:w="882" w:type="pct"/>
            <w:gridSpan w:val="2"/>
            <w:vAlign w:val="center"/>
          </w:tcPr>
          <w:p>
            <w:pPr>
              <w:pStyle w:val="18"/>
              <w:bidi w:val="0"/>
              <w:jc w:val="center"/>
            </w:pPr>
            <w:r>
              <w:t>地震烈度</w:t>
            </w:r>
          </w:p>
        </w:tc>
        <w:tc>
          <w:tcPr>
            <w:tcW w:w="1782" w:type="pct"/>
            <w:vAlign w:val="center"/>
          </w:tcPr>
          <w:p>
            <w:pPr>
              <w:pStyle w:val="18"/>
              <w:bidi w:val="0"/>
              <w:jc w:val="center"/>
            </w:pPr>
            <w:r>
              <w:t>8度</w:t>
            </w:r>
          </w:p>
        </w:tc>
        <w:tc>
          <w:tcPr>
            <w:tcW w:w="2173" w:type="pct"/>
            <w:vAlign w:val="center"/>
          </w:tcPr>
          <w:p>
            <w:pPr>
              <w:pStyle w:val="18"/>
              <w:bidi w:val="0"/>
              <w:ind w:firstLine="0" w:firstLineChars="0"/>
              <w:jc w:val="center"/>
            </w:pPr>
            <w:r>
              <w:t>8度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61" w:type="pct"/>
            <w:gridSpan w:val="2"/>
            <w:vAlign w:val="center"/>
          </w:tcPr>
          <w:p>
            <w:pPr>
              <w:pStyle w:val="18"/>
              <w:bidi w:val="0"/>
              <w:jc w:val="center"/>
            </w:pPr>
            <w:r>
              <w:t>10</w:t>
            </w:r>
          </w:p>
        </w:tc>
        <w:tc>
          <w:tcPr>
            <w:tcW w:w="882" w:type="pct"/>
            <w:gridSpan w:val="2"/>
            <w:vAlign w:val="center"/>
          </w:tcPr>
          <w:p>
            <w:pPr>
              <w:pStyle w:val="18"/>
              <w:bidi w:val="0"/>
              <w:jc w:val="center"/>
            </w:pPr>
            <w:r>
              <w:t>最大纵坡</w:t>
            </w:r>
          </w:p>
        </w:tc>
        <w:tc>
          <w:tcPr>
            <w:tcW w:w="1782" w:type="pct"/>
            <w:vAlign w:val="center"/>
          </w:tcPr>
          <w:p>
            <w:pPr>
              <w:pStyle w:val="18"/>
              <w:bidi w:val="0"/>
              <w:jc w:val="center"/>
            </w:pPr>
            <w:r>
              <w:t>0.54%</w:t>
            </w:r>
          </w:p>
        </w:tc>
        <w:tc>
          <w:tcPr>
            <w:tcW w:w="2173" w:type="pct"/>
            <w:vAlign w:val="center"/>
          </w:tcPr>
          <w:p>
            <w:pPr>
              <w:pStyle w:val="18"/>
              <w:bidi w:val="0"/>
              <w:ind w:firstLine="0" w:firstLineChars="0"/>
              <w:jc w:val="center"/>
            </w:pPr>
            <w:r>
              <w:t>0.54%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0" w:hRule="atLeast"/>
        </w:trPr>
        <w:tc>
          <w:tcPr>
            <w:tcW w:w="161" w:type="pct"/>
            <w:gridSpan w:val="2"/>
            <w:vAlign w:val="center"/>
          </w:tcPr>
          <w:p>
            <w:pPr>
              <w:pStyle w:val="18"/>
              <w:bidi w:val="0"/>
              <w:jc w:val="center"/>
            </w:pPr>
            <w:r>
              <w:t>11</w:t>
            </w:r>
          </w:p>
        </w:tc>
        <w:tc>
          <w:tcPr>
            <w:tcW w:w="882" w:type="pct"/>
            <w:gridSpan w:val="2"/>
            <w:vAlign w:val="center"/>
          </w:tcPr>
          <w:p>
            <w:pPr>
              <w:pStyle w:val="18"/>
              <w:bidi w:val="0"/>
              <w:jc w:val="center"/>
            </w:pPr>
            <w:r>
              <w:t>最小纵坡</w:t>
            </w:r>
          </w:p>
        </w:tc>
        <w:tc>
          <w:tcPr>
            <w:tcW w:w="1782" w:type="pct"/>
            <w:vAlign w:val="center"/>
          </w:tcPr>
          <w:p>
            <w:pPr>
              <w:pStyle w:val="18"/>
              <w:bidi w:val="0"/>
              <w:jc w:val="center"/>
            </w:pPr>
            <w:r>
              <w:t>0.039%</w:t>
            </w:r>
          </w:p>
        </w:tc>
        <w:tc>
          <w:tcPr>
            <w:tcW w:w="2173" w:type="pct"/>
            <w:vAlign w:val="center"/>
          </w:tcPr>
          <w:p>
            <w:pPr>
              <w:pStyle w:val="18"/>
              <w:bidi w:val="0"/>
              <w:ind w:firstLine="0" w:firstLineChars="0"/>
              <w:jc w:val="center"/>
            </w:pPr>
            <w:r>
              <w:t>0.039%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12</w:t>
            </w:r>
          </w:p>
        </w:tc>
        <w:tc>
          <w:tcPr>
            <w:tcW w:w="882" w:type="pct"/>
            <w:gridSpan w:val="2"/>
            <w:vAlign w:val="center"/>
          </w:tcPr>
          <w:p>
            <w:pPr>
              <w:pStyle w:val="18"/>
              <w:bidi w:val="0"/>
              <w:jc w:val="center"/>
            </w:pPr>
            <w:r>
              <w:t>荷载标准</w:t>
            </w:r>
          </w:p>
        </w:tc>
        <w:tc>
          <w:tcPr>
            <w:tcW w:w="1782" w:type="pct"/>
            <w:vAlign w:val="center"/>
          </w:tcPr>
          <w:p>
            <w:pPr>
              <w:pStyle w:val="18"/>
              <w:bidi w:val="0"/>
              <w:jc w:val="center"/>
            </w:pPr>
            <w:r>
              <w:t>BZZ-100型标准车</w:t>
            </w:r>
          </w:p>
        </w:tc>
        <w:tc>
          <w:tcPr>
            <w:tcW w:w="2173" w:type="pct"/>
            <w:vAlign w:val="center"/>
          </w:tcPr>
          <w:p>
            <w:pPr>
              <w:pStyle w:val="18"/>
              <w:bidi w:val="0"/>
              <w:ind w:firstLine="0" w:firstLineChars="0"/>
              <w:jc w:val="center"/>
            </w:pPr>
            <w:r>
              <w:t>BZZ-100型标准车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61" w:type="pct"/>
            <w:gridSpan w:val="2"/>
            <w:vAlign w:val="center"/>
          </w:tcPr>
          <w:p>
            <w:pPr>
              <w:pStyle w:val="18"/>
              <w:bidi w:val="0"/>
              <w:jc w:val="center"/>
            </w:pPr>
            <w:r>
              <w:t>13</w:t>
            </w:r>
          </w:p>
        </w:tc>
        <w:tc>
          <w:tcPr>
            <w:tcW w:w="882" w:type="pct"/>
            <w:gridSpan w:val="2"/>
            <w:vAlign w:val="center"/>
          </w:tcPr>
          <w:p>
            <w:pPr>
              <w:pStyle w:val="18"/>
              <w:bidi w:val="0"/>
              <w:jc w:val="center"/>
            </w:pPr>
            <w:r>
              <w:t>绿化面积</w:t>
            </w:r>
          </w:p>
        </w:tc>
        <w:tc>
          <w:tcPr>
            <w:tcW w:w="1782" w:type="pct"/>
            <w:vAlign w:val="center"/>
          </w:tcPr>
          <w:p>
            <w:pPr>
              <w:pStyle w:val="18"/>
              <w:bidi w:val="0"/>
              <w:jc w:val="center"/>
            </w:pPr>
            <w:r>
              <w:t>4.70hm²</w:t>
            </w:r>
            <w:r>
              <w:rPr>
                <w:rFonts w:hint="eastAsia"/>
                <w:lang w:eastAsia="zh-CN"/>
              </w:rPr>
              <w:t>，</w:t>
            </w:r>
            <w:r>
              <w:t>绿化率30.0%</w:t>
            </w:r>
          </w:p>
        </w:tc>
        <w:tc>
          <w:tcPr>
            <w:tcW w:w="2173" w:type="pct"/>
            <w:vAlign w:val="center"/>
          </w:tcPr>
          <w:p>
            <w:pPr>
              <w:pStyle w:val="18"/>
              <w:bidi w:val="0"/>
              <w:ind w:firstLine="0" w:firstLineChars="0"/>
              <w:jc w:val="center"/>
            </w:pPr>
            <w:r>
              <w:t>4.70hm²</w:t>
            </w:r>
            <w:r>
              <w:rPr>
                <w:rFonts w:hint="eastAsia"/>
                <w:lang w:eastAsia="zh-CN"/>
              </w:rPr>
              <w:t>，</w:t>
            </w:r>
            <w:r>
              <w:t>绿化率30.0%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14</w:t>
            </w:r>
          </w:p>
        </w:tc>
        <w:tc>
          <w:tcPr>
            <w:tcW w:w="882" w:type="pct"/>
            <w:gridSpan w:val="2"/>
            <w:vAlign w:val="center"/>
          </w:tcPr>
          <w:p>
            <w:pPr>
              <w:pStyle w:val="18"/>
              <w:bidi w:val="0"/>
              <w:jc w:val="center"/>
            </w:pPr>
            <w:r>
              <w:t>投资估算</w:t>
            </w:r>
          </w:p>
        </w:tc>
        <w:tc>
          <w:tcPr>
            <w:tcW w:w="1782" w:type="pct"/>
            <w:vAlign w:val="center"/>
          </w:tcPr>
          <w:p>
            <w:pPr>
              <w:pStyle w:val="18"/>
              <w:bidi w:val="0"/>
              <w:jc w:val="center"/>
            </w:pPr>
            <w:r>
              <w:t>4000万元</w:t>
            </w:r>
          </w:p>
        </w:tc>
        <w:tc>
          <w:tcPr>
            <w:tcW w:w="2173" w:type="pct"/>
            <w:vAlign w:val="center"/>
          </w:tcPr>
          <w:p>
            <w:pPr>
              <w:pStyle w:val="18"/>
              <w:bidi w:val="0"/>
              <w:ind w:firstLine="0" w:firstLineChars="0"/>
              <w:jc w:val="center"/>
            </w:pPr>
            <w:r>
              <w:t>4000万元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2826" w:type="pct"/>
            <w:gridSpan w:val="5"/>
            <w:vAlign w:val="center"/>
          </w:tcPr>
          <w:p>
            <w:pPr>
              <w:pStyle w:val="18"/>
              <w:bidi w:val="0"/>
              <w:jc w:val="center"/>
            </w:pPr>
            <w:r>
              <w:t>(三)淮河路</w:t>
            </w:r>
          </w:p>
        </w:tc>
        <w:tc>
          <w:tcPr>
            <w:tcW w:w="2173" w:type="pct"/>
            <w:vAlign w:val="center"/>
          </w:tcPr>
          <w:p>
            <w:pPr>
              <w:pStyle w:val="18"/>
              <w:bidi w:val="0"/>
              <w:jc w:val="center"/>
            </w:pPr>
            <w:r>
              <w:t>(三)淮河路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61" w:type="pct"/>
            <w:gridSpan w:val="2"/>
            <w:vAlign w:val="center"/>
          </w:tcPr>
          <w:p>
            <w:pPr>
              <w:pStyle w:val="18"/>
              <w:bidi w:val="0"/>
              <w:jc w:val="center"/>
            </w:pPr>
            <w:r>
              <w:t>1</w:t>
            </w:r>
          </w:p>
        </w:tc>
        <w:tc>
          <w:tcPr>
            <w:tcW w:w="882" w:type="pct"/>
            <w:gridSpan w:val="2"/>
            <w:vAlign w:val="center"/>
          </w:tcPr>
          <w:p>
            <w:pPr>
              <w:pStyle w:val="18"/>
              <w:bidi w:val="0"/>
              <w:jc w:val="center"/>
            </w:pPr>
            <w:r>
              <w:t>道路等级</w:t>
            </w:r>
          </w:p>
        </w:tc>
        <w:tc>
          <w:tcPr>
            <w:tcW w:w="1782" w:type="pct"/>
            <w:vAlign w:val="center"/>
          </w:tcPr>
          <w:p>
            <w:pPr>
              <w:pStyle w:val="18"/>
              <w:bidi w:val="0"/>
              <w:jc w:val="center"/>
            </w:pPr>
            <w:r>
              <w:t>次干道</w:t>
            </w:r>
          </w:p>
        </w:tc>
        <w:tc>
          <w:tcPr>
            <w:tcW w:w="2173" w:type="pct"/>
            <w:vAlign w:val="center"/>
          </w:tcPr>
          <w:p>
            <w:pPr>
              <w:pStyle w:val="18"/>
              <w:bidi w:val="0"/>
              <w:ind w:firstLine="0" w:firstLineChars="0"/>
              <w:jc w:val="center"/>
            </w:pPr>
            <w:r>
              <w:t>次干道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161" w:type="pct"/>
            <w:gridSpan w:val="2"/>
            <w:vAlign w:val="center"/>
          </w:tcPr>
          <w:p>
            <w:pPr>
              <w:pStyle w:val="18"/>
              <w:bidi w:val="0"/>
              <w:jc w:val="center"/>
            </w:pPr>
            <w:r>
              <w:t>2</w:t>
            </w:r>
          </w:p>
        </w:tc>
        <w:tc>
          <w:tcPr>
            <w:tcW w:w="882" w:type="pct"/>
            <w:gridSpan w:val="2"/>
            <w:vAlign w:val="center"/>
          </w:tcPr>
          <w:p>
            <w:pPr>
              <w:pStyle w:val="18"/>
              <w:bidi w:val="0"/>
              <w:jc w:val="center"/>
            </w:pPr>
            <w:r>
              <w:t>占地面积</w:t>
            </w:r>
          </w:p>
        </w:tc>
        <w:tc>
          <w:tcPr>
            <w:tcW w:w="1782" w:type="pct"/>
            <w:vAlign w:val="center"/>
          </w:tcPr>
          <w:p>
            <w:pPr>
              <w:pStyle w:val="18"/>
              <w:bidi w:val="0"/>
              <w:jc w:val="center"/>
            </w:pPr>
            <w:r>
              <w:t>红线内占地面积3.87hm²</w:t>
            </w:r>
          </w:p>
        </w:tc>
        <w:tc>
          <w:tcPr>
            <w:tcW w:w="2173" w:type="pct"/>
            <w:vAlign w:val="center"/>
          </w:tcPr>
          <w:p>
            <w:pPr>
              <w:pStyle w:val="18"/>
              <w:bidi w:val="0"/>
              <w:ind w:firstLine="0" w:firstLineChars="0"/>
              <w:jc w:val="center"/>
            </w:pPr>
            <w:r>
              <w:t>红线内占地面积3.87hm²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161" w:type="pct"/>
            <w:gridSpan w:val="2"/>
            <w:vAlign w:val="center"/>
          </w:tcPr>
          <w:p>
            <w:pPr>
              <w:pStyle w:val="18"/>
              <w:bidi w:val="0"/>
              <w:jc w:val="center"/>
            </w:pPr>
            <w:r>
              <w:t>3</w:t>
            </w:r>
          </w:p>
        </w:tc>
        <w:tc>
          <w:tcPr>
            <w:tcW w:w="882" w:type="pct"/>
            <w:gridSpan w:val="2"/>
            <w:vAlign w:val="center"/>
          </w:tcPr>
          <w:p>
            <w:pPr>
              <w:pStyle w:val="18"/>
              <w:bidi w:val="0"/>
              <w:jc w:val="center"/>
            </w:pPr>
            <w:r>
              <w:t>道路长度</w:t>
            </w:r>
          </w:p>
        </w:tc>
        <w:tc>
          <w:tcPr>
            <w:tcW w:w="1782" w:type="pct"/>
            <w:vAlign w:val="center"/>
          </w:tcPr>
          <w:p>
            <w:pPr>
              <w:pStyle w:val="18"/>
              <w:bidi w:val="0"/>
              <w:jc w:val="center"/>
            </w:pPr>
            <w:r>
              <w:t>1248.78m</w:t>
            </w:r>
          </w:p>
        </w:tc>
        <w:tc>
          <w:tcPr>
            <w:tcW w:w="2173" w:type="pct"/>
            <w:vAlign w:val="center"/>
          </w:tcPr>
          <w:p>
            <w:pPr>
              <w:pStyle w:val="18"/>
              <w:bidi w:val="0"/>
              <w:ind w:firstLine="0" w:firstLineChars="0"/>
              <w:jc w:val="center"/>
            </w:pPr>
            <w:r>
              <w:t>1248.78m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61" w:type="pct"/>
            <w:gridSpan w:val="2"/>
            <w:vAlign w:val="center"/>
          </w:tcPr>
          <w:p>
            <w:pPr>
              <w:pStyle w:val="18"/>
              <w:bidi w:val="0"/>
              <w:jc w:val="center"/>
            </w:pPr>
            <w:r>
              <w:t>4</w:t>
            </w:r>
          </w:p>
        </w:tc>
        <w:tc>
          <w:tcPr>
            <w:tcW w:w="882" w:type="pct"/>
            <w:gridSpan w:val="2"/>
            <w:vAlign w:val="center"/>
          </w:tcPr>
          <w:p>
            <w:pPr>
              <w:pStyle w:val="18"/>
              <w:bidi w:val="0"/>
              <w:jc w:val="center"/>
            </w:pPr>
            <w:r>
              <w:t>红线宽度</w:t>
            </w:r>
          </w:p>
        </w:tc>
        <w:tc>
          <w:tcPr>
            <w:tcW w:w="1782" w:type="pct"/>
            <w:vAlign w:val="center"/>
          </w:tcPr>
          <w:p>
            <w:pPr>
              <w:pStyle w:val="18"/>
              <w:bidi w:val="0"/>
              <w:jc w:val="center"/>
            </w:pPr>
            <w:r>
              <w:t>31m</w:t>
            </w:r>
          </w:p>
        </w:tc>
        <w:tc>
          <w:tcPr>
            <w:tcW w:w="2173" w:type="pct"/>
            <w:vAlign w:val="center"/>
          </w:tcPr>
          <w:p>
            <w:pPr>
              <w:pStyle w:val="18"/>
              <w:bidi w:val="0"/>
              <w:ind w:firstLine="0" w:firstLineChars="0"/>
              <w:jc w:val="center"/>
            </w:pPr>
            <w:r>
              <w:t>31m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61" w:type="pct"/>
            <w:gridSpan w:val="2"/>
            <w:vAlign w:val="center"/>
          </w:tcPr>
          <w:p>
            <w:pPr>
              <w:pStyle w:val="18"/>
              <w:bidi w:val="0"/>
              <w:jc w:val="center"/>
            </w:pPr>
            <w:r>
              <w:t>5</w:t>
            </w:r>
          </w:p>
        </w:tc>
        <w:tc>
          <w:tcPr>
            <w:tcW w:w="882" w:type="pct"/>
            <w:gridSpan w:val="2"/>
            <w:vAlign w:val="center"/>
          </w:tcPr>
          <w:p>
            <w:pPr>
              <w:pStyle w:val="18"/>
              <w:bidi w:val="0"/>
              <w:jc w:val="center"/>
            </w:pPr>
            <w:r>
              <w:t>横断面设计</w:t>
            </w:r>
          </w:p>
        </w:tc>
        <w:tc>
          <w:tcPr>
            <w:tcW w:w="1782" w:type="pct"/>
            <w:vAlign w:val="center"/>
          </w:tcPr>
          <w:p>
            <w:pPr>
              <w:pStyle w:val="18"/>
              <w:bidi w:val="0"/>
              <w:jc w:val="center"/>
            </w:pPr>
            <w:r>
              <w:t>8.0m(绿化带)+16m(机动车道)+3.0m(人行道)+4.0m(绿化带)=31m</w:t>
            </w:r>
          </w:p>
        </w:tc>
        <w:tc>
          <w:tcPr>
            <w:tcW w:w="2173" w:type="pct"/>
            <w:vAlign w:val="center"/>
          </w:tcPr>
          <w:p>
            <w:pPr>
              <w:pStyle w:val="18"/>
              <w:bidi w:val="0"/>
              <w:ind w:firstLine="0" w:firstLineChars="0"/>
              <w:jc w:val="center"/>
            </w:pPr>
            <w:r>
              <w:t>8.0m(绿化带)+16m(机动车道)+3.0m(人行道)+4.0m(绿化带)=31m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61" w:type="pct"/>
            <w:gridSpan w:val="2"/>
            <w:vAlign w:val="center"/>
          </w:tcPr>
          <w:p>
            <w:pPr>
              <w:pStyle w:val="18"/>
              <w:bidi w:val="0"/>
              <w:jc w:val="center"/>
            </w:pPr>
            <w:r>
              <w:t>6</w:t>
            </w:r>
          </w:p>
        </w:tc>
        <w:tc>
          <w:tcPr>
            <w:tcW w:w="882" w:type="pct"/>
            <w:gridSpan w:val="2"/>
            <w:vAlign w:val="center"/>
          </w:tcPr>
          <w:p>
            <w:pPr>
              <w:pStyle w:val="18"/>
              <w:bidi w:val="0"/>
              <w:jc w:val="center"/>
            </w:pPr>
            <w:r>
              <w:t>路面类型</w:t>
            </w:r>
          </w:p>
        </w:tc>
        <w:tc>
          <w:tcPr>
            <w:tcW w:w="1782" w:type="pct"/>
            <w:vAlign w:val="center"/>
          </w:tcPr>
          <w:p>
            <w:pPr>
              <w:pStyle w:val="18"/>
              <w:bidi w:val="0"/>
              <w:jc w:val="center"/>
            </w:pPr>
            <w:r>
              <w:t>沥青混凝土路面结构</w:t>
            </w:r>
          </w:p>
        </w:tc>
        <w:tc>
          <w:tcPr>
            <w:tcW w:w="2173" w:type="pct"/>
            <w:vAlign w:val="center"/>
          </w:tcPr>
          <w:p>
            <w:pPr>
              <w:pStyle w:val="18"/>
              <w:bidi w:val="0"/>
              <w:ind w:firstLine="0" w:firstLineChars="0"/>
              <w:jc w:val="center"/>
            </w:pPr>
            <w:r>
              <w:t>沥青混凝土路面结构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7</w:t>
            </w:r>
          </w:p>
        </w:tc>
        <w:tc>
          <w:tcPr>
            <w:tcW w:w="882" w:type="pct"/>
            <w:gridSpan w:val="2"/>
            <w:vAlign w:val="center"/>
          </w:tcPr>
          <w:p>
            <w:pPr>
              <w:pStyle w:val="18"/>
              <w:bidi w:val="0"/>
              <w:jc w:val="center"/>
            </w:pPr>
            <w:r>
              <w:t>设计车速</w:t>
            </w:r>
          </w:p>
        </w:tc>
        <w:tc>
          <w:tcPr>
            <w:tcW w:w="1782" w:type="pct"/>
            <w:vAlign w:val="center"/>
          </w:tcPr>
          <w:p>
            <w:pPr>
              <w:pStyle w:val="18"/>
              <w:bidi w:val="0"/>
              <w:jc w:val="center"/>
            </w:pPr>
            <w:r>
              <w:t>40km/h</w:t>
            </w:r>
          </w:p>
        </w:tc>
        <w:tc>
          <w:tcPr>
            <w:tcW w:w="2173" w:type="pct"/>
            <w:vAlign w:val="center"/>
          </w:tcPr>
          <w:p>
            <w:pPr>
              <w:pStyle w:val="18"/>
              <w:bidi w:val="0"/>
              <w:ind w:firstLine="0" w:firstLineChars="0"/>
              <w:jc w:val="center"/>
            </w:pPr>
            <w:r>
              <w:t>40km/h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61" w:type="pct"/>
            <w:gridSpan w:val="2"/>
            <w:vAlign w:val="center"/>
          </w:tcPr>
          <w:p>
            <w:pPr>
              <w:pStyle w:val="18"/>
              <w:bidi w:val="0"/>
              <w:jc w:val="center"/>
            </w:pPr>
            <w:r>
              <w:t>8</w:t>
            </w:r>
          </w:p>
        </w:tc>
        <w:tc>
          <w:tcPr>
            <w:tcW w:w="882" w:type="pct"/>
            <w:gridSpan w:val="2"/>
            <w:vAlign w:val="center"/>
          </w:tcPr>
          <w:p>
            <w:pPr>
              <w:pStyle w:val="18"/>
              <w:bidi w:val="0"/>
              <w:jc w:val="center"/>
            </w:pPr>
            <w:r>
              <w:t>设计年限</w:t>
            </w:r>
          </w:p>
        </w:tc>
        <w:tc>
          <w:tcPr>
            <w:tcW w:w="1782" w:type="pct"/>
            <w:vAlign w:val="center"/>
          </w:tcPr>
          <w:p>
            <w:pPr>
              <w:pStyle w:val="18"/>
              <w:bidi w:val="0"/>
              <w:jc w:val="center"/>
            </w:pPr>
            <w:r>
              <w:t>10年</w:t>
            </w:r>
          </w:p>
        </w:tc>
        <w:tc>
          <w:tcPr>
            <w:tcW w:w="2173" w:type="pct"/>
            <w:vAlign w:val="center"/>
          </w:tcPr>
          <w:p>
            <w:pPr>
              <w:pStyle w:val="18"/>
              <w:bidi w:val="0"/>
              <w:ind w:firstLine="0" w:firstLineChars="0"/>
              <w:jc w:val="center"/>
            </w:pPr>
            <w:r>
              <w:t>10年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1" w:type="pct"/>
            <w:gridSpan w:val="2"/>
            <w:vAlign w:val="center"/>
          </w:tcPr>
          <w:p>
            <w:pPr>
              <w:pStyle w:val="18"/>
              <w:bidi w:val="0"/>
              <w:jc w:val="center"/>
            </w:pPr>
            <w:r>
              <w:t>9</w:t>
            </w:r>
          </w:p>
        </w:tc>
        <w:tc>
          <w:tcPr>
            <w:tcW w:w="882" w:type="pct"/>
            <w:gridSpan w:val="2"/>
            <w:vAlign w:val="center"/>
          </w:tcPr>
          <w:p>
            <w:pPr>
              <w:pStyle w:val="18"/>
              <w:bidi w:val="0"/>
              <w:jc w:val="center"/>
            </w:pPr>
            <w:r>
              <w:t>地震烈度</w:t>
            </w:r>
          </w:p>
        </w:tc>
        <w:tc>
          <w:tcPr>
            <w:tcW w:w="1782" w:type="pct"/>
            <w:vAlign w:val="center"/>
          </w:tcPr>
          <w:p>
            <w:pPr>
              <w:pStyle w:val="18"/>
              <w:bidi w:val="0"/>
              <w:jc w:val="center"/>
            </w:pPr>
            <w:r>
              <w:t>8度</w:t>
            </w:r>
          </w:p>
        </w:tc>
        <w:tc>
          <w:tcPr>
            <w:tcW w:w="2173" w:type="pct"/>
            <w:vAlign w:val="center"/>
          </w:tcPr>
          <w:p>
            <w:pPr>
              <w:pStyle w:val="18"/>
              <w:bidi w:val="0"/>
              <w:ind w:firstLine="0" w:firstLineChars="0"/>
              <w:jc w:val="center"/>
            </w:pPr>
            <w:r>
              <w:t>8度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161" w:type="pct"/>
            <w:gridSpan w:val="2"/>
            <w:vAlign w:val="center"/>
          </w:tcPr>
          <w:p>
            <w:pPr>
              <w:pStyle w:val="18"/>
              <w:bidi w:val="0"/>
              <w:jc w:val="center"/>
            </w:pPr>
            <w:r>
              <w:t>10</w:t>
            </w:r>
          </w:p>
        </w:tc>
        <w:tc>
          <w:tcPr>
            <w:tcW w:w="882" w:type="pct"/>
            <w:gridSpan w:val="2"/>
            <w:vAlign w:val="center"/>
          </w:tcPr>
          <w:p>
            <w:pPr>
              <w:pStyle w:val="18"/>
              <w:bidi w:val="0"/>
              <w:jc w:val="center"/>
            </w:pPr>
            <w:r>
              <w:t>最大纵坡</w:t>
            </w:r>
          </w:p>
        </w:tc>
        <w:tc>
          <w:tcPr>
            <w:tcW w:w="1782" w:type="pct"/>
            <w:vAlign w:val="center"/>
          </w:tcPr>
          <w:p>
            <w:pPr>
              <w:pStyle w:val="18"/>
              <w:bidi w:val="0"/>
              <w:jc w:val="center"/>
            </w:pPr>
            <w:r>
              <w:t>3.36%</w:t>
            </w:r>
          </w:p>
        </w:tc>
        <w:tc>
          <w:tcPr>
            <w:tcW w:w="2173" w:type="pct"/>
            <w:vAlign w:val="center"/>
          </w:tcPr>
          <w:p>
            <w:pPr>
              <w:pStyle w:val="18"/>
              <w:bidi w:val="0"/>
              <w:ind w:firstLine="0" w:firstLineChars="0"/>
              <w:jc w:val="center"/>
            </w:pPr>
            <w:r>
              <w:t>3.36%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11</w:t>
            </w:r>
          </w:p>
        </w:tc>
        <w:tc>
          <w:tcPr>
            <w:tcW w:w="882" w:type="pct"/>
            <w:gridSpan w:val="2"/>
            <w:vAlign w:val="center"/>
          </w:tcPr>
          <w:p>
            <w:pPr>
              <w:pStyle w:val="18"/>
              <w:bidi w:val="0"/>
              <w:jc w:val="center"/>
            </w:pPr>
            <w:r>
              <w:t>最小纵坡</w:t>
            </w:r>
          </w:p>
        </w:tc>
        <w:tc>
          <w:tcPr>
            <w:tcW w:w="1782" w:type="pct"/>
            <w:vAlign w:val="center"/>
          </w:tcPr>
          <w:p>
            <w:pPr>
              <w:pStyle w:val="18"/>
              <w:bidi w:val="0"/>
              <w:jc w:val="center"/>
            </w:pPr>
            <w:r>
              <w:t>0.10%</w:t>
            </w:r>
          </w:p>
        </w:tc>
        <w:tc>
          <w:tcPr>
            <w:tcW w:w="2173" w:type="pct"/>
            <w:vAlign w:val="center"/>
          </w:tcPr>
          <w:p>
            <w:pPr>
              <w:pStyle w:val="18"/>
              <w:bidi w:val="0"/>
              <w:ind w:firstLine="0" w:firstLineChars="0"/>
              <w:jc w:val="center"/>
            </w:pPr>
            <w:r>
              <w:t>0.10%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61" w:type="pct"/>
            <w:gridSpan w:val="2"/>
            <w:vAlign w:val="center"/>
          </w:tcPr>
          <w:p>
            <w:pPr>
              <w:pStyle w:val="18"/>
              <w:bidi w:val="0"/>
              <w:jc w:val="center"/>
            </w:pPr>
            <w:r>
              <w:t>12</w:t>
            </w:r>
          </w:p>
        </w:tc>
        <w:tc>
          <w:tcPr>
            <w:tcW w:w="882" w:type="pct"/>
            <w:gridSpan w:val="2"/>
            <w:vAlign w:val="center"/>
          </w:tcPr>
          <w:p>
            <w:pPr>
              <w:pStyle w:val="18"/>
              <w:bidi w:val="0"/>
              <w:jc w:val="center"/>
            </w:pPr>
            <w:r>
              <w:t>荷载标准</w:t>
            </w:r>
          </w:p>
        </w:tc>
        <w:tc>
          <w:tcPr>
            <w:tcW w:w="1782" w:type="pct"/>
            <w:vAlign w:val="center"/>
          </w:tcPr>
          <w:p>
            <w:pPr>
              <w:pStyle w:val="18"/>
              <w:bidi w:val="0"/>
              <w:jc w:val="center"/>
            </w:pPr>
            <w:r>
              <w:t>BZZ-100型标准车</w:t>
            </w:r>
          </w:p>
        </w:tc>
        <w:tc>
          <w:tcPr>
            <w:tcW w:w="2173" w:type="pct"/>
            <w:vAlign w:val="center"/>
          </w:tcPr>
          <w:p>
            <w:pPr>
              <w:pStyle w:val="18"/>
              <w:bidi w:val="0"/>
              <w:ind w:firstLine="0" w:firstLineChars="0"/>
              <w:jc w:val="center"/>
            </w:pPr>
            <w:r>
              <w:t>BZZ-100型标准车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13</w:t>
            </w:r>
          </w:p>
        </w:tc>
        <w:tc>
          <w:tcPr>
            <w:tcW w:w="882" w:type="pct"/>
            <w:gridSpan w:val="2"/>
            <w:vAlign w:val="center"/>
          </w:tcPr>
          <w:p>
            <w:pPr>
              <w:pStyle w:val="18"/>
              <w:bidi w:val="0"/>
              <w:jc w:val="center"/>
            </w:pPr>
            <w:r>
              <w:t>绿化面积</w:t>
            </w:r>
          </w:p>
        </w:tc>
        <w:tc>
          <w:tcPr>
            <w:tcW w:w="1782" w:type="pct"/>
            <w:vAlign w:val="center"/>
          </w:tcPr>
          <w:p>
            <w:pPr>
              <w:pStyle w:val="18"/>
              <w:bidi w:val="0"/>
              <w:jc w:val="center"/>
            </w:pPr>
            <w:r>
              <w:t>1.50hm³</w:t>
            </w:r>
            <w:r>
              <w:rPr>
                <w:rFonts w:hint="eastAsia"/>
                <w:lang w:eastAsia="zh-CN"/>
              </w:rPr>
              <w:t>，</w:t>
            </w:r>
            <w:r>
              <w:t>绿化率38.7%</w:t>
            </w:r>
          </w:p>
        </w:tc>
        <w:tc>
          <w:tcPr>
            <w:tcW w:w="2173" w:type="pct"/>
            <w:vAlign w:val="center"/>
          </w:tcPr>
          <w:p>
            <w:pPr>
              <w:pStyle w:val="18"/>
              <w:bidi w:val="0"/>
              <w:ind w:firstLine="0" w:firstLineChars="0"/>
              <w:jc w:val="center"/>
            </w:pPr>
            <w:r>
              <w:t>1.50hm³</w:t>
            </w:r>
            <w:r>
              <w:rPr>
                <w:rFonts w:hint="eastAsia"/>
                <w:lang w:eastAsia="zh-CN"/>
              </w:rPr>
              <w:t>，</w:t>
            </w:r>
            <w:r>
              <w:t>绿化率38.7%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14</w:t>
            </w:r>
          </w:p>
        </w:tc>
        <w:tc>
          <w:tcPr>
            <w:tcW w:w="882" w:type="pct"/>
            <w:gridSpan w:val="2"/>
            <w:vAlign w:val="center"/>
          </w:tcPr>
          <w:p>
            <w:pPr>
              <w:pStyle w:val="18"/>
              <w:bidi w:val="0"/>
              <w:jc w:val="center"/>
            </w:pPr>
            <w:r>
              <w:t>投资估算</w:t>
            </w:r>
          </w:p>
        </w:tc>
        <w:tc>
          <w:tcPr>
            <w:tcW w:w="1782" w:type="pct"/>
            <w:vAlign w:val="center"/>
          </w:tcPr>
          <w:p>
            <w:pPr>
              <w:pStyle w:val="18"/>
              <w:bidi w:val="0"/>
              <w:jc w:val="center"/>
            </w:pPr>
            <w:r>
              <w:t>7300万元</w:t>
            </w:r>
          </w:p>
        </w:tc>
        <w:tc>
          <w:tcPr>
            <w:tcW w:w="2173" w:type="pct"/>
            <w:vAlign w:val="center"/>
          </w:tcPr>
          <w:p>
            <w:pPr>
              <w:pStyle w:val="18"/>
              <w:bidi w:val="0"/>
              <w:ind w:firstLine="0" w:firstLineChars="0"/>
              <w:jc w:val="center"/>
            </w:pPr>
            <w:r>
              <w:t>7300万元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2826" w:type="pct"/>
            <w:gridSpan w:val="5"/>
            <w:vAlign w:val="center"/>
          </w:tcPr>
          <w:p>
            <w:pPr>
              <w:pStyle w:val="18"/>
              <w:bidi w:val="0"/>
              <w:jc w:val="center"/>
              <w:rPr>
                <w:color w:val="auto"/>
              </w:rPr>
            </w:pPr>
            <w:r>
              <w:rPr>
                <w:color w:val="auto"/>
              </w:rPr>
              <w:t>二、改建道路工程</w:t>
            </w:r>
          </w:p>
        </w:tc>
        <w:tc>
          <w:tcPr>
            <w:tcW w:w="2173" w:type="pct"/>
            <w:vAlign w:val="center"/>
          </w:tcPr>
          <w:p>
            <w:pPr>
              <w:pStyle w:val="18"/>
              <w:bidi w:val="0"/>
              <w:jc w:val="center"/>
            </w:pPr>
            <w:r>
              <w:t>二、改建道路工程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2826" w:type="pct"/>
            <w:gridSpan w:val="5"/>
            <w:vAlign w:val="center"/>
          </w:tcPr>
          <w:p>
            <w:pPr>
              <w:pStyle w:val="18"/>
              <w:bidi w:val="0"/>
              <w:jc w:val="center"/>
              <w:rPr>
                <w:color w:val="auto"/>
              </w:rPr>
            </w:pPr>
            <w:r>
              <w:rPr>
                <w:color w:val="auto"/>
              </w:rPr>
              <w:t>(一)东外环路</w:t>
            </w:r>
          </w:p>
        </w:tc>
        <w:tc>
          <w:tcPr>
            <w:tcW w:w="2173" w:type="pct"/>
            <w:vAlign w:val="center"/>
          </w:tcPr>
          <w:p>
            <w:pPr>
              <w:pStyle w:val="18"/>
              <w:bidi w:val="0"/>
              <w:jc w:val="center"/>
            </w:pPr>
            <w:r>
              <w:t>(一)东外环路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1</w:t>
            </w:r>
          </w:p>
        </w:tc>
        <w:tc>
          <w:tcPr>
            <w:tcW w:w="882" w:type="pct"/>
            <w:gridSpan w:val="2"/>
            <w:vAlign w:val="center"/>
          </w:tcPr>
          <w:p>
            <w:pPr>
              <w:pStyle w:val="18"/>
              <w:bidi w:val="0"/>
              <w:jc w:val="center"/>
            </w:pPr>
            <w:r>
              <w:t>道路等级</w:t>
            </w:r>
          </w:p>
        </w:tc>
        <w:tc>
          <w:tcPr>
            <w:tcW w:w="1782" w:type="pct"/>
            <w:vAlign w:val="center"/>
          </w:tcPr>
          <w:p>
            <w:pPr>
              <w:pStyle w:val="18"/>
              <w:bidi w:val="0"/>
              <w:jc w:val="center"/>
            </w:pPr>
            <w:r>
              <w:t>主干道</w:t>
            </w:r>
          </w:p>
        </w:tc>
        <w:tc>
          <w:tcPr>
            <w:tcW w:w="2173" w:type="pct"/>
            <w:vAlign w:val="center"/>
          </w:tcPr>
          <w:p>
            <w:pPr>
              <w:pStyle w:val="18"/>
              <w:bidi w:val="0"/>
              <w:ind w:firstLine="0" w:firstLineChars="0"/>
              <w:jc w:val="center"/>
            </w:pPr>
            <w:r>
              <w:t>主干道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2</w:t>
            </w:r>
          </w:p>
        </w:tc>
        <w:tc>
          <w:tcPr>
            <w:tcW w:w="882" w:type="pct"/>
            <w:gridSpan w:val="2"/>
            <w:vAlign w:val="center"/>
          </w:tcPr>
          <w:p>
            <w:pPr>
              <w:pStyle w:val="18"/>
              <w:bidi w:val="0"/>
              <w:jc w:val="center"/>
            </w:pPr>
            <w:r>
              <w:t>占地面积</w:t>
            </w:r>
          </w:p>
        </w:tc>
        <w:tc>
          <w:tcPr>
            <w:tcW w:w="1782" w:type="pct"/>
            <w:vAlign w:val="center"/>
          </w:tcPr>
          <w:p>
            <w:pPr>
              <w:pStyle w:val="18"/>
              <w:bidi w:val="0"/>
              <w:jc w:val="center"/>
            </w:pPr>
            <w:r>
              <w:t>红线内占地总面积约为27.21hm²</w:t>
            </w:r>
            <w:r>
              <w:rPr>
                <w:rFonts w:hint="eastAsia"/>
                <w:lang w:eastAsia="zh-CN"/>
              </w:rPr>
              <w:t>，</w:t>
            </w:r>
            <w:r>
              <w:t>其中新增占地面积24.48hm²</w:t>
            </w:r>
          </w:p>
        </w:tc>
        <w:tc>
          <w:tcPr>
            <w:tcW w:w="2173" w:type="pct"/>
            <w:vAlign w:val="center"/>
          </w:tcPr>
          <w:p>
            <w:pPr>
              <w:pStyle w:val="18"/>
              <w:bidi w:val="0"/>
              <w:ind w:firstLine="0" w:firstLineChars="0"/>
              <w:jc w:val="center"/>
            </w:pPr>
            <w:r>
              <w:t>红线内占地总面积约为27.21hm²</w:t>
            </w:r>
            <w:r>
              <w:rPr>
                <w:rFonts w:hint="eastAsia"/>
                <w:lang w:eastAsia="zh-CN"/>
              </w:rPr>
              <w:t>，</w:t>
            </w:r>
            <w:r>
              <w:t>其中新增占地面积24.48hm²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61" w:type="pct"/>
            <w:gridSpan w:val="2"/>
            <w:vAlign w:val="center"/>
          </w:tcPr>
          <w:p>
            <w:pPr>
              <w:pStyle w:val="18"/>
              <w:bidi w:val="0"/>
              <w:jc w:val="center"/>
            </w:pPr>
            <w:r>
              <w:t>3</w:t>
            </w:r>
          </w:p>
        </w:tc>
        <w:tc>
          <w:tcPr>
            <w:tcW w:w="882" w:type="pct"/>
            <w:gridSpan w:val="2"/>
            <w:vAlign w:val="center"/>
          </w:tcPr>
          <w:p>
            <w:pPr>
              <w:pStyle w:val="18"/>
              <w:bidi w:val="0"/>
              <w:jc w:val="center"/>
            </w:pPr>
            <w:r>
              <w:t>道路长度</w:t>
            </w:r>
          </w:p>
        </w:tc>
        <w:tc>
          <w:tcPr>
            <w:tcW w:w="1782" w:type="pct"/>
            <w:vAlign w:val="center"/>
          </w:tcPr>
          <w:p>
            <w:pPr>
              <w:pStyle w:val="18"/>
              <w:bidi w:val="0"/>
              <w:jc w:val="center"/>
            </w:pPr>
            <w:r>
              <w:t>2720.509m</w:t>
            </w:r>
          </w:p>
        </w:tc>
        <w:tc>
          <w:tcPr>
            <w:tcW w:w="2173" w:type="pct"/>
            <w:vAlign w:val="center"/>
          </w:tcPr>
          <w:p>
            <w:pPr>
              <w:pStyle w:val="18"/>
              <w:bidi w:val="0"/>
              <w:ind w:firstLine="0" w:firstLineChars="0"/>
              <w:jc w:val="center"/>
            </w:pPr>
            <w:r>
              <w:t>2720.509m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trPr>
        <w:tc>
          <w:tcPr>
            <w:tcW w:w="161" w:type="pct"/>
            <w:gridSpan w:val="2"/>
            <w:vAlign w:val="center"/>
          </w:tcPr>
          <w:p>
            <w:pPr>
              <w:pStyle w:val="18"/>
              <w:bidi w:val="0"/>
              <w:jc w:val="center"/>
            </w:pPr>
            <w:r>
              <w:t>4</w:t>
            </w:r>
          </w:p>
        </w:tc>
        <w:tc>
          <w:tcPr>
            <w:tcW w:w="882" w:type="pct"/>
            <w:gridSpan w:val="2"/>
            <w:vAlign w:val="center"/>
          </w:tcPr>
          <w:p>
            <w:pPr>
              <w:pStyle w:val="18"/>
              <w:bidi w:val="0"/>
              <w:jc w:val="center"/>
            </w:pPr>
            <w:r>
              <w:t>红线宽度</w:t>
            </w:r>
          </w:p>
        </w:tc>
        <w:tc>
          <w:tcPr>
            <w:tcW w:w="1782" w:type="pct"/>
            <w:vAlign w:val="center"/>
          </w:tcPr>
          <w:p>
            <w:pPr>
              <w:pStyle w:val="18"/>
              <w:bidi w:val="0"/>
              <w:jc w:val="center"/>
            </w:pPr>
            <w:r>
              <w:t>100m</w:t>
            </w:r>
          </w:p>
        </w:tc>
        <w:tc>
          <w:tcPr>
            <w:tcW w:w="2173" w:type="pct"/>
            <w:vAlign w:val="center"/>
          </w:tcPr>
          <w:p>
            <w:pPr>
              <w:pStyle w:val="18"/>
              <w:bidi w:val="0"/>
              <w:ind w:firstLine="0" w:firstLineChars="0"/>
              <w:jc w:val="center"/>
            </w:pPr>
            <w:r>
              <w:t>100m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9" w:hRule="atLeast"/>
        </w:trPr>
        <w:tc>
          <w:tcPr>
            <w:tcW w:w="161" w:type="pct"/>
            <w:gridSpan w:val="2"/>
            <w:vAlign w:val="center"/>
          </w:tcPr>
          <w:p>
            <w:pPr>
              <w:pStyle w:val="18"/>
              <w:bidi w:val="0"/>
              <w:jc w:val="center"/>
            </w:pPr>
            <w:r>
              <w:t>5</w:t>
            </w:r>
          </w:p>
        </w:tc>
        <w:tc>
          <w:tcPr>
            <w:tcW w:w="882" w:type="pct"/>
            <w:gridSpan w:val="2"/>
            <w:vAlign w:val="center"/>
          </w:tcPr>
          <w:p>
            <w:pPr>
              <w:pStyle w:val="18"/>
              <w:bidi w:val="0"/>
              <w:jc w:val="center"/>
            </w:pPr>
            <w:r>
              <w:t>横断面设计</w:t>
            </w:r>
          </w:p>
        </w:tc>
        <w:tc>
          <w:tcPr>
            <w:tcW w:w="1782" w:type="pct"/>
            <w:vAlign w:val="center"/>
          </w:tcPr>
          <w:p>
            <w:pPr>
              <w:pStyle w:val="18"/>
              <w:bidi w:val="0"/>
              <w:jc w:val="center"/>
            </w:pPr>
            <w:r>
              <w:t>32.0m(绿化带)+6.0m(非机动车道)+8.0m(绿化带)+10.0m(机动车道)+6.0m(绿化带)+6.0m(非机动车道)+32.0m(绿化带)=100m</w:t>
            </w:r>
          </w:p>
        </w:tc>
        <w:tc>
          <w:tcPr>
            <w:tcW w:w="2173" w:type="pct"/>
            <w:vAlign w:val="center"/>
          </w:tcPr>
          <w:p>
            <w:pPr>
              <w:pStyle w:val="18"/>
              <w:bidi w:val="0"/>
              <w:ind w:firstLine="0" w:firstLineChars="0"/>
              <w:jc w:val="center"/>
            </w:pPr>
            <w:r>
              <w:t>32.0m(绿化带)+6.0m(非机动车道)+8.0m(绿化带)+10.0m(机动车道)+6.0m(绿化带)+6.0m(非机动车道)+32.0m(绿化带)=100m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trPr>
        <w:tc>
          <w:tcPr>
            <w:tcW w:w="161" w:type="pct"/>
            <w:gridSpan w:val="2"/>
            <w:vAlign w:val="center"/>
          </w:tcPr>
          <w:p>
            <w:pPr>
              <w:pStyle w:val="18"/>
              <w:bidi w:val="0"/>
              <w:jc w:val="center"/>
            </w:pPr>
            <w:r>
              <w:t>6</w:t>
            </w:r>
          </w:p>
        </w:tc>
        <w:tc>
          <w:tcPr>
            <w:tcW w:w="882" w:type="pct"/>
            <w:gridSpan w:val="2"/>
            <w:vAlign w:val="center"/>
          </w:tcPr>
          <w:p>
            <w:pPr>
              <w:pStyle w:val="18"/>
              <w:bidi w:val="0"/>
              <w:jc w:val="center"/>
            </w:pPr>
            <w:r>
              <w:t>路面类型</w:t>
            </w:r>
          </w:p>
        </w:tc>
        <w:tc>
          <w:tcPr>
            <w:tcW w:w="1782" w:type="pct"/>
            <w:vAlign w:val="center"/>
          </w:tcPr>
          <w:p>
            <w:pPr>
              <w:pStyle w:val="18"/>
              <w:bidi w:val="0"/>
              <w:jc w:val="center"/>
            </w:pPr>
            <w:r>
              <w:t>沥青混凝土路面结构</w:t>
            </w:r>
          </w:p>
        </w:tc>
        <w:tc>
          <w:tcPr>
            <w:tcW w:w="2173" w:type="pct"/>
            <w:vAlign w:val="center"/>
          </w:tcPr>
          <w:p>
            <w:pPr>
              <w:pStyle w:val="18"/>
              <w:bidi w:val="0"/>
              <w:ind w:firstLine="0" w:firstLineChars="0"/>
              <w:jc w:val="center"/>
            </w:pPr>
            <w:r>
              <w:t>沥青混凝土路面结构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161" w:type="pct"/>
            <w:gridSpan w:val="2"/>
            <w:vAlign w:val="center"/>
          </w:tcPr>
          <w:p>
            <w:pPr>
              <w:pStyle w:val="18"/>
              <w:bidi w:val="0"/>
              <w:jc w:val="center"/>
            </w:pPr>
            <w:r>
              <w:t>7</w:t>
            </w:r>
          </w:p>
        </w:tc>
        <w:tc>
          <w:tcPr>
            <w:tcW w:w="882" w:type="pct"/>
            <w:gridSpan w:val="2"/>
            <w:vAlign w:val="center"/>
          </w:tcPr>
          <w:p>
            <w:pPr>
              <w:pStyle w:val="18"/>
              <w:bidi w:val="0"/>
              <w:jc w:val="center"/>
            </w:pPr>
            <w:r>
              <w:t>设计车速</w:t>
            </w:r>
          </w:p>
        </w:tc>
        <w:tc>
          <w:tcPr>
            <w:tcW w:w="1782" w:type="pct"/>
            <w:vAlign w:val="center"/>
          </w:tcPr>
          <w:p>
            <w:pPr>
              <w:pStyle w:val="18"/>
              <w:bidi w:val="0"/>
              <w:jc w:val="center"/>
            </w:pPr>
            <w:r>
              <w:t>40km/h</w:t>
            </w:r>
          </w:p>
        </w:tc>
        <w:tc>
          <w:tcPr>
            <w:tcW w:w="2173" w:type="pct"/>
            <w:vAlign w:val="center"/>
          </w:tcPr>
          <w:p>
            <w:pPr>
              <w:pStyle w:val="18"/>
              <w:bidi w:val="0"/>
              <w:ind w:firstLine="0" w:firstLineChars="0"/>
              <w:jc w:val="center"/>
            </w:pPr>
            <w:r>
              <w:t>40km/h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1" w:type="pct"/>
            <w:gridSpan w:val="2"/>
            <w:vAlign w:val="center"/>
          </w:tcPr>
          <w:p>
            <w:pPr>
              <w:pStyle w:val="18"/>
              <w:bidi w:val="0"/>
              <w:jc w:val="center"/>
            </w:pPr>
            <w:r>
              <w:t>8</w:t>
            </w:r>
          </w:p>
        </w:tc>
        <w:tc>
          <w:tcPr>
            <w:tcW w:w="882" w:type="pct"/>
            <w:gridSpan w:val="2"/>
            <w:vAlign w:val="center"/>
          </w:tcPr>
          <w:p>
            <w:pPr>
              <w:pStyle w:val="18"/>
              <w:bidi w:val="0"/>
              <w:jc w:val="center"/>
            </w:pPr>
            <w:r>
              <w:t>设计年限</w:t>
            </w:r>
          </w:p>
        </w:tc>
        <w:tc>
          <w:tcPr>
            <w:tcW w:w="1782" w:type="pct"/>
            <w:vAlign w:val="center"/>
          </w:tcPr>
          <w:p>
            <w:pPr>
              <w:pStyle w:val="18"/>
              <w:bidi w:val="0"/>
              <w:jc w:val="center"/>
            </w:pPr>
            <w:r>
              <w:t>15年</w:t>
            </w:r>
          </w:p>
        </w:tc>
        <w:tc>
          <w:tcPr>
            <w:tcW w:w="2173" w:type="pct"/>
            <w:vAlign w:val="center"/>
          </w:tcPr>
          <w:p>
            <w:pPr>
              <w:pStyle w:val="18"/>
              <w:bidi w:val="0"/>
              <w:ind w:firstLine="0" w:firstLineChars="0"/>
              <w:jc w:val="center"/>
            </w:pPr>
            <w:r>
              <w:t>15年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161" w:type="pct"/>
            <w:gridSpan w:val="2"/>
            <w:vAlign w:val="center"/>
          </w:tcPr>
          <w:p>
            <w:pPr>
              <w:pStyle w:val="18"/>
              <w:bidi w:val="0"/>
              <w:jc w:val="center"/>
            </w:pPr>
            <w:r>
              <w:t>9</w:t>
            </w:r>
          </w:p>
        </w:tc>
        <w:tc>
          <w:tcPr>
            <w:tcW w:w="882" w:type="pct"/>
            <w:gridSpan w:val="2"/>
            <w:vAlign w:val="center"/>
          </w:tcPr>
          <w:p>
            <w:pPr>
              <w:pStyle w:val="18"/>
              <w:bidi w:val="0"/>
              <w:jc w:val="center"/>
            </w:pPr>
            <w:r>
              <w:t>地震烈度</w:t>
            </w:r>
          </w:p>
        </w:tc>
        <w:tc>
          <w:tcPr>
            <w:tcW w:w="1782" w:type="pct"/>
            <w:vAlign w:val="center"/>
          </w:tcPr>
          <w:p>
            <w:pPr>
              <w:pStyle w:val="18"/>
              <w:bidi w:val="0"/>
              <w:jc w:val="center"/>
            </w:pPr>
            <w:r>
              <w:t>8度</w:t>
            </w:r>
          </w:p>
        </w:tc>
        <w:tc>
          <w:tcPr>
            <w:tcW w:w="2173" w:type="pct"/>
            <w:vAlign w:val="center"/>
          </w:tcPr>
          <w:p>
            <w:pPr>
              <w:pStyle w:val="18"/>
              <w:bidi w:val="0"/>
              <w:ind w:firstLine="0" w:firstLineChars="0"/>
              <w:jc w:val="center"/>
            </w:pPr>
            <w:r>
              <w:t>8度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161" w:type="pct"/>
            <w:gridSpan w:val="2"/>
            <w:vAlign w:val="center"/>
          </w:tcPr>
          <w:p>
            <w:pPr>
              <w:pStyle w:val="18"/>
              <w:bidi w:val="0"/>
              <w:jc w:val="center"/>
            </w:pPr>
            <w:r>
              <w:t>10</w:t>
            </w:r>
          </w:p>
        </w:tc>
        <w:tc>
          <w:tcPr>
            <w:tcW w:w="882" w:type="pct"/>
            <w:gridSpan w:val="2"/>
            <w:vAlign w:val="center"/>
          </w:tcPr>
          <w:p>
            <w:pPr>
              <w:pStyle w:val="18"/>
              <w:bidi w:val="0"/>
              <w:jc w:val="center"/>
            </w:pPr>
            <w:r>
              <w:t>最大纵坡</w:t>
            </w:r>
          </w:p>
        </w:tc>
        <w:tc>
          <w:tcPr>
            <w:tcW w:w="1782" w:type="pct"/>
            <w:vAlign w:val="center"/>
          </w:tcPr>
          <w:p>
            <w:pPr>
              <w:pStyle w:val="18"/>
              <w:bidi w:val="0"/>
              <w:jc w:val="center"/>
            </w:pPr>
            <w:r>
              <w:t>2.49%</w:t>
            </w:r>
          </w:p>
        </w:tc>
        <w:tc>
          <w:tcPr>
            <w:tcW w:w="2173" w:type="pct"/>
            <w:vAlign w:val="center"/>
          </w:tcPr>
          <w:p>
            <w:pPr>
              <w:pStyle w:val="18"/>
              <w:bidi w:val="0"/>
              <w:ind w:firstLine="0" w:firstLineChars="0"/>
              <w:jc w:val="center"/>
            </w:pPr>
            <w:r>
              <w:t>2.49%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11</w:t>
            </w:r>
          </w:p>
        </w:tc>
        <w:tc>
          <w:tcPr>
            <w:tcW w:w="882" w:type="pct"/>
            <w:gridSpan w:val="2"/>
            <w:vAlign w:val="center"/>
          </w:tcPr>
          <w:p>
            <w:pPr>
              <w:pStyle w:val="18"/>
              <w:bidi w:val="0"/>
              <w:jc w:val="center"/>
            </w:pPr>
            <w:r>
              <w:t>最小纵坡</w:t>
            </w:r>
          </w:p>
        </w:tc>
        <w:tc>
          <w:tcPr>
            <w:tcW w:w="1782" w:type="pct"/>
            <w:vAlign w:val="center"/>
          </w:tcPr>
          <w:p>
            <w:pPr>
              <w:pStyle w:val="18"/>
              <w:bidi w:val="0"/>
              <w:jc w:val="center"/>
            </w:pPr>
            <w:r>
              <w:t>2.152%</w:t>
            </w:r>
          </w:p>
        </w:tc>
        <w:tc>
          <w:tcPr>
            <w:tcW w:w="2173" w:type="pct"/>
            <w:vAlign w:val="center"/>
          </w:tcPr>
          <w:p>
            <w:pPr>
              <w:pStyle w:val="18"/>
              <w:bidi w:val="0"/>
              <w:ind w:firstLine="0" w:firstLineChars="0"/>
              <w:jc w:val="center"/>
            </w:pPr>
            <w:r>
              <w:t>2.152%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161" w:type="pct"/>
            <w:gridSpan w:val="2"/>
            <w:vAlign w:val="center"/>
          </w:tcPr>
          <w:p>
            <w:pPr>
              <w:pStyle w:val="18"/>
              <w:bidi w:val="0"/>
              <w:jc w:val="center"/>
            </w:pPr>
            <w:r>
              <w:t>12</w:t>
            </w:r>
          </w:p>
        </w:tc>
        <w:tc>
          <w:tcPr>
            <w:tcW w:w="882" w:type="pct"/>
            <w:gridSpan w:val="2"/>
            <w:vAlign w:val="center"/>
          </w:tcPr>
          <w:p>
            <w:pPr>
              <w:pStyle w:val="18"/>
              <w:bidi w:val="0"/>
              <w:jc w:val="center"/>
            </w:pPr>
            <w:r>
              <w:t>荷载标准</w:t>
            </w:r>
          </w:p>
        </w:tc>
        <w:tc>
          <w:tcPr>
            <w:tcW w:w="1782" w:type="pct"/>
            <w:vAlign w:val="center"/>
          </w:tcPr>
          <w:p>
            <w:pPr>
              <w:pStyle w:val="18"/>
              <w:bidi w:val="0"/>
              <w:jc w:val="center"/>
            </w:pPr>
            <w:r>
              <w:t>BZZ-100型标准车</w:t>
            </w:r>
          </w:p>
        </w:tc>
        <w:tc>
          <w:tcPr>
            <w:tcW w:w="2173" w:type="pct"/>
            <w:vAlign w:val="center"/>
          </w:tcPr>
          <w:p>
            <w:pPr>
              <w:pStyle w:val="18"/>
              <w:bidi w:val="0"/>
              <w:ind w:firstLine="0" w:firstLineChars="0"/>
              <w:jc w:val="center"/>
            </w:pPr>
            <w:r>
              <w:t>BZZ-100型标准车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61" w:type="pct"/>
            <w:gridSpan w:val="2"/>
            <w:vAlign w:val="center"/>
          </w:tcPr>
          <w:p>
            <w:pPr>
              <w:pStyle w:val="18"/>
              <w:bidi w:val="0"/>
              <w:jc w:val="center"/>
            </w:pPr>
            <w:r>
              <w:t>13</w:t>
            </w:r>
          </w:p>
        </w:tc>
        <w:tc>
          <w:tcPr>
            <w:tcW w:w="882" w:type="pct"/>
            <w:gridSpan w:val="2"/>
            <w:vAlign w:val="center"/>
          </w:tcPr>
          <w:p>
            <w:pPr>
              <w:pStyle w:val="18"/>
              <w:bidi w:val="0"/>
              <w:jc w:val="center"/>
            </w:pPr>
            <w:r>
              <w:t>绿化面积</w:t>
            </w:r>
          </w:p>
        </w:tc>
        <w:tc>
          <w:tcPr>
            <w:tcW w:w="1782" w:type="pct"/>
            <w:vAlign w:val="center"/>
          </w:tcPr>
          <w:p>
            <w:pPr>
              <w:pStyle w:val="18"/>
              <w:bidi w:val="0"/>
              <w:jc w:val="center"/>
            </w:pPr>
            <w:r>
              <w:t>21.76hm</w:t>
            </w:r>
            <w:r>
              <w:rPr>
                <w:rFonts w:hint="eastAsia"/>
                <w:vertAlign w:val="superscript"/>
                <w:lang w:val="en-US" w:eastAsia="zh-CN"/>
              </w:rPr>
              <w:t>2</w:t>
            </w:r>
            <w:r>
              <w:rPr>
                <w:rFonts w:hint="eastAsia"/>
                <w:lang w:eastAsia="zh-CN"/>
              </w:rPr>
              <w:t>，</w:t>
            </w:r>
            <w:r>
              <w:t>绿化率80.0%</w:t>
            </w:r>
          </w:p>
        </w:tc>
        <w:tc>
          <w:tcPr>
            <w:tcW w:w="2173" w:type="pct"/>
            <w:vAlign w:val="center"/>
          </w:tcPr>
          <w:p>
            <w:pPr>
              <w:pStyle w:val="18"/>
              <w:bidi w:val="0"/>
              <w:ind w:firstLine="0" w:firstLineChars="0"/>
              <w:jc w:val="center"/>
            </w:pPr>
            <w:r>
              <w:t>21.76hm</w:t>
            </w:r>
            <w:r>
              <w:rPr>
                <w:rFonts w:hint="eastAsia"/>
                <w:vertAlign w:val="superscript"/>
                <w:lang w:val="en-US" w:eastAsia="zh-CN"/>
              </w:rPr>
              <w:t>2</w:t>
            </w:r>
            <w:r>
              <w:rPr>
                <w:rFonts w:hint="eastAsia"/>
                <w:lang w:eastAsia="zh-CN"/>
              </w:rPr>
              <w:t>，</w:t>
            </w:r>
            <w:r>
              <w:t>绿化率80.0%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161" w:type="pct"/>
            <w:gridSpan w:val="2"/>
            <w:vAlign w:val="center"/>
          </w:tcPr>
          <w:p>
            <w:pPr>
              <w:pStyle w:val="18"/>
              <w:bidi w:val="0"/>
              <w:jc w:val="center"/>
            </w:pPr>
            <w:r>
              <w:t>14</w:t>
            </w:r>
          </w:p>
        </w:tc>
        <w:tc>
          <w:tcPr>
            <w:tcW w:w="882" w:type="pct"/>
            <w:gridSpan w:val="2"/>
            <w:vAlign w:val="center"/>
          </w:tcPr>
          <w:p>
            <w:pPr>
              <w:pStyle w:val="18"/>
              <w:bidi w:val="0"/>
              <w:jc w:val="center"/>
            </w:pPr>
            <w:r>
              <w:t>投资估算</w:t>
            </w:r>
          </w:p>
        </w:tc>
        <w:tc>
          <w:tcPr>
            <w:tcW w:w="1782" w:type="pct"/>
            <w:vAlign w:val="center"/>
          </w:tcPr>
          <w:p>
            <w:pPr>
              <w:pStyle w:val="18"/>
              <w:bidi w:val="0"/>
              <w:jc w:val="center"/>
            </w:pPr>
            <w:r>
              <w:t>2500万元</w:t>
            </w:r>
          </w:p>
        </w:tc>
        <w:tc>
          <w:tcPr>
            <w:tcW w:w="2173" w:type="pct"/>
            <w:vAlign w:val="center"/>
          </w:tcPr>
          <w:p>
            <w:pPr>
              <w:pStyle w:val="18"/>
              <w:bidi w:val="0"/>
              <w:ind w:firstLine="0" w:firstLineChars="0"/>
              <w:jc w:val="center"/>
            </w:pPr>
            <w:r>
              <w:t>2500万元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2826" w:type="pct"/>
            <w:gridSpan w:val="5"/>
            <w:vAlign w:val="center"/>
          </w:tcPr>
          <w:p>
            <w:pPr>
              <w:pStyle w:val="18"/>
              <w:bidi w:val="0"/>
              <w:jc w:val="center"/>
              <w:rPr>
                <w:color w:val="auto"/>
              </w:rPr>
            </w:pPr>
            <w:r>
              <w:rPr>
                <w:color w:val="auto"/>
              </w:rPr>
              <w:t>(二)米泉街</w:t>
            </w:r>
          </w:p>
        </w:tc>
        <w:tc>
          <w:tcPr>
            <w:tcW w:w="2173" w:type="pct"/>
            <w:vAlign w:val="center"/>
          </w:tcPr>
          <w:p>
            <w:pPr>
              <w:pStyle w:val="18"/>
              <w:bidi w:val="0"/>
              <w:jc w:val="center"/>
            </w:pPr>
            <w:r>
              <w:t>(二)米泉街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rPr>
                <w:color w:val="auto"/>
              </w:rPr>
            </w:pPr>
            <w:r>
              <w:rPr>
                <w:color w:val="auto"/>
              </w:rPr>
              <w:t>1</w:t>
            </w:r>
          </w:p>
        </w:tc>
        <w:tc>
          <w:tcPr>
            <w:tcW w:w="880" w:type="pct"/>
            <w:gridSpan w:val="2"/>
            <w:vAlign w:val="center"/>
          </w:tcPr>
          <w:p>
            <w:pPr>
              <w:pStyle w:val="18"/>
              <w:bidi w:val="0"/>
              <w:jc w:val="center"/>
              <w:rPr>
                <w:color w:val="auto"/>
              </w:rPr>
            </w:pPr>
            <w:r>
              <w:rPr>
                <w:color w:val="auto"/>
              </w:rPr>
              <w:t>道路等级</w:t>
            </w:r>
          </w:p>
        </w:tc>
        <w:tc>
          <w:tcPr>
            <w:tcW w:w="1788" w:type="pct"/>
            <w:gridSpan w:val="2"/>
            <w:vAlign w:val="center"/>
          </w:tcPr>
          <w:p>
            <w:pPr>
              <w:pStyle w:val="18"/>
              <w:bidi w:val="0"/>
              <w:jc w:val="center"/>
              <w:rPr>
                <w:color w:val="auto"/>
              </w:rPr>
            </w:pPr>
            <w:r>
              <w:rPr>
                <w:color w:val="auto"/>
              </w:rPr>
              <w:t>次干道</w:t>
            </w:r>
          </w:p>
        </w:tc>
        <w:tc>
          <w:tcPr>
            <w:tcW w:w="2173" w:type="pct"/>
            <w:vAlign w:val="center"/>
          </w:tcPr>
          <w:p>
            <w:pPr>
              <w:pStyle w:val="18"/>
              <w:bidi w:val="0"/>
              <w:ind w:firstLine="0" w:firstLineChars="0"/>
              <w:jc w:val="center"/>
            </w:pPr>
            <w:r>
              <w:t>次干道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157" w:type="pct"/>
            <w:vAlign w:val="center"/>
          </w:tcPr>
          <w:p>
            <w:pPr>
              <w:pStyle w:val="18"/>
              <w:bidi w:val="0"/>
              <w:jc w:val="center"/>
              <w:rPr>
                <w:color w:val="auto"/>
              </w:rPr>
            </w:pPr>
            <w:r>
              <w:rPr>
                <w:color w:val="auto"/>
              </w:rPr>
              <w:t>2</w:t>
            </w:r>
          </w:p>
        </w:tc>
        <w:tc>
          <w:tcPr>
            <w:tcW w:w="880" w:type="pct"/>
            <w:gridSpan w:val="2"/>
            <w:vAlign w:val="center"/>
          </w:tcPr>
          <w:p>
            <w:pPr>
              <w:pStyle w:val="18"/>
              <w:bidi w:val="0"/>
              <w:jc w:val="center"/>
              <w:rPr>
                <w:color w:val="auto"/>
              </w:rPr>
            </w:pPr>
            <w:r>
              <w:rPr>
                <w:color w:val="auto"/>
              </w:rPr>
              <w:t>占地面积</w:t>
            </w:r>
          </w:p>
        </w:tc>
        <w:tc>
          <w:tcPr>
            <w:tcW w:w="1788" w:type="pct"/>
            <w:gridSpan w:val="2"/>
            <w:vAlign w:val="center"/>
          </w:tcPr>
          <w:p>
            <w:pPr>
              <w:pStyle w:val="18"/>
              <w:bidi w:val="0"/>
              <w:jc w:val="center"/>
              <w:rPr>
                <w:color w:val="auto"/>
              </w:rPr>
            </w:pPr>
            <w:r>
              <w:rPr>
                <w:color w:val="auto"/>
              </w:rPr>
              <w:t>红线内占地总面积约为6.00hm²</w:t>
            </w:r>
            <w:r>
              <w:rPr>
                <w:rFonts w:hint="eastAsia"/>
                <w:color w:val="auto"/>
                <w:lang w:eastAsia="zh-CN"/>
              </w:rPr>
              <w:t>，</w:t>
            </w:r>
            <w:r>
              <w:rPr>
                <w:color w:val="auto"/>
              </w:rPr>
              <w:t>其中新增占地面积4.50hm²</w:t>
            </w:r>
          </w:p>
        </w:tc>
        <w:tc>
          <w:tcPr>
            <w:tcW w:w="2173" w:type="pct"/>
            <w:vAlign w:val="center"/>
          </w:tcPr>
          <w:p>
            <w:pPr>
              <w:pStyle w:val="18"/>
              <w:bidi w:val="0"/>
              <w:ind w:firstLine="0" w:firstLineChars="0"/>
              <w:jc w:val="center"/>
            </w:pPr>
            <w:r>
              <w:t>红线内占地总面积约为6.00hm²</w:t>
            </w:r>
            <w:r>
              <w:rPr>
                <w:rFonts w:hint="eastAsia"/>
                <w:lang w:eastAsia="zh-CN"/>
              </w:rPr>
              <w:t>，</w:t>
            </w:r>
            <w:r>
              <w:t>其中新增占地面积4.50hm²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pPr>
            <w:r>
              <w:t>3</w:t>
            </w:r>
          </w:p>
        </w:tc>
        <w:tc>
          <w:tcPr>
            <w:tcW w:w="880" w:type="pct"/>
            <w:gridSpan w:val="2"/>
            <w:vAlign w:val="center"/>
          </w:tcPr>
          <w:p>
            <w:pPr>
              <w:pStyle w:val="18"/>
              <w:bidi w:val="0"/>
              <w:jc w:val="center"/>
            </w:pPr>
            <w:r>
              <w:t>道路长度</w:t>
            </w:r>
          </w:p>
        </w:tc>
        <w:tc>
          <w:tcPr>
            <w:tcW w:w="1788" w:type="pct"/>
            <w:gridSpan w:val="2"/>
            <w:vAlign w:val="center"/>
          </w:tcPr>
          <w:p>
            <w:pPr>
              <w:pStyle w:val="18"/>
              <w:bidi w:val="0"/>
              <w:jc w:val="center"/>
            </w:pPr>
            <w:r>
              <w:t>1499.722m</w:t>
            </w:r>
          </w:p>
        </w:tc>
        <w:tc>
          <w:tcPr>
            <w:tcW w:w="2173" w:type="pct"/>
            <w:vAlign w:val="center"/>
          </w:tcPr>
          <w:p>
            <w:pPr>
              <w:pStyle w:val="18"/>
              <w:bidi w:val="0"/>
              <w:ind w:firstLine="0" w:firstLineChars="0"/>
              <w:jc w:val="center"/>
            </w:pPr>
            <w:r>
              <w:t>1499.722m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pPr>
            <w:r>
              <w:t>4</w:t>
            </w:r>
          </w:p>
        </w:tc>
        <w:tc>
          <w:tcPr>
            <w:tcW w:w="880" w:type="pct"/>
            <w:gridSpan w:val="2"/>
            <w:vAlign w:val="center"/>
          </w:tcPr>
          <w:p>
            <w:pPr>
              <w:pStyle w:val="18"/>
              <w:bidi w:val="0"/>
              <w:jc w:val="center"/>
            </w:pPr>
            <w:r>
              <w:t>红线宽度</w:t>
            </w:r>
          </w:p>
        </w:tc>
        <w:tc>
          <w:tcPr>
            <w:tcW w:w="1788" w:type="pct"/>
            <w:gridSpan w:val="2"/>
            <w:vAlign w:val="center"/>
          </w:tcPr>
          <w:p>
            <w:pPr>
              <w:pStyle w:val="18"/>
              <w:bidi w:val="0"/>
              <w:jc w:val="center"/>
            </w:pPr>
            <w:r>
              <w:t>40m</w:t>
            </w:r>
          </w:p>
        </w:tc>
        <w:tc>
          <w:tcPr>
            <w:tcW w:w="2173" w:type="pct"/>
            <w:vAlign w:val="center"/>
          </w:tcPr>
          <w:p>
            <w:pPr>
              <w:pStyle w:val="18"/>
              <w:bidi w:val="0"/>
              <w:ind w:firstLine="0" w:firstLineChars="0"/>
              <w:jc w:val="center"/>
            </w:pPr>
            <w:r>
              <w:t>40m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9" w:hRule="atLeast"/>
        </w:trPr>
        <w:tc>
          <w:tcPr>
            <w:tcW w:w="157" w:type="pct"/>
            <w:vAlign w:val="center"/>
          </w:tcPr>
          <w:p>
            <w:pPr>
              <w:pStyle w:val="18"/>
              <w:bidi w:val="0"/>
              <w:jc w:val="center"/>
            </w:pPr>
            <w:r>
              <w:t>5</w:t>
            </w:r>
          </w:p>
        </w:tc>
        <w:tc>
          <w:tcPr>
            <w:tcW w:w="880" w:type="pct"/>
            <w:gridSpan w:val="2"/>
            <w:vAlign w:val="center"/>
          </w:tcPr>
          <w:p>
            <w:pPr>
              <w:pStyle w:val="18"/>
              <w:bidi w:val="0"/>
              <w:jc w:val="center"/>
            </w:pPr>
            <w:r>
              <w:t>横断面设计</w:t>
            </w:r>
          </w:p>
        </w:tc>
        <w:tc>
          <w:tcPr>
            <w:tcW w:w="1788" w:type="pct"/>
            <w:gridSpan w:val="2"/>
            <w:vAlign w:val="center"/>
          </w:tcPr>
          <w:p>
            <w:pPr>
              <w:pStyle w:val="18"/>
              <w:bidi w:val="0"/>
              <w:jc w:val="center"/>
            </w:pPr>
            <w:r>
              <w:t>8.0m(绿化带)+4.0m(非机动车道)+2.0m(绿化带)+12.0m(机动车 道)+2.0m(绿化带)+4.0m(非机动车道)+8.0m(绿化带)=40m</w:t>
            </w:r>
          </w:p>
        </w:tc>
        <w:tc>
          <w:tcPr>
            <w:tcW w:w="2173" w:type="pct"/>
            <w:vAlign w:val="center"/>
          </w:tcPr>
          <w:p>
            <w:pPr>
              <w:pStyle w:val="18"/>
              <w:bidi w:val="0"/>
              <w:ind w:firstLine="0" w:firstLineChars="0"/>
              <w:jc w:val="center"/>
            </w:pPr>
            <w:r>
              <w:t>8.0m(绿化带)+4.0m(非机动车道)+2.0m(绿化带)+12.0m(机动车 道)+2.0m(绿化带)+4.0m(非机动车道)+8.0m(绿化带)=40m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157" w:type="pct"/>
            <w:vAlign w:val="center"/>
          </w:tcPr>
          <w:p>
            <w:pPr>
              <w:pStyle w:val="18"/>
              <w:bidi w:val="0"/>
              <w:jc w:val="center"/>
            </w:pPr>
            <w:r>
              <w:t>6</w:t>
            </w:r>
          </w:p>
        </w:tc>
        <w:tc>
          <w:tcPr>
            <w:tcW w:w="880" w:type="pct"/>
            <w:gridSpan w:val="2"/>
            <w:vAlign w:val="center"/>
          </w:tcPr>
          <w:p>
            <w:pPr>
              <w:pStyle w:val="18"/>
              <w:bidi w:val="0"/>
              <w:jc w:val="center"/>
            </w:pPr>
            <w:r>
              <w:t>路面类型</w:t>
            </w:r>
          </w:p>
        </w:tc>
        <w:tc>
          <w:tcPr>
            <w:tcW w:w="1788" w:type="pct"/>
            <w:gridSpan w:val="2"/>
            <w:vAlign w:val="center"/>
          </w:tcPr>
          <w:p>
            <w:pPr>
              <w:pStyle w:val="18"/>
              <w:bidi w:val="0"/>
              <w:jc w:val="center"/>
            </w:pPr>
            <w:r>
              <w:t>沥青混凝土路面结构</w:t>
            </w:r>
          </w:p>
        </w:tc>
        <w:tc>
          <w:tcPr>
            <w:tcW w:w="2173" w:type="pct"/>
            <w:vAlign w:val="center"/>
          </w:tcPr>
          <w:p>
            <w:pPr>
              <w:pStyle w:val="18"/>
              <w:bidi w:val="0"/>
              <w:ind w:firstLine="0" w:firstLineChars="0"/>
              <w:jc w:val="center"/>
            </w:pPr>
            <w:r>
              <w:t>沥青混凝土路面结构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57" w:type="pct"/>
            <w:vAlign w:val="center"/>
          </w:tcPr>
          <w:p>
            <w:pPr>
              <w:pStyle w:val="18"/>
              <w:bidi w:val="0"/>
              <w:jc w:val="center"/>
            </w:pPr>
            <w:r>
              <w:t>7</w:t>
            </w:r>
          </w:p>
        </w:tc>
        <w:tc>
          <w:tcPr>
            <w:tcW w:w="880" w:type="pct"/>
            <w:gridSpan w:val="2"/>
            <w:vAlign w:val="center"/>
          </w:tcPr>
          <w:p>
            <w:pPr>
              <w:pStyle w:val="18"/>
              <w:bidi w:val="0"/>
              <w:jc w:val="center"/>
            </w:pPr>
            <w:r>
              <w:t>设计车速</w:t>
            </w:r>
          </w:p>
        </w:tc>
        <w:tc>
          <w:tcPr>
            <w:tcW w:w="1788" w:type="pct"/>
            <w:gridSpan w:val="2"/>
            <w:vAlign w:val="center"/>
          </w:tcPr>
          <w:p>
            <w:pPr>
              <w:pStyle w:val="18"/>
              <w:bidi w:val="0"/>
              <w:jc w:val="center"/>
            </w:pPr>
            <w:r>
              <w:t>40km/h</w:t>
            </w:r>
          </w:p>
        </w:tc>
        <w:tc>
          <w:tcPr>
            <w:tcW w:w="2173" w:type="pct"/>
            <w:vAlign w:val="center"/>
          </w:tcPr>
          <w:p>
            <w:pPr>
              <w:pStyle w:val="18"/>
              <w:bidi w:val="0"/>
              <w:ind w:firstLine="0" w:firstLineChars="0"/>
              <w:jc w:val="center"/>
            </w:pPr>
            <w:r>
              <w:t>40km/h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57" w:type="pct"/>
            <w:vAlign w:val="center"/>
          </w:tcPr>
          <w:p>
            <w:pPr>
              <w:pStyle w:val="18"/>
              <w:bidi w:val="0"/>
              <w:jc w:val="center"/>
            </w:pPr>
            <w:r>
              <w:t>8</w:t>
            </w:r>
          </w:p>
        </w:tc>
        <w:tc>
          <w:tcPr>
            <w:tcW w:w="880" w:type="pct"/>
            <w:gridSpan w:val="2"/>
            <w:vAlign w:val="center"/>
          </w:tcPr>
          <w:p>
            <w:pPr>
              <w:pStyle w:val="18"/>
              <w:bidi w:val="0"/>
              <w:jc w:val="center"/>
            </w:pPr>
            <w:r>
              <w:t>设计年限</w:t>
            </w:r>
          </w:p>
        </w:tc>
        <w:tc>
          <w:tcPr>
            <w:tcW w:w="1788" w:type="pct"/>
            <w:gridSpan w:val="2"/>
            <w:vAlign w:val="center"/>
          </w:tcPr>
          <w:p>
            <w:pPr>
              <w:pStyle w:val="18"/>
              <w:bidi w:val="0"/>
              <w:jc w:val="center"/>
            </w:pPr>
            <w:r>
              <w:t>15年</w:t>
            </w:r>
          </w:p>
        </w:tc>
        <w:tc>
          <w:tcPr>
            <w:tcW w:w="2173" w:type="pct"/>
            <w:vAlign w:val="center"/>
          </w:tcPr>
          <w:p>
            <w:pPr>
              <w:pStyle w:val="18"/>
              <w:bidi w:val="0"/>
              <w:ind w:firstLine="0" w:firstLineChars="0"/>
              <w:jc w:val="center"/>
            </w:pPr>
            <w:r>
              <w:t>15年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pPr>
            <w:r>
              <w:t>9</w:t>
            </w:r>
          </w:p>
        </w:tc>
        <w:tc>
          <w:tcPr>
            <w:tcW w:w="880" w:type="pct"/>
            <w:gridSpan w:val="2"/>
            <w:vAlign w:val="center"/>
          </w:tcPr>
          <w:p>
            <w:pPr>
              <w:pStyle w:val="18"/>
              <w:bidi w:val="0"/>
              <w:jc w:val="center"/>
            </w:pPr>
            <w:r>
              <w:t>地震烈度</w:t>
            </w:r>
          </w:p>
        </w:tc>
        <w:tc>
          <w:tcPr>
            <w:tcW w:w="1788" w:type="pct"/>
            <w:gridSpan w:val="2"/>
            <w:vAlign w:val="center"/>
          </w:tcPr>
          <w:p>
            <w:pPr>
              <w:pStyle w:val="18"/>
              <w:bidi w:val="0"/>
              <w:jc w:val="center"/>
            </w:pPr>
            <w:r>
              <w:t>8度</w:t>
            </w:r>
          </w:p>
        </w:tc>
        <w:tc>
          <w:tcPr>
            <w:tcW w:w="2173" w:type="pct"/>
            <w:vAlign w:val="center"/>
          </w:tcPr>
          <w:p>
            <w:pPr>
              <w:pStyle w:val="18"/>
              <w:bidi w:val="0"/>
              <w:ind w:firstLine="0" w:firstLineChars="0"/>
              <w:jc w:val="center"/>
            </w:pPr>
            <w:r>
              <w:t>8度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157" w:type="pct"/>
            <w:vAlign w:val="center"/>
          </w:tcPr>
          <w:p>
            <w:pPr>
              <w:pStyle w:val="18"/>
              <w:bidi w:val="0"/>
              <w:jc w:val="center"/>
            </w:pPr>
            <w:r>
              <w:t>10</w:t>
            </w:r>
          </w:p>
        </w:tc>
        <w:tc>
          <w:tcPr>
            <w:tcW w:w="880" w:type="pct"/>
            <w:gridSpan w:val="2"/>
            <w:vAlign w:val="center"/>
          </w:tcPr>
          <w:p>
            <w:pPr>
              <w:pStyle w:val="18"/>
              <w:bidi w:val="0"/>
              <w:jc w:val="center"/>
            </w:pPr>
            <w:r>
              <w:t>最大纵坡</w:t>
            </w:r>
          </w:p>
        </w:tc>
        <w:tc>
          <w:tcPr>
            <w:tcW w:w="1788" w:type="pct"/>
            <w:gridSpan w:val="2"/>
            <w:vAlign w:val="center"/>
          </w:tcPr>
          <w:p>
            <w:pPr>
              <w:pStyle w:val="18"/>
              <w:bidi w:val="0"/>
              <w:jc w:val="center"/>
            </w:pPr>
            <w:r>
              <w:t>2.486%</w:t>
            </w:r>
          </w:p>
        </w:tc>
        <w:tc>
          <w:tcPr>
            <w:tcW w:w="2173" w:type="pct"/>
            <w:vAlign w:val="center"/>
          </w:tcPr>
          <w:p>
            <w:pPr>
              <w:pStyle w:val="18"/>
              <w:bidi w:val="0"/>
              <w:ind w:firstLine="0" w:firstLineChars="0"/>
              <w:jc w:val="center"/>
            </w:pPr>
            <w:r>
              <w:t>2.486%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pPr>
            <w:r>
              <w:t>11</w:t>
            </w:r>
          </w:p>
        </w:tc>
        <w:tc>
          <w:tcPr>
            <w:tcW w:w="880" w:type="pct"/>
            <w:gridSpan w:val="2"/>
            <w:vAlign w:val="center"/>
          </w:tcPr>
          <w:p>
            <w:pPr>
              <w:pStyle w:val="18"/>
              <w:bidi w:val="0"/>
              <w:jc w:val="center"/>
            </w:pPr>
            <w:r>
              <w:t>最小纵坡</w:t>
            </w:r>
          </w:p>
        </w:tc>
        <w:tc>
          <w:tcPr>
            <w:tcW w:w="1788" w:type="pct"/>
            <w:gridSpan w:val="2"/>
            <w:vAlign w:val="center"/>
          </w:tcPr>
          <w:p>
            <w:pPr>
              <w:pStyle w:val="18"/>
              <w:bidi w:val="0"/>
              <w:jc w:val="center"/>
            </w:pPr>
            <w:r>
              <w:t>2.042%</w:t>
            </w:r>
          </w:p>
        </w:tc>
        <w:tc>
          <w:tcPr>
            <w:tcW w:w="2173" w:type="pct"/>
            <w:vAlign w:val="center"/>
          </w:tcPr>
          <w:p>
            <w:pPr>
              <w:pStyle w:val="18"/>
              <w:bidi w:val="0"/>
              <w:ind w:firstLine="0" w:firstLineChars="0"/>
              <w:jc w:val="center"/>
            </w:pPr>
            <w:r>
              <w:t>2.042%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pPr>
            <w:r>
              <w:t>12</w:t>
            </w:r>
          </w:p>
        </w:tc>
        <w:tc>
          <w:tcPr>
            <w:tcW w:w="880" w:type="pct"/>
            <w:gridSpan w:val="2"/>
            <w:vAlign w:val="center"/>
          </w:tcPr>
          <w:p>
            <w:pPr>
              <w:pStyle w:val="18"/>
              <w:bidi w:val="0"/>
              <w:jc w:val="center"/>
            </w:pPr>
            <w:r>
              <w:t>荷载标准</w:t>
            </w:r>
          </w:p>
        </w:tc>
        <w:tc>
          <w:tcPr>
            <w:tcW w:w="1788" w:type="pct"/>
            <w:gridSpan w:val="2"/>
            <w:vAlign w:val="center"/>
          </w:tcPr>
          <w:p>
            <w:pPr>
              <w:pStyle w:val="18"/>
              <w:bidi w:val="0"/>
              <w:jc w:val="center"/>
            </w:pPr>
            <w:r>
              <w:t>BZZ-100型标准车</w:t>
            </w:r>
          </w:p>
        </w:tc>
        <w:tc>
          <w:tcPr>
            <w:tcW w:w="2173" w:type="pct"/>
            <w:vAlign w:val="center"/>
          </w:tcPr>
          <w:p>
            <w:pPr>
              <w:pStyle w:val="18"/>
              <w:bidi w:val="0"/>
              <w:ind w:firstLine="0" w:firstLineChars="0"/>
              <w:jc w:val="center"/>
            </w:pPr>
            <w:r>
              <w:t>BZZ-100型标准车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157" w:type="pct"/>
            <w:vAlign w:val="center"/>
          </w:tcPr>
          <w:p>
            <w:pPr>
              <w:pStyle w:val="18"/>
              <w:bidi w:val="0"/>
              <w:jc w:val="center"/>
            </w:pPr>
            <w:r>
              <w:t>13</w:t>
            </w:r>
          </w:p>
        </w:tc>
        <w:tc>
          <w:tcPr>
            <w:tcW w:w="880" w:type="pct"/>
            <w:gridSpan w:val="2"/>
            <w:vAlign w:val="center"/>
          </w:tcPr>
          <w:p>
            <w:pPr>
              <w:pStyle w:val="18"/>
              <w:bidi w:val="0"/>
              <w:jc w:val="center"/>
            </w:pPr>
            <w:r>
              <w:t>绿化面积</w:t>
            </w:r>
          </w:p>
        </w:tc>
        <w:tc>
          <w:tcPr>
            <w:tcW w:w="1788" w:type="pct"/>
            <w:gridSpan w:val="2"/>
            <w:vAlign w:val="center"/>
          </w:tcPr>
          <w:p>
            <w:pPr>
              <w:pStyle w:val="18"/>
              <w:bidi w:val="0"/>
              <w:jc w:val="center"/>
            </w:pPr>
            <w:r>
              <w:t>3.0hm²</w:t>
            </w:r>
            <w:r>
              <w:rPr>
                <w:rFonts w:hint="eastAsia"/>
                <w:lang w:eastAsia="zh-CN"/>
              </w:rPr>
              <w:t>，</w:t>
            </w:r>
            <w:r>
              <w:t>绿化率50.0%</w:t>
            </w:r>
          </w:p>
        </w:tc>
        <w:tc>
          <w:tcPr>
            <w:tcW w:w="2173" w:type="pct"/>
            <w:vAlign w:val="center"/>
          </w:tcPr>
          <w:p>
            <w:pPr>
              <w:pStyle w:val="18"/>
              <w:bidi w:val="0"/>
              <w:ind w:firstLine="0" w:firstLineChars="0"/>
              <w:jc w:val="center"/>
            </w:pPr>
            <w:r>
              <w:t>3.0hm²</w:t>
            </w:r>
            <w:r>
              <w:rPr>
                <w:rFonts w:hint="eastAsia"/>
                <w:lang w:eastAsia="zh-CN"/>
              </w:rPr>
              <w:t>，</w:t>
            </w:r>
            <w:r>
              <w:t>绿化率50.0%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pPr>
            <w:r>
              <w:t>14</w:t>
            </w:r>
          </w:p>
        </w:tc>
        <w:tc>
          <w:tcPr>
            <w:tcW w:w="880" w:type="pct"/>
            <w:gridSpan w:val="2"/>
            <w:vAlign w:val="center"/>
          </w:tcPr>
          <w:p>
            <w:pPr>
              <w:pStyle w:val="18"/>
              <w:bidi w:val="0"/>
              <w:jc w:val="center"/>
            </w:pPr>
            <w:r>
              <w:t>投资估算</w:t>
            </w:r>
          </w:p>
        </w:tc>
        <w:tc>
          <w:tcPr>
            <w:tcW w:w="1788" w:type="pct"/>
            <w:gridSpan w:val="2"/>
            <w:vAlign w:val="center"/>
          </w:tcPr>
          <w:p>
            <w:pPr>
              <w:pStyle w:val="18"/>
              <w:bidi w:val="0"/>
              <w:jc w:val="center"/>
            </w:pPr>
            <w:r>
              <w:t>1100万元</w:t>
            </w:r>
          </w:p>
        </w:tc>
        <w:tc>
          <w:tcPr>
            <w:tcW w:w="2173" w:type="pct"/>
            <w:vAlign w:val="center"/>
          </w:tcPr>
          <w:p>
            <w:pPr>
              <w:pStyle w:val="18"/>
              <w:bidi w:val="0"/>
              <w:ind w:firstLine="0" w:firstLineChars="0"/>
              <w:jc w:val="center"/>
            </w:pPr>
            <w:r>
              <w:t>1100万元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2826" w:type="pct"/>
            <w:gridSpan w:val="5"/>
            <w:vAlign w:val="center"/>
          </w:tcPr>
          <w:p>
            <w:pPr>
              <w:pStyle w:val="18"/>
              <w:bidi w:val="0"/>
              <w:jc w:val="center"/>
            </w:pPr>
            <w:r>
              <w:rPr>
                <w:color w:val="auto"/>
              </w:rPr>
              <w:t>(三)吐鲁番街</w:t>
            </w:r>
          </w:p>
        </w:tc>
        <w:tc>
          <w:tcPr>
            <w:tcW w:w="2173" w:type="pct"/>
            <w:vAlign w:val="center"/>
          </w:tcPr>
          <w:p>
            <w:pPr>
              <w:pStyle w:val="18"/>
              <w:bidi w:val="0"/>
              <w:jc w:val="center"/>
            </w:pPr>
            <w:r>
              <w:t>(三)吐鲁番街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pPr>
            <w:r>
              <w:t>1</w:t>
            </w:r>
          </w:p>
        </w:tc>
        <w:tc>
          <w:tcPr>
            <w:tcW w:w="880" w:type="pct"/>
            <w:gridSpan w:val="2"/>
            <w:vAlign w:val="center"/>
          </w:tcPr>
          <w:p>
            <w:pPr>
              <w:pStyle w:val="18"/>
              <w:bidi w:val="0"/>
              <w:jc w:val="center"/>
            </w:pPr>
            <w:r>
              <w:t>道路等级</w:t>
            </w:r>
          </w:p>
        </w:tc>
        <w:tc>
          <w:tcPr>
            <w:tcW w:w="1788" w:type="pct"/>
            <w:gridSpan w:val="2"/>
            <w:vAlign w:val="center"/>
          </w:tcPr>
          <w:p>
            <w:pPr>
              <w:pStyle w:val="18"/>
              <w:bidi w:val="0"/>
              <w:jc w:val="center"/>
            </w:pPr>
            <w:r>
              <w:t>次干道</w:t>
            </w:r>
          </w:p>
        </w:tc>
        <w:tc>
          <w:tcPr>
            <w:tcW w:w="2173" w:type="pct"/>
            <w:vAlign w:val="center"/>
          </w:tcPr>
          <w:p>
            <w:pPr>
              <w:pStyle w:val="18"/>
              <w:bidi w:val="0"/>
              <w:ind w:firstLine="0" w:firstLineChars="0"/>
              <w:jc w:val="center"/>
            </w:pPr>
            <w:r>
              <w:t>次干道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157" w:type="pct"/>
            <w:vAlign w:val="center"/>
          </w:tcPr>
          <w:p>
            <w:pPr>
              <w:pStyle w:val="18"/>
              <w:bidi w:val="0"/>
              <w:jc w:val="center"/>
            </w:pPr>
            <w:r>
              <w:t>2</w:t>
            </w:r>
          </w:p>
        </w:tc>
        <w:tc>
          <w:tcPr>
            <w:tcW w:w="880" w:type="pct"/>
            <w:gridSpan w:val="2"/>
            <w:vAlign w:val="center"/>
          </w:tcPr>
          <w:p>
            <w:pPr>
              <w:pStyle w:val="18"/>
              <w:bidi w:val="0"/>
              <w:jc w:val="center"/>
            </w:pPr>
            <w:r>
              <w:t>占地面积</w:t>
            </w:r>
          </w:p>
        </w:tc>
        <w:tc>
          <w:tcPr>
            <w:tcW w:w="1788" w:type="pct"/>
            <w:gridSpan w:val="2"/>
            <w:vAlign w:val="center"/>
          </w:tcPr>
          <w:p>
            <w:pPr>
              <w:pStyle w:val="18"/>
              <w:bidi w:val="0"/>
              <w:jc w:val="center"/>
            </w:pPr>
            <w:r>
              <w:t>红线内占地总面积约为6.29hm²</w:t>
            </w:r>
            <w:r>
              <w:rPr>
                <w:rFonts w:hint="eastAsia"/>
                <w:lang w:eastAsia="zh-CN"/>
              </w:rPr>
              <w:t>，</w:t>
            </w:r>
            <w:r>
              <w:t>其中新增占地面积4.78hm²</w:t>
            </w:r>
          </w:p>
        </w:tc>
        <w:tc>
          <w:tcPr>
            <w:tcW w:w="2173" w:type="pct"/>
            <w:vAlign w:val="center"/>
          </w:tcPr>
          <w:p>
            <w:pPr>
              <w:pStyle w:val="18"/>
              <w:bidi w:val="0"/>
              <w:ind w:firstLine="0" w:firstLineChars="0"/>
              <w:jc w:val="center"/>
            </w:pPr>
            <w:r>
              <w:t>红线内占地总面积约为6.29hm²</w:t>
            </w:r>
            <w:r>
              <w:rPr>
                <w:rFonts w:hint="eastAsia"/>
                <w:lang w:eastAsia="zh-CN"/>
              </w:rPr>
              <w:t>，</w:t>
            </w:r>
            <w:r>
              <w:t>其中新增占地面积4.78hm²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pPr>
            <w:r>
              <w:t>3</w:t>
            </w:r>
          </w:p>
        </w:tc>
        <w:tc>
          <w:tcPr>
            <w:tcW w:w="880" w:type="pct"/>
            <w:gridSpan w:val="2"/>
            <w:vAlign w:val="center"/>
          </w:tcPr>
          <w:p>
            <w:pPr>
              <w:pStyle w:val="18"/>
              <w:bidi w:val="0"/>
              <w:jc w:val="center"/>
            </w:pPr>
            <w:r>
              <w:t>道路长度</w:t>
            </w:r>
          </w:p>
        </w:tc>
        <w:tc>
          <w:tcPr>
            <w:tcW w:w="1788" w:type="pct"/>
            <w:gridSpan w:val="2"/>
            <w:vAlign w:val="center"/>
          </w:tcPr>
          <w:p>
            <w:pPr>
              <w:pStyle w:val="18"/>
              <w:bidi w:val="0"/>
              <w:jc w:val="center"/>
            </w:pPr>
            <w:r>
              <w:t>1572.724m</w:t>
            </w:r>
          </w:p>
        </w:tc>
        <w:tc>
          <w:tcPr>
            <w:tcW w:w="2173" w:type="pct"/>
            <w:vAlign w:val="center"/>
          </w:tcPr>
          <w:p>
            <w:pPr>
              <w:pStyle w:val="18"/>
              <w:bidi w:val="0"/>
              <w:ind w:firstLine="0" w:firstLineChars="0"/>
              <w:jc w:val="center"/>
            </w:pPr>
            <w:r>
              <w:t>1572.724m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57" w:type="pct"/>
            <w:vAlign w:val="center"/>
          </w:tcPr>
          <w:p>
            <w:pPr>
              <w:pStyle w:val="18"/>
              <w:bidi w:val="0"/>
              <w:jc w:val="center"/>
            </w:pPr>
            <w:r>
              <w:t>4</w:t>
            </w:r>
          </w:p>
        </w:tc>
        <w:tc>
          <w:tcPr>
            <w:tcW w:w="880" w:type="pct"/>
            <w:gridSpan w:val="2"/>
            <w:vAlign w:val="center"/>
          </w:tcPr>
          <w:p>
            <w:pPr>
              <w:pStyle w:val="18"/>
              <w:bidi w:val="0"/>
              <w:jc w:val="center"/>
            </w:pPr>
            <w:r>
              <w:t>红线宽度</w:t>
            </w:r>
          </w:p>
        </w:tc>
        <w:tc>
          <w:tcPr>
            <w:tcW w:w="1788" w:type="pct"/>
            <w:gridSpan w:val="2"/>
            <w:vAlign w:val="center"/>
          </w:tcPr>
          <w:p>
            <w:pPr>
              <w:pStyle w:val="18"/>
              <w:bidi w:val="0"/>
              <w:jc w:val="center"/>
            </w:pPr>
            <w:r>
              <w:t>40m</w:t>
            </w:r>
          </w:p>
        </w:tc>
        <w:tc>
          <w:tcPr>
            <w:tcW w:w="2173" w:type="pct"/>
            <w:vAlign w:val="center"/>
          </w:tcPr>
          <w:p>
            <w:pPr>
              <w:pStyle w:val="18"/>
              <w:bidi w:val="0"/>
              <w:ind w:firstLine="0" w:firstLineChars="0"/>
              <w:jc w:val="center"/>
            </w:pPr>
            <w:r>
              <w:t>40m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9" w:hRule="atLeast"/>
        </w:trPr>
        <w:tc>
          <w:tcPr>
            <w:tcW w:w="157" w:type="pct"/>
            <w:vAlign w:val="center"/>
          </w:tcPr>
          <w:p>
            <w:pPr>
              <w:pStyle w:val="18"/>
              <w:bidi w:val="0"/>
              <w:jc w:val="center"/>
            </w:pPr>
            <w:r>
              <w:t>5</w:t>
            </w:r>
          </w:p>
        </w:tc>
        <w:tc>
          <w:tcPr>
            <w:tcW w:w="880" w:type="pct"/>
            <w:gridSpan w:val="2"/>
            <w:vAlign w:val="center"/>
          </w:tcPr>
          <w:p>
            <w:pPr>
              <w:pStyle w:val="18"/>
              <w:bidi w:val="0"/>
              <w:jc w:val="center"/>
            </w:pPr>
            <w:r>
              <w:t>横断面设计</w:t>
            </w:r>
          </w:p>
        </w:tc>
        <w:tc>
          <w:tcPr>
            <w:tcW w:w="1788" w:type="pct"/>
            <w:gridSpan w:val="2"/>
            <w:vAlign w:val="center"/>
          </w:tcPr>
          <w:p>
            <w:pPr>
              <w:pStyle w:val="18"/>
              <w:bidi w:val="0"/>
              <w:jc w:val="center"/>
            </w:pPr>
            <w:r>
              <w:t>6.0m(人行道)+6.0m(绿化带)+2.0m(路肩)+12.0m(机动车道)+2.0m(路肩)+6.0m(绿化带)+6.0m(人行道)=40m</w:t>
            </w:r>
          </w:p>
        </w:tc>
        <w:tc>
          <w:tcPr>
            <w:tcW w:w="2173" w:type="pct"/>
            <w:vAlign w:val="center"/>
          </w:tcPr>
          <w:p>
            <w:pPr>
              <w:pStyle w:val="18"/>
              <w:bidi w:val="0"/>
              <w:jc w:val="center"/>
            </w:pPr>
            <w:r>
              <w:t>6.0m(人行道)+6.0m(绿化带)+2.0m(路肩)+12.0m(机动车道)+2.0m(路肩)+6.0m(绿化带)+6.0m(人行道)=40m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157" w:type="pct"/>
            <w:vAlign w:val="center"/>
          </w:tcPr>
          <w:p>
            <w:pPr>
              <w:pStyle w:val="18"/>
              <w:bidi w:val="0"/>
              <w:jc w:val="center"/>
            </w:pPr>
            <w:r>
              <w:t>6</w:t>
            </w:r>
          </w:p>
        </w:tc>
        <w:tc>
          <w:tcPr>
            <w:tcW w:w="880" w:type="pct"/>
            <w:gridSpan w:val="2"/>
            <w:vAlign w:val="center"/>
          </w:tcPr>
          <w:p>
            <w:pPr>
              <w:pStyle w:val="18"/>
              <w:bidi w:val="0"/>
              <w:jc w:val="center"/>
            </w:pPr>
            <w:r>
              <w:t>路面类型</w:t>
            </w:r>
          </w:p>
        </w:tc>
        <w:tc>
          <w:tcPr>
            <w:tcW w:w="1788" w:type="pct"/>
            <w:gridSpan w:val="2"/>
            <w:vAlign w:val="center"/>
          </w:tcPr>
          <w:p>
            <w:pPr>
              <w:pStyle w:val="18"/>
              <w:bidi w:val="0"/>
              <w:jc w:val="center"/>
            </w:pPr>
            <w:r>
              <w:t>沥青混凝土路面结构</w:t>
            </w:r>
          </w:p>
        </w:tc>
        <w:tc>
          <w:tcPr>
            <w:tcW w:w="2173" w:type="pct"/>
            <w:vAlign w:val="center"/>
          </w:tcPr>
          <w:p>
            <w:pPr>
              <w:pStyle w:val="18"/>
              <w:bidi w:val="0"/>
              <w:ind w:firstLine="0" w:firstLineChars="0"/>
              <w:jc w:val="center"/>
            </w:pPr>
            <w:r>
              <w:t>沥青混凝土路面结构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157" w:type="pct"/>
            <w:vAlign w:val="center"/>
          </w:tcPr>
          <w:p>
            <w:pPr>
              <w:pStyle w:val="18"/>
              <w:bidi w:val="0"/>
              <w:jc w:val="center"/>
            </w:pPr>
            <w:r>
              <w:t>7</w:t>
            </w:r>
          </w:p>
        </w:tc>
        <w:tc>
          <w:tcPr>
            <w:tcW w:w="880" w:type="pct"/>
            <w:gridSpan w:val="2"/>
            <w:vAlign w:val="center"/>
          </w:tcPr>
          <w:p>
            <w:pPr>
              <w:pStyle w:val="18"/>
              <w:bidi w:val="0"/>
              <w:jc w:val="center"/>
            </w:pPr>
            <w:r>
              <w:t>设计车速</w:t>
            </w:r>
          </w:p>
        </w:tc>
        <w:tc>
          <w:tcPr>
            <w:tcW w:w="1788" w:type="pct"/>
            <w:gridSpan w:val="2"/>
            <w:vAlign w:val="center"/>
          </w:tcPr>
          <w:p>
            <w:pPr>
              <w:pStyle w:val="18"/>
              <w:bidi w:val="0"/>
              <w:jc w:val="center"/>
            </w:pPr>
            <w:r>
              <w:t>40km/h</w:t>
            </w:r>
          </w:p>
        </w:tc>
        <w:tc>
          <w:tcPr>
            <w:tcW w:w="2173" w:type="pct"/>
            <w:vAlign w:val="center"/>
          </w:tcPr>
          <w:p>
            <w:pPr>
              <w:pStyle w:val="18"/>
              <w:bidi w:val="0"/>
              <w:ind w:firstLine="0" w:firstLineChars="0"/>
              <w:jc w:val="center"/>
            </w:pPr>
            <w:r>
              <w:t>40km/h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pPr>
            <w:r>
              <w:t>8</w:t>
            </w:r>
          </w:p>
        </w:tc>
        <w:tc>
          <w:tcPr>
            <w:tcW w:w="880" w:type="pct"/>
            <w:gridSpan w:val="2"/>
            <w:vAlign w:val="center"/>
          </w:tcPr>
          <w:p>
            <w:pPr>
              <w:pStyle w:val="18"/>
              <w:bidi w:val="0"/>
              <w:jc w:val="center"/>
            </w:pPr>
            <w:r>
              <w:t>设计年限</w:t>
            </w:r>
          </w:p>
        </w:tc>
        <w:tc>
          <w:tcPr>
            <w:tcW w:w="1788" w:type="pct"/>
            <w:gridSpan w:val="2"/>
            <w:vAlign w:val="center"/>
          </w:tcPr>
          <w:p>
            <w:pPr>
              <w:pStyle w:val="18"/>
              <w:bidi w:val="0"/>
              <w:jc w:val="center"/>
            </w:pPr>
            <w:r>
              <w:t>15年</w:t>
            </w:r>
          </w:p>
        </w:tc>
        <w:tc>
          <w:tcPr>
            <w:tcW w:w="2173" w:type="pct"/>
            <w:vAlign w:val="center"/>
          </w:tcPr>
          <w:p>
            <w:pPr>
              <w:pStyle w:val="18"/>
              <w:bidi w:val="0"/>
              <w:ind w:firstLine="0" w:firstLineChars="0"/>
              <w:jc w:val="center"/>
            </w:pPr>
            <w:r>
              <w:t>15年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157" w:type="pct"/>
            <w:vAlign w:val="center"/>
          </w:tcPr>
          <w:p>
            <w:pPr>
              <w:pStyle w:val="18"/>
              <w:bidi w:val="0"/>
              <w:jc w:val="center"/>
            </w:pPr>
            <w:r>
              <w:t>9</w:t>
            </w:r>
          </w:p>
        </w:tc>
        <w:tc>
          <w:tcPr>
            <w:tcW w:w="880" w:type="pct"/>
            <w:gridSpan w:val="2"/>
            <w:vAlign w:val="center"/>
          </w:tcPr>
          <w:p>
            <w:pPr>
              <w:pStyle w:val="18"/>
              <w:bidi w:val="0"/>
              <w:jc w:val="center"/>
            </w:pPr>
            <w:r>
              <w:t>地震烈度</w:t>
            </w:r>
          </w:p>
        </w:tc>
        <w:tc>
          <w:tcPr>
            <w:tcW w:w="1788" w:type="pct"/>
            <w:gridSpan w:val="2"/>
            <w:vAlign w:val="center"/>
          </w:tcPr>
          <w:p>
            <w:pPr>
              <w:pStyle w:val="18"/>
              <w:bidi w:val="0"/>
              <w:jc w:val="center"/>
            </w:pPr>
            <w:r>
              <w:t>8度</w:t>
            </w:r>
          </w:p>
        </w:tc>
        <w:tc>
          <w:tcPr>
            <w:tcW w:w="2173" w:type="pct"/>
            <w:vAlign w:val="center"/>
          </w:tcPr>
          <w:p>
            <w:pPr>
              <w:pStyle w:val="18"/>
              <w:bidi w:val="0"/>
              <w:ind w:firstLine="0" w:firstLineChars="0"/>
              <w:jc w:val="center"/>
            </w:pPr>
            <w:r>
              <w:t>8度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157" w:type="pct"/>
            <w:vAlign w:val="center"/>
          </w:tcPr>
          <w:p>
            <w:pPr>
              <w:pStyle w:val="18"/>
              <w:bidi w:val="0"/>
              <w:jc w:val="center"/>
            </w:pPr>
            <w:r>
              <w:t>10</w:t>
            </w:r>
          </w:p>
        </w:tc>
        <w:tc>
          <w:tcPr>
            <w:tcW w:w="880" w:type="pct"/>
            <w:gridSpan w:val="2"/>
            <w:vAlign w:val="center"/>
          </w:tcPr>
          <w:p>
            <w:pPr>
              <w:pStyle w:val="18"/>
              <w:bidi w:val="0"/>
              <w:jc w:val="center"/>
            </w:pPr>
            <w:r>
              <w:t>最大纵坡</w:t>
            </w:r>
          </w:p>
        </w:tc>
        <w:tc>
          <w:tcPr>
            <w:tcW w:w="1788" w:type="pct"/>
            <w:gridSpan w:val="2"/>
            <w:vAlign w:val="center"/>
          </w:tcPr>
          <w:p>
            <w:pPr>
              <w:pStyle w:val="18"/>
              <w:bidi w:val="0"/>
              <w:jc w:val="center"/>
            </w:pPr>
            <w:r>
              <w:t>2.735%</w:t>
            </w:r>
          </w:p>
        </w:tc>
        <w:tc>
          <w:tcPr>
            <w:tcW w:w="2173" w:type="pct"/>
            <w:vAlign w:val="center"/>
          </w:tcPr>
          <w:p>
            <w:pPr>
              <w:pStyle w:val="18"/>
              <w:bidi w:val="0"/>
              <w:ind w:firstLine="0" w:firstLineChars="0"/>
              <w:jc w:val="center"/>
            </w:pPr>
            <w:r>
              <w:t>2.735%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pPr>
            <w:r>
              <w:t>11</w:t>
            </w:r>
          </w:p>
        </w:tc>
        <w:tc>
          <w:tcPr>
            <w:tcW w:w="880" w:type="pct"/>
            <w:gridSpan w:val="2"/>
            <w:vAlign w:val="center"/>
          </w:tcPr>
          <w:p>
            <w:pPr>
              <w:pStyle w:val="18"/>
              <w:bidi w:val="0"/>
              <w:jc w:val="center"/>
            </w:pPr>
            <w:r>
              <w:t>最小纵坡</w:t>
            </w:r>
          </w:p>
        </w:tc>
        <w:tc>
          <w:tcPr>
            <w:tcW w:w="1788" w:type="pct"/>
            <w:gridSpan w:val="2"/>
            <w:vAlign w:val="center"/>
          </w:tcPr>
          <w:p>
            <w:pPr>
              <w:pStyle w:val="18"/>
              <w:bidi w:val="0"/>
              <w:jc w:val="center"/>
            </w:pPr>
            <w:r>
              <w:t>0.875%</w:t>
            </w:r>
          </w:p>
        </w:tc>
        <w:tc>
          <w:tcPr>
            <w:tcW w:w="2173" w:type="pct"/>
            <w:vAlign w:val="center"/>
          </w:tcPr>
          <w:p>
            <w:pPr>
              <w:pStyle w:val="18"/>
              <w:bidi w:val="0"/>
              <w:ind w:firstLine="0" w:firstLineChars="0"/>
              <w:jc w:val="center"/>
            </w:pPr>
            <w:r>
              <w:t>0.875%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157" w:type="pct"/>
            <w:vAlign w:val="center"/>
          </w:tcPr>
          <w:p>
            <w:pPr>
              <w:pStyle w:val="18"/>
              <w:bidi w:val="0"/>
              <w:jc w:val="center"/>
            </w:pPr>
            <w:r>
              <w:t>12</w:t>
            </w:r>
          </w:p>
        </w:tc>
        <w:tc>
          <w:tcPr>
            <w:tcW w:w="880" w:type="pct"/>
            <w:gridSpan w:val="2"/>
            <w:vAlign w:val="center"/>
          </w:tcPr>
          <w:p>
            <w:pPr>
              <w:pStyle w:val="18"/>
              <w:bidi w:val="0"/>
              <w:jc w:val="center"/>
            </w:pPr>
            <w:r>
              <w:t>荷载标准</w:t>
            </w:r>
          </w:p>
        </w:tc>
        <w:tc>
          <w:tcPr>
            <w:tcW w:w="1788" w:type="pct"/>
            <w:gridSpan w:val="2"/>
            <w:vAlign w:val="center"/>
          </w:tcPr>
          <w:p>
            <w:pPr>
              <w:pStyle w:val="18"/>
              <w:bidi w:val="0"/>
              <w:jc w:val="center"/>
            </w:pPr>
            <w:r>
              <w:t>BZZ-100型标准车</w:t>
            </w:r>
          </w:p>
        </w:tc>
        <w:tc>
          <w:tcPr>
            <w:tcW w:w="2173" w:type="pct"/>
            <w:vAlign w:val="center"/>
          </w:tcPr>
          <w:p>
            <w:pPr>
              <w:pStyle w:val="18"/>
              <w:bidi w:val="0"/>
              <w:ind w:firstLine="0" w:firstLineChars="0"/>
              <w:jc w:val="center"/>
            </w:pPr>
            <w:r>
              <w:t>BZZ-100型标准车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157" w:type="pct"/>
            <w:vAlign w:val="center"/>
          </w:tcPr>
          <w:p>
            <w:pPr>
              <w:pStyle w:val="18"/>
              <w:bidi w:val="0"/>
              <w:jc w:val="center"/>
            </w:pPr>
            <w:r>
              <w:t>13</w:t>
            </w:r>
          </w:p>
        </w:tc>
        <w:tc>
          <w:tcPr>
            <w:tcW w:w="880" w:type="pct"/>
            <w:gridSpan w:val="2"/>
            <w:vAlign w:val="center"/>
          </w:tcPr>
          <w:p>
            <w:pPr>
              <w:pStyle w:val="18"/>
              <w:bidi w:val="0"/>
              <w:jc w:val="center"/>
            </w:pPr>
            <w:r>
              <w:t>绿化面积</w:t>
            </w:r>
          </w:p>
        </w:tc>
        <w:tc>
          <w:tcPr>
            <w:tcW w:w="1788" w:type="pct"/>
            <w:gridSpan w:val="2"/>
            <w:vAlign w:val="center"/>
          </w:tcPr>
          <w:p>
            <w:pPr>
              <w:pStyle w:val="18"/>
              <w:bidi w:val="0"/>
              <w:jc w:val="center"/>
            </w:pPr>
            <w:r>
              <w:t>1.89hm³</w:t>
            </w:r>
            <w:r>
              <w:rPr>
                <w:rFonts w:hint="eastAsia"/>
                <w:lang w:eastAsia="zh-CN"/>
              </w:rPr>
              <w:t>，</w:t>
            </w:r>
            <w:r>
              <w:t>绿化率30.0%</w:t>
            </w:r>
          </w:p>
        </w:tc>
        <w:tc>
          <w:tcPr>
            <w:tcW w:w="2173" w:type="pct"/>
            <w:vAlign w:val="center"/>
          </w:tcPr>
          <w:p>
            <w:pPr>
              <w:pStyle w:val="18"/>
              <w:bidi w:val="0"/>
              <w:ind w:firstLine="0" w:firstLineChars="0"/>
              <w:jc w:val="center"/>
            </w:pPr>
            <w:r>
              <w:t>1.89hm³</w:t>
            </w:r>
            <w:r>
              <w:rPr>
                <w:rFonts w:hint="eastAsia"/>
                <w:lang w:eastAsia="zh-CN"/>
              </w:rPr>
              <w:t>，</w:t>
            </w:r>
            <w:r>
              <w:t>绿化率30.0%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57" w:type="pct"/>
            <w:vAlign w:val="center"/>
          </w:tcPr>
          <w:p>
            <w:pPr>
              <w:pStyle w:val="18"/>
              <w:bidi w:val="0"/>
              <w:jc w:val="center"/>
            </w:pPr>
            <w:r>
              <w:t>14</w:t>
            </w:r>
          </w:p>
        </w:tc>
        <w:tc>
          <w:tcPr>
            <w:tcW w:w="880" w:type="pct"/>
            <w:gridSpan w:val="2"/>
            <w:vAlign w:val="center"/>
          </w:tcPr>
          <w:p>
            <w:pPr>
              <w:pStyle w:val="18"/>
              <w:bidi w:val="0"/>
              <w:jc w:val="center"/>
            </w:pPr>
            <w:r>
              <w:t>投资估算</w:t>
            </w:r>
          </w:p>
        </w:tc>
        <w:tc>
          <w:tcPr>
            <w:tcW w:w="1788" w:type="pct"/>
            <w:gridSpan w:val="2"/>
            <w:vAlign w:val="center"/>
          </w:tcPr>
          <w:p>
            <w:pPr>
              <w:pStyle w:val="18"/>
              <w:bidi w:val="0"/>
              <w:jc w:val="center"/>
            </w:pPr>
            <w:r>
              <w:t>1300万元</w:t>
            </w:r>
          </w:p>
        </w:tc>
        <w:tc>
          <w:tcPr>
            <w:tcW w:w="2173" w:type="pct"/>
            <w:vAlign w:val="center"/>
          </w:tcPr>
          <w:p>
            <w:pPr>
              <w:pStyle w:val="18"/>
              <w:bidi w:val="0"/>
              <w:ind w:firstLine="0" w:firstLineChars="0"/>
              <w:jc w:val="center"/>
            </w:pPr>
            <w:r>
              <w:t>1300万元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2826" w:type="pct"/>
            <w:gridSpan w:val="5"/>
            <w:vAlign w:val="center"/>
          </w:tcPr>
          <w:p>
            <w:pPr>
              <w:pStyle w:val="18"/>
              <w:bidi w:val="0"/>
              <w:jc w:val="center"/>
              <w:rPr>
                <w:color w:val="auto"/>
              </w:rPr>
            </w:pPr>
            <w:r>
              <w:rPr>
                <w:color w:val="auto"/>
              </w:rPr>
              <w:t>三、交通标志及标牌标线工程</w:t>
            </w:r>
          </w:p>
        </w:tc>
        <w:tc>
          <w:tcPr>
            <w:tcW w:w="2173" w:type="pct"/>
            <w:vAlign w:val="center"/>
          </w:tcPr>
          <w:p>
            <w:pPr>
              <w:pStyle w:val="18"/>
              <w:bidi w:val="0"/>
              <w:jc w:val="center"/>
            </w:pPr>
            <w:r>
              <w:t>三、交通标志及标牌标线工程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5" w:hRule="atLeast"/>
        </w:trPr>
        <w:tc>
          <w:tcPr>
            <w:tcW w:w="157" w:type="pct"/>
            <w:vAlign w:val="center"/>
          </w:tcPr>
          <w:p>
            <w:pPr>
              <w:pStyle w:val="18"/>
              <w:bidi w:val="0"/>
              <w:jc w:val="center"/>
              <w:rPr>
                <w:color w:val="auto"/>
              </w:rPr>
            </w:pPr>
            <w:r>
              <w:rPr>
                <w:color w:val="auto"/>
              </w:rPr>
              <w:t>1</w:t>
            </w:r>
          </w:p>
        </w:tc>
        <w:tc>
          <w:tcPr>
            <w:tcW w:w="880" w:type="pct"/>
            <w:gridSpan w:val="2"/>
            <w:vAlign w:val="center"/>
          </w:tcPr>
          <w:p>
            <w:pPr>
              <w:pStyle w:val="18"/>
              <w:bidi w:val="0"/>
              <w:jc w:val="center"/>
              <w:rPr>
                <w:color w:val="auto"/>
              </w:rPr>
            </w:pPr>
            <w:r>
              <w:rPr>
                <w:color w:val="auto"/>
              </w:rPr>
              <w:t>沙湾街</w:t>
            </w:r>
          </w:p>
        </w:tc>
        <w:tc>
          <w:tcPr>
            <w:tcW w:w="1788" w:type="pct"/>
            <w:gridSpan w:val="2"/>
            <w:vAlign w:val="center"/>
          </w:tcPr>
          <w:p>
            <w:pPr>
              <w:pStyle w:val="18"/>
              <w:bidi w:val="0"/>
              <w:jc w:val="center"/>
              <w:rPr>
                <w:color w:val="auto"/>
              </w:rPr>
            </w:pPr>
            <w:r>
              <w:rPr>
                <w:color w:val="auto"/>
              </w:rPr>
              <w:t>1100</w:t>
            </w:r>
          </w:p>
        </w:tc>
        <w:tc>
          <w:tcPr>
            <w:tcW w:w="2173" w:type="pct"/>
            <w:vAlign w:val="center"/>
          </w:tcPr>
          <w:p>
            <w:pPr>
              <w:pStyle w:val="18"/>
              <w:bidi w:val="0"/>
              <w:jc w:val="center"/>
            </w:pPr>
            <w:r>
              <w:t>1100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3" w:hRule="atLeast"/>
        </w:trPr>
        <w:tc>
          <w:tcPr>
            <w:tcW w:w="157" w:type="pct"/>
            <w:vAlign w:val="center"/>
          </w:tcPr>
          <w:p>
            <w:pPr>
              <w:pStyle w:val="18"/>
              <w:bidi w:val="0"/>
              <w:jc w:val="center"/>
              <w:rPr>
                <w:color w:val="auto"/>
              </w:rPr>
            </w:pPr>
            <w:r>
              <w:rPr>
                <w:color w:val="auto"/>
              </w:rPr>
              <w:t>2</w:t>
            </w:r>
          </w:p>
        </w:tc>
        <w:tc>
          <w:tcPr>
            <w:tcW w:w="880" w:type="pct"/>
            <w:gridSpan w:val="2"/>
            <w:vAlign w:val="center"/>
          </w:tcPr>
          <w:p>
            <w:pPr>
              <w:pStyle w:val="18"/>
              <w:bidi w:val="0"/>
              <w:jc w:val="center"/>
              <w:rPr>
                <w:color w:val="auto"/>
              </w:rPr>
            </w:pPr>
            <w:r>
              <w:rPr>
                <w:color w:val="auto"/>
              </w:rPr>
              <w:t>北京路</w:t>
            </w:r>
          </w:p>
        </w:tc>
        <w:tc>
          <w:tcPr>
            <w:tcW w:w="1788" w:type="pct"/>
            <w:gridSpan w:val="2"/>
            <w:vMerge w:val="restart"/>
            <w:tcBorders>
              <w:bottom w:val="nil"/>
            </w:tcBorders>
            <w:vAlign w:val="center"/>
          </w:tcPr>
          <w:p>
            <w:pPr>
              <w:pStyle w:val="18"/>
              <w:bidi w:val="0"/>
              <w:jc w:val="center"/>
              <w:rPr>
                <w:rFonts w:hint="eastAsia" w:eastAsia="宋体"/>
                <w:color w:val="auto"/>
                <w:lang w:val="en-US" w:eastAsia="zh-CN"/>
              </w:rPr>
            </w:pPr>
            <w:r>
              <w:rPr>
                <w:rFonts w:hint="eastAsia"/>
                <w:color w:val="auto"/>
                <w:lang w:val="en-US" w:eastAsia="zh-CN"/>
              </w:rPr>
              <w:t>/</w:t>
            </w:r>
          </w:p>
        </w:tc>
        <w:tc>
          <w:tcPr>
            <w:tcW w:w="2173" w:type="pct"/>
            <w:vMerge w:val="restart"/>
            <w:vAlign w:val="center"/>
          </w:tcPr>
          <w:p>
            <w:pPr>
              <w:pStyle w:val="18"/>
              <w:bidi w:val="0"/>
              <w:jc w:val="center"/>
              <w:rPr>
                <w:rFonts w:hint="eastAsia" w:eastAsia="宋体"/>
                <w:lang w:val="en-US" w:eastAsia="zh-CN"/>
              </w:rPr>
            </w:pPr>
            <w:r>
              <w:rPr>
                <w:rFonts w:hint="eastAsia"/>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8" w:hRule="atLeast"/>
        </w:trPr>
        <w:tc>
          <w:tcPr>
            <w:tcW w:w="157" w:type="pct"/>
            <w:vAlign w:val="center"/>
          </w:tcPr>
          <w:p>
            <w:pPr>
              <w:pStyle w:val="18"/>
              <w:bidi w:val="0"/>
              <w:jc w:val="center"/>
              <w:rPr>
                <w:color w:val="auto"/>
              </w:rPr>
            </w:pPr>
            <w:r>
              <w:rPr>
                <w:color w:val="auto"/>
              </w:rPr>
              <w:t>3</w:t>
            </w:r>
          </w:p>
        </w:tc>
        <w:tc>
          <w:tcPr>
            <w:tcW w:w="880" w:type="pct"/>
            <w:gridSpan w:val="2"/>
            <w:vAlign w:val="center"/>
          </w:tcPr>
          <w:p>
            <w:pPr>
              <w:pStyle w:val="18"/>
              <w:bidi w:val="0"/>
              <w:jc w:val="center"/>
              <w:rPr>
                <w:color w:val="auto"/>
              </w:rPr>
            </w:pPr>
            <w:r>
              <w:rPr>
                <w:color w:val="auto"/>
              </w:rPr>
              <w:t>喀什东路</w:t>
            </w:r>
          </w:p>
        </w:tc>
        <w:tc>
          <w:tcPr>
            <w:tcW w:w="1788" w:type="pct"/>
            <w:gridSpan w:val="2"/>
            <w:vMerge w:val="continue"/>
            <w:tcBorders>
              <w:top w:val="nil"/>
              <w:bottom w:val="nil"/>
            </w:tcBorders>
            <w:vAlign w:val="center"/>
          </w:tcPr>
          <w:p>
            <w:pPr>
              <w:pStyle w:val="18"/>
              <w:bidi w:val="0"/>
              <w:jc w:val="center"/>
              <w:rPr>
                <w:color w:val="auto"/>
              </w:rPr>
            </w:pPr>
          </w:p>
        </w:tc>
        <w:tc>
          <w:tcPr>
            <w:tcW w:w="2173" w:type="pct"/>
            <w:vMerge w:val="continue"/>
            <w:vAlign w:val="center"/>
          </w:tcPr>
          <w:p>
            <w:pPr>
              <w:pStyle w:val="18"/>
              <w:bidi w:val="0"/>
              <w:jc w:val="cente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8" w:hRule="atLeast"/>
        </w:trPr>
        <w:tc>
          <w:tcPr>
            <w:tcW w:w="157" w:type="pct"/>
            <w:vAlign w:val="center"/>
          </w:tcPr>
          <w:p>
            <w:pPr>
              <w:pStyle w:val="18"/>
              <w:bidi w:val="0"/>
              <w:jc w:val="center"/>
              <w:rPr>
                <w:color w:val="auto"/>
              </w:rPr>
            </w:pPr>
            <w:r>
              <w:rPr>
                <w:color w:val="auto"/>
              </w:rPr>
              <w:t>4</w:t>
            </w:r>
          </w:p>
        </w:tc>
        <w:tc>
          <w:tcPr>
            <w:tcW w:w="880" w:type="pct"/>
            <w:gridSpan w:val="2"/>
            <w:vAlign w:val="center"/>
          </w:tcPr>
          <w:p>
            <w:pPr>
              <w:pStyle w:val="18"/>
              <w:bidi w:val="0"/>
              <w:jc w:val="center"/>
              <w:rPr>
                <w:color w:val="auto"/>
              </w:rPr>
            </w:pPr>
            <w:r>
              <w:rPr>
                <w:color w:val="auto"/>
              </w:rPr>
              <w:t>库尔勒东路</w:t>
            </w:r>
          </w:p>
        </w:tc>
        <w:tc>
          <w:tcPr>
            <w:tcW w:w="1788" w:type="pct"/>
            <w:gridSpan w:val="2"/>
            <w:vMerge w:val="continue"/>
            <w:tcBorders>
              <w:top w:val="nil"/>
              <w:bottom w:val="nil"/>
            </w:tcBorders>
            <w:vAlign w:val="center"/>
          </w:tcPr>
          <w:p>
            <w:pPr>
              <w:pStyle w:val="18"/>
              <w:bidi w:val="0"/>
              <w:jc w:val="center"/>
              <w:rPr>
                <w:color w:val="auto"/>
              </w:rPr>
            </w:pPr>
          </w:p>
        </w:tc>
        <w:tc>
          <w:tcPr>
            <w:tcW w:w="2173" w:type="pct"/>
            <w:vMerge w:val="continue"/>
            <w:vAlign w:val="center"/>
          </w:tcPr>
          <w:p>
            <w:pPr>
              <w:pStyle w:val="18"/>
              <w:bidi w:val="0"/>
              <w:jc w:val="cente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8" w:hRule="atLeast"/>
        </w:trPr>
        <w:tc>
          <w:tcPr>
            <w:tcW w:w="157" w:type="pct"/>
            <w:vAlign w:val="center"/>
          </w:tcPr>
          <w:p>
            <w:pPr>
              <w:pStyle w:val="18"/>
              <w:bidi w:val="0"/>
              <w:jc w:val="center"/>
              <w:rPr>
                <w:color w:val="auto"/>
              </w:rPr>
            </w:pPr>
            <w:r>
              <w:rPr>
                <w:color w:val="auto"/>
              </w:rPr>
              <w:t>5</w:t>
            </w:r>
          </w:p>
        </w:tc>
        <w:tc>
          <w:tcPr>
            <w:tcW w:w="880" w:type="pct"/>
            <w:gridSpan w:val="2"/>
            <w:vAlign w:val="center"/>
          </w:tcPr>
          <w:p>
            <w:pPr>
              <w:pStyle w:val="18"/>
              <w:bidi w:val="0"/>
              <w:jc w:val="center"/>
              <w:rPr>
                <w:color w:val="auto"/>
              </w:rPr>
            </w:pPr>
            <w:r>
              <w:rPr>
                <w:color w:val="auto"/>
              </w:rPr>
              <w:t>昌吉街</w:t>
            </w:r>
          </w:p>
        </w:tc>
        <w:tc>
          <w:tcPr>
            <w:tcW w:w="1788" w:type="pct"/>
            <w:gridSpan w:val="2"/>
            <w:vMerge w:val="continue"/>
            <w:tcBorders>
              <w:top w:val="nil"/>
            </w:tcBorders>
            <w:vAlign w:val="center"/>
          </w:tcPr>
          <w:p>
            <w:pPr>
              <w:pStyle w:val="18"/>
              <w:bidi w:val="0"/>
              <w:jc w:val="center"/>
              <w:rPr>
                <w:color w:val="auto"/>
              </w:rPr>
            </w:pPr>
          </w:p>
        </w:tc>
        <w:tc>
          <w:tcPr>
            <w:tcW w:w="2173" w:type="pct"/>
            <w:vMerge w:val="continue"/>
            <w:vAlign w:val="center"/>
          </w:tcPr>
          <w:p>
            <w:pPr>
              <w:pStyle w:val="18"/>
              <w:bidi w:val="0"/>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037" w:type="pct"/>
            <w:gridSpan w:val="3"/>
            <w:vAlign w:val="center"/>
          </w:tcPr>
          <w:p>
            <w:pPr>
              <w:pStyle w:val="18"/>
              <w:bidi w:val="0"/>
              <w:jc w:val="center"/>
            </w:pPr>
            <w:r>
              <w:t>总投资</w:t>
            </w:r>
          </w:p>
        </w:tc>
        <w:tc>
          <w:tcPr>
            <w:tcW w:w="1788" w:type="pct"/>
            <w:gridSpan w:val="2"/>
            <w:vAlign w:val="center"/>
          </w:tcPr>
          <w:p>
            <w:pPr>
              <w:pStyle w:val="18"/>
              <w:bidi w:val="0"/>
              <w:jc w:val="center"/>
            </w:pPr>
            <w:r>
              <w:t>23300万元</w:t>
            </w:r>
          </w:p>
        </w:tc>
        <w:tc>
          <w:tcPr>
            <w:tcW w:w="2173" w:type="pct"/>
            <w:vAlign w:val="center"/>
          </w:tcPr>
          <w:p>
            <w:pPr>
              <w:pStyle w:val="18"/>
              <w:bidi w:val="0"/>
              <w:jc w:val="center"/>
            </w:pPr>
            <w:r>
              <w:t>23300万元</w:t>
            </w:r>
          </w:p>
        </w:tc>
      </w:tr>
    </w:tbl>
    <w:p>
      <w:pPr>
        <w:pStyle w:val="6"/>
        <w:bidi w:val="0"/>
        <w:outlineLvl w:val="1"/>
      </w:pPr>
      <w:bookmarkStart w:id="29" w:name="_Toc30027"/>
      <w:r>
        <w:t>2.2.3工程特性</w:t>
      </w:r>
      <w:bookmarkEnd w:id="29"/>
    </w:p>
    <w:p>
      <w:pPr>
        <w:bidi w:val="0"/>
        <w:rPr>
          <w:rFonts w:hint="eastAsia"/>
          <w:lang w:eastAsia="zh-CN"/>
        </w:rPr>
      </w:pPr>
      <w:r>
        <w:t>工程名称：</w:t>
      </w:r>
      <w:r>
        <w:rPr>
          <w:rFonts w:hint="eastAsia"/>
          <w:lang w:eastAsia="zh-CN"/>
        </w:rPr>
        <w:t>开发区2017年基础设施建设项目配套道路及附属工程。</w:t>
      </w:r>
    </w:p>
    <w:p>
      <w:pPr>
        <w:bidi w:val="0"/>
        <w:rPr>
          <w:rFonts w:hint="default"/>
          <w:lang w:val="en-US" w:eastAsia="zh-CN"/>
        </w:rPr>
      </w:pPr>
      <w:r>
        <w:t>项目工程建设地点：</w:t>
      </w:r>
      <w:r>
        <w:rPr>
          <w:rFonts w:hint="eastAsia"/>
          <w:lang w:val="en-US" w:eastAsia="zh-CN"/>
        </w:rPr>
        <w:t>奎屯-独山子经济技术开发区</w:t>
      </w:r>
    </w:p>
    <w:p>
      <w:pPr>
        <w:bidi w:val="0"/>
        <w:rPr>
          <w:rFonts w:hint="default"/>
          <w:lang w:val="en-US" w:eastAsia="zh-CN"/>
        </w:rPr>
      </w:pPr>
      <w:r>
        <w:t>工程建设性质：新建</w:t>
      </w:r>
      <w:r>
        <w:rPr>
          <w:rFonts w:hint="eastAsia"/>
          <w:lang w:eastAsia="zh-CN"/>
        </w:rPr>
        <w:t>、</w:t>
      </w:r>
      <w:r>
        <w:rPr>
          <w:rFonts w:hint="eastAsia"/>
          <w:lang w:val="en-US" w:eastAsia="zh-CN"/>
        </w:rPr>
        <w:t>改扩建</w:t>
      </w:r>
    </w:p>
    <w:p>
      <w:pPr>
        <w:bidi w:val="0"/>
        <w:rPr>
          <w:rFonts w:hint="default"/>
          <w:lang w:val="en-US" w:eastAsia="zh-CN"/>
        </w:rPr>
      </w:pPr>
      <w:r>
        <w:t>建设单位：</w:t>
      </w:r>
      <w:r>
        <w:rPr>
          <w:rFonts w:hint="eastAsia"/>
          <w:lang w:val="en-US" w:eastAsia="zh-CN"/>
        </w:rPr>
        <w:t>新疆润盛投资有限公司</w:t>
      </w:r>
    </w:p>
    <w:p>
      <w:pPr>
        <w:bidi w:val="0"/>
      </w:pPr>
      <w:r>
        <w:t>总工期：201</w:t>
      </w:r>
      <w:r>
        <w:rPr>
          <w:rFonts w:hint="eastAsia"/>
          <w:lang w:val="en-US" w:eastAsia="zh-CN"/>
        </w:rPr>
        <w:t>8</w:t>
      </w:r>
      <w:r>
        <w:t>.06本工程土建主体工程开工建设；201</w:t>
      </w:r>
      <w:r>
        <w:rPr>
          <w:rFonts w:hint="eastAsia"/>
          <w:lang w:val="en-US" w:eastAsia="zh-CN"/>
        </w:rPr>
        <w:t>9</w:t>
      </w:r>
      <w:r>
        <w:t>.08本工程北一区道路通车试运行；20</w:t>
      </w:r>
      <w:r>
        <w:rPr>
          <w:rFonts w:hint="eastAsia"/>
          <w:lang w:val="en-US" w:eastAsia="zh-CN"/>
        </w:rPr>
        <w:t>20</w:t>
      </w:r>
      <w:r>
        <w:t>.09本工程物流园区道路通车试运行；本工程于20</w:t>
      </w:r>
      <w:r>
        <w:rPr>
          <w:rFonts w:hint="eastAsia"/>
          <w:lang w:val="en-US" w:eastAsia="zh-CN"/>
        </w:rPr>
        <w:t>23</w:t>
      </w:r>
      <w:r>
        <w:t>年年底建成投产。</w:t>
      </w:r>
    </w:p>
    <w:p>
      <w:pPr>
        <w:pStyle w:val="6"/>
        <w:bidi w:val="0"/>
        <w:outlineLvl w:val="1"/>
      </w:pPr>
      <w:bookmarkStart w:id="30" w:name="_Toc11204"/>
      <w:r>
        <w:t>2.2.4运行方式</w:t>
      </w:r>
      <w:bookmarkEnd w:id="30"/>
    </w:p>
    <w:p>
      <w:pPr>
        <w:bidi w:val="0"/>
      </w:pPr>
      <w:r>
        <w:t>改扩建的三条道路现状分述如下：</w:t>
      </w:r>
    </w:p>
    <w:p>
      <w:pPr>
        <w:numPr>
          <w:ilvl w:val="0"/>
          <w:numId w:val="2"/>
        </w:numPr>
        <w:bidi w:val="0"/>
      </w:pPr>
      <w:r>
        <w:t>东外环路位于奎屯—独山子经济技术开发区北一区内，属城市主干道，道路呈南北走向，南起贵阳路，北至S115线，东外环路现状路面宽约为10m</w:t>
      </w:r>
      <w:r>
        <w:rPr>
          <w:rFonts w:hint="eastAsia"/>
          <w:lang w:eastAsia="zh-CN"/>
        </w:rPr>
        <w:t>，</w:t>
      </w:r>
      <w:r>
        <w:t>现状道路路面为沥青混凝土，本次改扩建拟对现状道路全线进行挖除新建，扩建后道路红线宽度为100m</w:t>
      </w:r>
      <w:r>
        <w:rPr>
          <w:rFonts w:hint="eastAsia"/>
          <w:lang w:eastAsia="zh-CN"/>
        </w:rPr>
        <w:t>，</w:t>
      </w:r>
      <w:r>
        <w:t>现状道路两侧土地利用性质为工业用地、未利用地，沿途分布有未利用荒地、正在建设的宝塔热电等工业企业，200m范围内无居民区及零散住户；</w:t>
      </w:r>
    </w:p>
    <w:p>
      <w:pPr>
        <w:numPr>
          <w:ilvl w:val="0"/>
          <w:numId w:val="2"/>
        </w:numPr>
        <w:bidi w:val="0"/>
      </w:pPr>
      <w:r>
        <w:t>米泉街位于奎屯—独山子经济技术开发区北一区内，属城市次干路，道路呈南北走向，南起南环东路南侧拟建厂区门口，北至阿克苏路东延路段，米泉街现状路面宽约为10m</w:t>
      </w:r>
      <w:r>
        <w:rPr>
          <w:rFonts w:hint="eastAsia"/>
          <w:lang w:eastAsia="zh-CN"/>
        </w:rPr>
        <w:t>，</w:t>
      </w:r>
      <w:r>
        <w:t>现状道路路面混凝土路面，本次改扩建拟在原混凝土路面上铺设沥青混凝土面层，同时加宽路面至红线宽度为40m</w:t>
      </w:r>
      <w:r>
        <w:rPr>
          <w:rFonts w:hint="eastAsia"/>
          <w:lang w:eastAsia="zh-CN"/>
        </w:rPr>
        <w:t>，</w:t>
      </w:r>
      <w:r>
        <w:t>道路两侧土地利用性质为工业用地，沿途分布有新疆新路标光伏材料有限公司、昆玉钢铁、锦疆化工、铜冠冶化，200m范围内仅有企业宿舍楼及办公楼，无大型居民区及其他零散住户；</w:t>
      </w:r>
    </w:p>
    <w:p>
      <w:pPr>
        <w:numPr>
          <w:ilvl w:val="0"/>
          <w:numId w:val="2"/>
        </w:numPr>
        <w:bidi w:val="0"/>
        <w:rPr>
          <w:rFonts w:hint="eastAsia"/>
          <w:lang w:eastAsia="zh-CN"/>
        </w:rPr>
      </w:pPr>
      <w:r>
        <w:t>吐鲁番街位于奎屯—独山子经济技术开发区北一区内，属城市次干路，道路呈南北走向，南起南环东路，北至库尔勒东街，吐鲁番街现状路面宽约为10m</w:t>
      </w:r>
      <w:r>
        <w:rPr>
          <w:rFonts w:hint="eastAsia"/>
          <w:lang w:eastAsia="zh-CN"/>
        </w:rPr>
        <w:t>，</w:t>
      </w:r>
      <w:r>
        <w:t>现状道路路面混凝土路面，本次改扩建拟在原混凝土路面上铺设沥青混凝土面层，同时加宽路面至红线宽度为40m</w:t>
      </w:r>
      <w:r>
        <w:rPr>
          <w:rFonts w:hint="eastAsia"/>
          <w:lang w:eastAsia="zh-CN"/>
        </w:rPr>
        <w:t>，</w:t>
      </w:r>
      <w:r>
        <w:t>道路两侧土地利用性质为工业用地，沿途主要分布有奎屯水泥厂(已关停)、云森纺织等工业企业，200m范围内无大型居民区及零散住户</w:t>
      </w:r>
      <w:r>
        <w:rPr>
          <w:rFonts w:hint="eastAsia"/>
          <w:lang w:eastAsia="zh-CN"/>
        </w:rPr>
        <w:t>。</w:t>
      </w:r>
    </w:p>
    <w:p>
      <w:pPr>
        <w:pStyle w:val="6"/>
        <w:bidi w:val="0"/>
        <w:outlineLvl w:val="1"/>
      </w:pPr>
      <w:bookmarkStart w:id="31" w:name="_Toc17551"/>
      <w:r>
        <w:t>2.2.</w:t>
      </w:r>
      <w:r>
        <w:rPr>
          <w:rFonts w:hint="eastAsia"/>
          <w:lang w:val="en-US" w:eastAsia="zh-CN"/>
        </w:rPr>
        <w:t>5</w:t>
      </w:r>
      <w:r>
        <w:t>工程项目组成</w:t>
      </w:r>
      <w:bookmarkEnd w:id="31"/>
    </w:p>
    <w:p>
      <w:pPr>
        <w:bidi w:val="0"/>
      </w:pPr>
      <w:r>
        <w:t>本项目主要建设内容具体见下表：</w:t>
      </w:r>
    </w:p>
    <w:p>
      <w:pPr>
        <w:pStyle w:val="16"/>
        <w:bidi w:val="0"/>
      </w:pPr>
      <w:r>
        <w:t>表2-3  工程项目组成</w:t>
      </w:r>
    </w:p>
    <w:tbl>
      <w:tblPr>
        <w:tblStyle w:val="20"/>
        <w:tblW w:w="501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Layout w:type="autofit"/>
        <w:tblCellMar>
          <w:top w:w="0" w:type="dxa"/>
          <w:left w:w="0" w:type="dxa"/>
          <w:bottom w:w="0" w:type="dxa"/>
          <w:right w:w="0" w:type="dxa"/>
        </w:tblCellMar>
      </w:tblPr>
      <w:tblGrid>
        <w:gridCol w:w="557"/>
        <w:gridCol w:w="782"/>
        <w:gridCol w:w="542"/>
        <w:gridCol w:w="1105"/>
        <w:gridCol w:w="248"/>
        <w:gridCol w:w="2382"/>
        <w:gridCol w:w="2717"/>
      </w:tblGrid>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724" w:hRule="atLeast"/>
        </w:trPr>
        <w:tc>
          <w:tcPr>
            <w:tcW w:w="804" w:type="pct"/>
            <w:gridSpan w:val="2"/>
            <w:tcBorders>
              <w:tl2br w:val="nil"/>
              <w:tr2bl w:val="nil"/>
            </w:tcBorders>
            <w:vAlign w:val="center"/>
          </w:tcPr>
          <w:p>
            <w:pPr>
              <w:pStyle w:val="18"/>
              <w:bidi w:val="0"/>
            </w:pPr>
            <w:r>
              <w:t>工程类型</w:t>
            </w:r>
          </w:p>
        </w:tc>
        <w:tc>
          <w:tcPr>
            <w:tcW w:w="2566" w:type="pct"/>
            <w:gridSpan w:val="4"/>
            <w:tcBorders>
              <w:tl2br w:val="nil"/>
              <w:tr2bl w:val="nil"/>
            </w:tcBorders>
            <w:vAlign w:val="center"/>
          </w:tcPr>
          <w:p>
            <w:pPr>
              <w:pStyle w:val="18"/>
              <w:bidi w:val="0"/>
            </w:pPr>
            <w:r>
              <w:rPr>
                <w:rFonts w:hint="eastAsia"/>
                <w:lang w:val="en-US" w:eastAsia="zh-CN"/>
              </w:rPr>
              <w:t>环评阶段</w:t>
            </w:r>
            <w:r>
              <w:t>项目内容</w:t>
            </w:r>
          </w:p>
        </w:tc>
        <w:tc>
          <w:tcPr>
            <w:tcW w:w="1629" w:type="pct"/>
            <w:tcBorders>
              <w:tl2br w:val="nil"/>
              <w:tr2bl w:val="nil"/>
            </w:tcBorders>
            <w:vAlign w:val="center"/>
          </w:tcPr>
          <w:p>
            <w:pPr>
              <w:pStyle w:val="18"/>
              <w:bidi w:val="0"/>
              <w:rPr>
                <w:rFonts w:hint="default"/>
                <w:lang w:val="en-US" w:eastAsia="zh-CN"/>
              </w:rPr>
            </w:pPr>
            <w:r>
              <w:rPr>
                <w:rFonts w:hint="eastAsia"/>
                <w:lang w:val="en-US" w:eastAsia="zh-CN"/>
              </w:rPr>
              <w:t>实际建设内容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0" w:hRule="atLeast"/>
        </w:trPr>
        <w:tc>
          <w:tcPr>
            <w:tcW w:w="335" w:type="pct"/>
            <w:vMerge w:val="restart"/>
            <w:tcBorders>
              <w:tl2br w:val="nil"/>
              <w:tr2bl w:val="nil"/>
            </w:tcBorders>
            <w:vAlign w:val="center"/>
          </w:tcPr>
          <w:p>
            <w:pPr>
              <w:pStyle w:val="18"/>
              <w:bidi w:val="0"/>
              <w:jc w:val="center"/>
            </w:pPr>
            <w:r>
              <w:t>主体</w:t>
            </w:r>
          </w:p>
          <w:p>
            <w:pPr>
              <w:pStyle w:val="18"/>
              <w:bidi w:val="0"/>
              <w:jc w:val="center"/>
            </w:pPr>
            <w:r>
              <w:t>工程</w:t>
            </w:r>
          </w:p>
        </w:tc>
        <w:tc>
          <w:tcPr>
            <w:tcW w:w="3035" w:type="pct"/>
            <w:gridSpan w:val="5"/>
            <w:tcBorders>
              <w:tl2br w:val="nil"/>
              <w:tr2bl w:val="nil"/>
            </w:tcBorders>
            <w:vAlign w:val="center"/>
          </w:tcPr>
          <w:p>
            <w:pPr>
              <w:pStyle w:val="18"/>
              <w:bidi w:val="0"/>
            </w:pPr>
            <w:r>
              <w:t>阿克苏路东延</w:t>
            </w:r>
          </w:p>
        </w:tc>
        <w:tc>
          <w:tcPr>
            <w:tcW w:w="1629" w:type="pct"/>
            <w:tcBorders>
              <w:tl2br w:val="nil"/>
              <w:tr2bl w:val="nil"/>
            </w:tcBorders>
            <w:vAlign w:val="center"/>
          </w:tcPr>
          <w:p>
            <w:pPr>
              <w:pStyle w:val="18"/>
              <w:bidi w:val="0"/>
            </w:pPr>
            <w:r>
              <w:t>阿克苏路东延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70" w:hRule="atLeast"/>
        </w:trPr>
        <w:tc>
          <w:tcPr>
            <w:tcW w:w="335" w:type="pct"/>
            <w:vMerge w:val="continue"/>
            <w:tcBorders>
              <w:tl2br w:val="nil"/>
              <w:tr2bl w:val="nil"/>
            </w:tcBorders>
            <w:vAlign w:val="center"/>
          </w:tcPr>
          <w:p>
            <w:pPr>
              <w:pStyle w:val="18"/>
              <w:bidi w:val="0"/>
            </w:pPr>
          </w:p>
        </w:tc>
        <w:tc>
          <w:tcPr>
            <w:tcW w:w="469" w:type="pct"/>
            <w:vMerge w:val="restart"/>
            <w:tcBorders>
              <w:tl2br w:val="nil"/>
              <w:tr2bl w:val="nil"/>
            </w:tcBorders>
            <w:vAlign w:val="center"/>
          </w:tcPr>
          <w:p>
            <w:pPr>
              <w:pStyle w:val="18"/>
              <w:bidi w:val="0"/>
            </w:pPr>
            <w:r>
              <w:t>道路工程</w:t>
            </w:r>
          </w:p>
        </w:tc>
        <w:tc>
          <w:tcPr>
            <w:tcW w:w="325" w:type="pct"/>
            <w:vMerge w:val="restart"/>
            <w:tcBorders>
              <w:tl2br w:val="nil"/>
              <w:tr2bl w:val="nil"/>
            </w:tcBorders>
            <w:vAlign w:val="center"/>
          </w:tcPr>
          <w:p>
            <w:pPr>
              <w:pStyle w:val="18"/>
              <w:bidi w:val="0"/>
            </w:pPr>
            <w:r>
              <w:t>行车道</w:t>
            </w:r>
          </w:p>
        </w:tc>
        <w:tc>
          <w:tcPr>
            <w:tcW w:w="812" w:type="pct"/>
            <w:gridSpan w:val="2"/>
            <w:tcBorders>
              <w:tl2br w:val="nil"/>
              <w:tr2bl w:val="nil"/>
            </w:tcBorders>
            <w:vAlign w:val="center"/>
          </w:tcPr>
          <w:p>
            <w:pPr>
              <w:pStyle w:val="18"/>
              <w:bidi w:val="0"/>
            </w:pPr>
            <w:r>
              <w:t>部善街～哈密街</w:t>
            </w:r>
          </w:p>
        </w:tc>
        <w:tc>
          <w:tcPr>
            <w:tcW w:w="1429" w:type="pct"/>
            <w:tcBorders>
              <w:tl2br w:val="nil"/>
              <w:tr2bl w:val="nil"/>
            </w:tcBorders>
            <w:vAlign w:val="center"/>
          </w:tcPr>
          <w:p>
            <w:pPr>
              <w:pStyle w:val="18"/>
              <w:bidi w:val="0"/>
            </w:pPr>
            <w:r>
              <w:t>7225.06m×16m</w:t>
            </w:r>
          </w:p>
        </w:tc>
        <w:tc>
          <w:tcPr>
            <w:tcW w:w="1629" w:type="pct"/>
            <w:tcBorders>
              <w:tl2br w:val="nil"/>
              <w:tr2bl w:val="nil"/>
            </w:tcBorders>
            <w:vAlign w:val="center"/>
          </w:tcPr>
          <w:p>
            <w:pPr>
              <w:pStyle w:val="18"/>
              <w:bidi w:val="0"/>
            </w:pPr>
            <w:r>
              <w:t>7225.06m×16m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69" w:hRule="atLeast"/>
        </w:trPr>
        <w:tc>
          <w:tcPr>
            <w:tcW w:w="335" w:type="pct"/>
            <w:vMerge w:val="continue"/>
            <w:tcBorders>
              <w:tl2br w:val="nil"/>
              <w:tr2bl w:val="nil"/>
            </w:tcBorders>
            <w:vAlign w:val="center"/>
          </w:tcPr>
          <w:p>
            <w:pPr>
              <w:pStyle w:val="18"/>
              <w:bidi w:val="0"/>
            </w:pPr>
          </w:p>
        </w:tc>
        <w:tc>
          <w:tcPr>
            <w:tcW w:w="469" w:type="pct"/>
            <w:vMerge w:val="continue"/>
            <w:tcBorders>
              <w:tl2br w:val="nil"/>
              <w:tr2bl w:val="nil"/>
            </w:tcBorders>
            <w:vAlign w:val="center"/>
          </w:tcPr>
          <w:p>
            <w:pPr>
              <w:pStyle w:val="18"/>
              <w:bidi w:val="0"/>
            </w:pPr>
          </w:p>
        </w:tc>
        <w:tc>
          <w:tcPr>
            <w:tcW w:w="325" w:type="pct"/>
            <w:vMerge w:val="continue"/>
            <w:tcBorders>
              <w:tl2br w:val="nil"/>
              <w:tr2bl w:val="nil"/>
            </w:tcBorders>
            <w:vAlign w:val="center"/>
          </w:tcPr>
          <w:p>
            <w:pPr>
              <w:pStyle w:val="18"/>
              <w:bidi w:val="0"/>
            </w:pPr>
          </w:p>
        </w:tc>
        <w:tc>
          <w:tcPr>
            <w:tcW w:w="812" w:type="pct"/>
            <w:gridSpan w:val="2"/>
            <w:tcBorders>
              <w:tl2br w:val="nil"/>
              <w:tr2bl w:val="nil"/>
            </w:tcBorders>
            <w:vAlign w:val="center"/>
          </w:tcPr>
          <w:p>
            <w:pPr>
              <w:pStyle w:val="18"/>
              <w:bidi w:val="0"/>
            </w:pPr>
            <w:r>
              <w:t>哈密街～长江路</w:t>
            </w:r>
          </w:p>
        </w:tc>
        <w:tc>
          <w:tcPr>
            <w:tcW w:w="1429" w:type="pct"/>
            <w:tcBorders>
              <w:tl2br w:val="nil"/>
              <w:tr2bl w:val="nil"/>
            </w:tcBorders>
            <w:vAlign w:val="center"/>
          </w:tcPr>
          <w:p>
            <w:pPr>
              <w:pStyle w:val="18"/>
              <w:bidi w:val="0"/>
            </w:pPr>
            <w:r>
              <w:t>7225.06m×16m</w:t>
            </w:r>
          </w:p>
        </w:tc>
        <w:tc>
          <w:tcPr>
            <w:tcW w:w="1629" w:type="pct"/>
            <w:tcBorders>
              <w:tl2br w:val="nil"/>
              <w:tr2bl w:val="nil"/>
            </w:tcBorders>
            <w:vAlign w:val="center"/>
          </w:tcPr>
          <w:p>
            <w:pPr>
              <w:pStyle w:val="18"/>
              <w:bidi w:val="0"/>
            </w:pPr>
            <w:r>
              <w:t>7225.06m×16m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0" w:hRule="atLeast"/>
        </w:trPr>
        <w:tc>
          <w:tcPr>
            <w:tcW w:w="335" w:type="pct"/>
            <w:vMerge w:val="continue"/>
            <w:tcBorders>
              <w:tl2br w:val="nil"/>
              <w:tr2bl w:val="nil"/>
            </w:tcBorders>
            <w:vAlign w:val="center"/>
          </w:tcPr>
          <w:p>
            <w:pPr>
              <w:pStyle w:val="18"/>
              <w:bidi w:val="0"/>
            </w:pPr>
          </w:p>
        </w:tc>
        <w:tc>
          <w:tcPr>
            <w:tcW w:w="469" w:type="pct"/>
            <w:vMerge w:val="continue"/>
            <w:tcBorders>
              <w:tl2br w:val="nil"/>
              <w:tr2bl w:val="nil"/>
            </w:tcBorders>
            <w:vAlign w:val="center"/>
          </w:tcPr>
          <w:p>
            <w:pPr>
              <w:pStyle w:val="18"/>
              <w:bidi w:val="0"/>
            </w:pPr>
          </w:p>
        </w:tc>
        <w:tc>
          <w:tcPr>
            <w:tcW w:w="325" w:type="pct"/>
            <w:vMerge w:val="restart"/>
            <w:tcBorders>
              <w:tl2br w:val="nil"/>
              <w:tr2bl w:val="nil"/>
            </w:tcBorders>
            <w:vAlign w:val="center"/>
          </w:tcPr>
          <w:p>
            <w:pPr>
              <w:pStyle w:val="18"/>
              <w:bidi w:val="0"/>
            </w:pPr>
            <w:r>
              <w:t>人非混行道</w:t>
            </w:r>
          </w:p>
        </w:tc>
        <w:tc>
          <w:tcPr>
            <w:tcW w:w="812" w:type="pct"/>
            <w:gridSpan w:val="2"/>
            <w:tcBorders>
              <w:tl2br w:val="nil"/>
              <w:tr2bl w:val="nil"/>
            </w:tcBorders>
            <w:vAlign w:val="center"/>
          </w:tcPr>
          <w:p>
            <w:pPr>
              <w:pStyle w:val="18"/>
              <w:bidi w:val="0"/>
            </w:pPr>
            <w:r>
              <w:t>部善街～哈密街</w:t>
            </w:r>
          </w:p>
        </w:tc>
        <w:tc>
          <w:tcPr>
            <w:tcW w:w="1429" w:type="pct"/>
            <w:tcBorders>
              <w:tl2br w:val="nil"/>
              <w:tr2bl w:val="nil"/>
            </w:tcBorders>
            <w:vAlign w:val="center"/>
          </w:tcPr>
          <w:p>
            <w:pPr>
              <w:pStyle w:val="18"/>
              <w:bidi w:val="0"/>
            </w:pPr>
            <w:r>
              <w:t>7225.06m×10m</w:t>
            </w:r>
          </w:p>
        </w:tc>
        <w:tc>
          <w:tcPr>
            <w:tcW w:w="1629" w:type="pct"/>
            <w:tcBorders>
              <w:tl2br w:val="nil"/>
              <w:tr2bl w:val="nil"/>
            </w:tcBorders>
            <w:vAlign w:val="center"/>
          </w:tcPr>
          <w:p>
            <w:pPr>
              <w:pStyle w:val="18"/>
              <w:bidi w:val="0"/>
            </w:pPr>
            <w:r>
              <w:t>7225.06m×10m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0" w:hRule="atLeast"/>
        </w:trPr>
        <w:tc>
          <w:tcPr>
            <w:tcW w:w="335" w:type="pct"/>
            <w:vMerge w:val="continue"/>
            <w:tcBorders>
              <w:tl2br w:val="nil"/>
              <w:tr2bl w:val="nil"/>
            </w:tcBorders>
            <w:vAlign w:val="center"/>
          </w:tcPr>
          <w:p>
            <w:pPr>
              <w:pStyle w:val="18"/>
              <w:bidi w:val="0"/>
            </w:pPr>
          </w:p>
        </w:tc>
        <w:tc>
          <w:tcPr>
            <w:tcW w:w="469" w:type="pct"/>
            <w:vMerge w:val="continue"/>
            <w:tcBorders>
              <w:tl2br w:val="nil"/>
              <w:tr2bl w:val="nil"/>
            </w:tcBorders>
            <w:vAlign w:val="center"/>
          </w:tcPr>
          <w:p>
            <w:pPr>
              <w:pStyle w:val="18"/>
              <w:bidi w:val="0"/>
            </w:pPr>
          </w:p>
        </w:tc>
        <w:tc>
          <w:tcPr>
            <w:tcW w:w="325" w:type="pct"/>
            <w:vMerge w:val="continue"/>
            <w:tcBorders>
              <w:tl2br w:val="nil"/>
              <w:tr2bl w:val="nil"/>
            </w:tcBorders>
            <w:vAlign w:val="center"/>
          </w:tcPr>
          <w:p>
            <w:pPr>
              <w:pStyle w:val="18"/>
              <w:bidi w:val="0"/>
            </w:pPr>
          </w:p>
        </w:tc>
        <w:tc>
          <w:tcPr>
            <w:tcW w:w="812" w:type="pct"/>
            <w:gridSpan w:val="2"/>
            <w:tcBorders>
              <w:tl2br w:val="nil"/>
              <w:tr2bl w:val="nil"/>
            </w:tcBorders>
            <w:vAlign w:val="center"/>
          </w:tcPr>
          <w:p>
            <w:pPr>
              <w:pStyle w:val="18"/>
              <w:bidi w:val="0"/>
            </w:pPr>
            <w:r>
              <w:t>哈密街～长江路</w:t>
            </w:r>
          </w:p>
        </w:tc>
        <w:tc>
          <w:tcPr>
            <w:tcW w:w="1429" w:type="pct"/>
            <w:tcBorders>
              <w:tl2br w:val="nil"/>
              <w:tr2bl w:val="nil"/>
            </w:tcBorders>
            <w:vAlign w:val="center"/>
          </w:tcPr>
          <w:p>
            <w:pPr>
              <w:pStyle w:val="18"/>
              <w:bidi w:val="0"/>
            </w:pPr>
            <w:r>
              <w:t>7225.06m×10m</w:t>
            </w:r>
          </w:p>
        </w:tc>
        <w:tc>
          <w:tcPr>
            <w:tcW w:w="1629" w:type="pct"/>
            <w:tcBorders>
              <w:tl2br w:val="nil"/>
              <w:tr2bl w:val="nil"/>
            </w:tcBorders>
            <w:vAlign w:val="center"/>
          </w:tcPr>
          <w:p>
            <w:pPr>
              <w:pStyle w:val="18"/>
              <w:bidi w:val="0"/>
            </w:pPr>
            <w:r>
              <w:t>7225.06m×10m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50" w:hRule="atLeast"/>
        </w:trPr>
        <w:tc>
          <w:tcPr>
            <w:tcW w:w="335" w:type="pct"/>
            <w:vMerge w:val="continue"/>
            <w:tcBorders>
              <w:tl2br w:val="nil"/>
              <w:tr2bl w:val="nil"/>
            </w:tcBorders>
            <w:vAlign w:val="center"/>
          </w:tcPr>
          <w:p>
            <w:pPr>
              <w:pStyle w:val="18"/>
              <w:bidi w:val="0"/>
            </w:pPr>
          </w:p>
        </w:tc>
        <w:tc>
          <w:tcPr>
            <w:tcW w:w="469" w:type="pct"/>
            <w:vMerge w:val="restart"/>
            <w:tcBorders>
              <w:tl2br w:val="nil"/>
              <w:tr2bl w:val="nil"/>
            </w:tcBorders>
            <w:vAlign w:val="center"/>
          </w:tcPr>
          <w:p>
            <w:pPr>
              <w:pStyle w:val="18"/>
              <w:bidi w:val="0"/>
            </w:pPr>
            <w:r>
              <w:t>绿化工程</w:t>
            </w:r>
          </w:p>
        </w:tc>
        <w:tc>
          <w:tcPr>
            <w:tcW w:w="325" w:type="pct"/>
            <w:vMerge w:val="restart"/>
            <w:tcBorders>
              <w:tl2br w:val="nil"/>
              <w:tr2bl w:val="nil"/>
            </w:tcBorders>
            <w:vAlign w:val="center"/>
          </w:tcPr>
          <w:p>
            <w:pPr>
              <w:pStyle w:val="18"/>
              <w:bidi w:val="0"/>
            </w:pPr>
            <w:r>
              <w:t>绿化设施带</w:t>
            </w:r>
          </w:p>
        </w:tc>
        <w:tc>
          <w:tcPr>
            <w:tcW w:w="812" w:type="pct"/>
            <w:gridSpan w:val="2"/>
            <w:tcBorders>
              <w:tl2br w:val="nil"/>
              <w:tr2bl w:val="nil"/>
            </w:tcBorders>
            <w:vAlign w:val="center"/>
          </w:tcPr>
          <w:p>
            <w:pPr>
              <w:pStyle w:val="18"/>
              <w:bidi w:val="0"/>
            </w:pPr>
            <w:r>
              <w:t>部善街～哈密街</w:t>
            </w:r>
          </w:p>
        </w:tc>
        <w:tc>
          <w:tcPr>
            <w:tcW w:w="1429" w:type="pct"/>
            <w:tcBorders>
              <w:tl2br w:val="nil"/>
              <w:tr2bl w:val="nil"/>
            </w:tcBorders>
            <w:vAlign w:val="center"/>
          </w:tcPr>
          <w:p>
            <w:pPr>
              <w:pStyle w:val="18"/>
              <w:bidi w:val="0"/>
            </w:pPr>
            <w:r>
              <w:t>7225.06m×14m</w:t>
            </w:r>
          </w:p>
        </w:tc>
        <w:tc>
          <w:tcPr>
            <w:tcW w:w="1629" w:type="pct"/>
            <w:tcBorders>
              <w:tl2br w:val="nil"/>
              <w:tr2bl w:val="nil"/>
            </w:tcBorders>
            <w:vAlign w:val="center"/>
          </w:tcPr>
          <w:p>
            <w:pPr>
              <w:pStyle w:val="18"/>
              <w:bidi w:val="0"/>
            </w:pPr>
            <w:r>
              <w:t>7225.06m×14m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59" w:hRule="atLeast"/>
        </w:trPr>
        <w:tc>
          <w:tcPr>
            <w:tcW w:w="335" w:type="pct"/>
            <w:vMerge w:val="continue"/>
            <w:tcBorders>
              <w:tl2br w:val="nil"/>
              <w:tr2bl w:val="nil"/>
            </w:tcBorders>
            <w:vAlign w:val="center"/>
          </w:tcPr>
          <w:p>
            <w:pPr>
              <w:pStyle w:val="18"/>
              <w:bidi w:val="0"/>
            </w:pPr>
          </w:p>
        </w:tc>
        <w:tc>
          <w:tcPr>
            <w:tcW w:w="469" w:type="pct"/>
            <w:vMerge w:val="continue"/>
            <w:tcBorders>
              <w:tl2br w:val="nil"/>
              <w:tr2bl w:val="nil"/>
            </w:tcBorders>
            <w:vAlign w:val="center"/>
          </w:tcPr>
          <w:p>
            <w:pPr>
              <w:pStyle w:val="18"/>
              <w:bidi w:val="0"/>
            </w:pPr>
          </w:p>
        </w:tc>
        <w:tc>
          <w:tcPr>
            <w:tcW w:w="325" w:type="pct"/>
            <w:vMerge w:val="continue"/>
            <w:tcBorders>
              <w:tl2br w:val="nil"/>
              <w:tr2bl w:val="nil"/>
            </w:tcBorders>
            <w:vAlign w:val="center"/>
          </w:tcPr>
          <w:p>
            <w:pPr>
              <w:pStyle w:val="18"/>
              <w:bidi w:val="0"/>
            </w:pPr>
          </w:p>
        </w:tc>
        <w:tc>
          <w:tcPr>
            <w:tcW w:w="812" w:type="pct"/>
            <w:gridSpan w:val="2"/>
            <w:tcBorders>
              <w:tl2br w:val="nil"/>
              <w:tr2bl w:val="nil"/>
            </w:tcBorders>
            <w:vAlign w:val="center"/>
          </w:tcPr>
          <w:p>
            <w:pPr>
              <w:pStyle w:val="18"/>
              <w:bidi w:val="0"/>
            </w:pPr>
            <w:r>
              <w:t>哈密街～长江路</w:t>
            </w:r>
          </w:p>
        </w:tc>
        <w:tc>
          <w:tcPr>
            <w:tcW w:w="1429" w:type="pct"/>
            <w:tcBorders>
              <w:tl2br w:val="nil"/>
              <w:tr2bl w:val="nil"/>
            </w:tcBorders>
            <w:vAlign w:val="center"/>
          </w:tcPr>
          <w:p>
            <w:pPr>
              <w:pStyle w:val="18"/>
              <w:bidi w:val="0"/>
            </w:pPr>
            <w:r>
              <w:t>7225.06m×40m</w:t>
            </w:r>
          </w:p>
        </w:tc>
        <w:tc>
          <w:tcPr>
            <w:tcW w:w="1629" w:type="pct"/>
            <w:tcBorders>
              <w:tl2br w:val="nil"/>
              <w:tr2bl w:val="nil"/>
            </w:tcBorders>
            <w:vAlign w:val="center"/>
          </w:tcPr>
          <w:p>
            <w:pPr>
              <w:pStyle w:val="18"/>
              <w:bidi w:val="0"/>
            </w:pPr>
            <w:r>
              <w:t>7225.06m×40m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70" w:hRule="atLeast"/>
        </w:trPr>
        <w:tc>
          <w:tcPr>
            <w:tcW w:w="335" w:type="pct"/>
            <w:vMerge w:val="continue"/>
            <w:tcBorders>
              <w:tl2br w:val="nil"/>
              <w:tr2bl w:val="nil"/>
            </w:tcBorders>
            <w:vAlign w:val="center"/>
          </w:tcPr>
          <w:p>
            <w:pPr>
              <w:pStyle w:val="18"/>
              <w:bidi w:val="0"/>
            </w:pPr>
          </w:p>
        </w:tc>
        <w:tc>
          <w:tcPr>
            <w:tcW w:w="469" w:type="pct"/>
            <w:vMerge w:val="continue"/>
            <w:tcBorders>
              <w:tl2br w:val="nil"/>
              <w:tr2bl w:val="nil"/>
            </w:tcBorders>
            <w:vAlign w:val="center"/>
          </w:tcPr>
          <w:p>
            <w:pPr>
              <w:pStyle w:val="18"/>
              <w:bidi w:val="0"/>
            </w:pPr>
          </w:p>
        </w:tc>
        <w:tc>
          <w:tcPr>
            <w:tcW w:w="325" w:type="pct"/>
            <w:vMerge w:val="restart"/>
            <w:tcBorders>
              <w:tl2br w:val="nil"/>
              <w:tr2bl w:val="nil"/>
            </w:tcBorders>
            <w:vAlign w:val="center"/>
          </w:tcPr>
          <w:p>
            <w:pPr>
              <w:pStyle w:val="18"/>
              <w:bidi w:val="0"/>
            </w:pPr>
            <w:r>
              <w:t>绿化带</w:t>
            </w:r>
          </w:p>
        </w:tc>
        <w:tc>
          <w:tcPr>
            <w:tcW w:w="812" w:type="pct"/>
            <w:gridSpan w:val="2"/>
            <w:tcBorders>
              <w:tl2br w:val="nil"/>
              <w:tr2bl w:val="nil"/>
            </w:tcBorders>
            <w:vAlign w:val="center"/>
          </w:tcPr>
          <w:p>
            <w:pPr>
              <w:pStyle w:val="18"/>
              <w:bidi w:val="0"/>
            </w:pPr>
            <w:r>
              <w:t>部善街～哈密街</w:t>
            </w:r>
          </w:p>
        </w:tc>
        <w:tc>
          <w:tcPr>
            <w:tcW w:w="1429" w:type="pct"/>
            <w:tcBorders>
              <w:tl2br w:val="nil"/>
              <w:tr2bl w:val="nil"/>
            </w:tcBorders>
            <w:vAlign w:val="center"/>
          </w:tcPr>
          <w:p>
            <w:pPr>
              <w:pStyle w:val="18"/>
              <w:bidi w:val="0"/>
            </w:pPr>
            <w:r>
              <w:t>7225.06m×12m</w:t>
            </w:r>
          </w:p>
        </w:tc>
        <w:tc>
          <w:tcPr>
            <w:tcW w:w="1629" w:type="pct"/>
            <w:tcBorders>
              <w:tl2br w:val="nil"/>
              <w:tr2bl w:val="nil"/>
            </w:tcBorders>
            <w:vAlign w:val="center"/>
          </w:tcPr>
          <w:p>
            <w:pPr>
              <w:pStyle w:val="18"/>
              <w:bidi w:val="0"/>
            </w:pPr>
            <w:r>
              <w:t>7225.06m×12m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0" w:hRule="atLeast"/>
        </w:trPr>
        <w:tc>
          <w:tcPr>
            <w:tcW w:w="335" w:type="pct"/>
            <w:vMerge w:val="continue"/>
            <w:tcBorders>
              <w:tl2br w:val="nil"/>
              <w:tr2bl w:val="nil"/>
            </w:tcBorders>
            <w:vAlign w:val="center"/>
          </w:tcPr>
          <w:p>
            <w:pPr>
              <w:pStyle w:val="18"/>
              <w:bidi w:val="0"/>
            </w:pPr>
          </w:p>
        </w:tc>
        <w:tc>
          <w:tcPr>
            <w:tcW w:w="469" w:type="pct"/>
            <w:vMerge w:val="continue"/>
            <w:tcBorders>
              <w:tl2br w:val="nil"/>
              <w:tr2bl w:val="nil"/>
            </w:tcBorders>
            <w:vAlign w:val="center"/>
          </w:tcPr>
          <w:p>
            <w:pPr>
              <w:pStyle w:val="18"/>
              <w:bidi w:val="0"/>
            </w:pPr>
          </w:p>
        </w:tc>
        <w:tc>
          <w:tcPr>
            <w:tcW w:w="325" w:type="pct"/>
            <w:vMerge w:val="continue"/>
            <w:tcBorders>
              <w:tl2br w:val="nil"/>
              <w:tr2bl w:val="nil"/>
            </w:tcBorders>
            <w:vAlign w:val="center"/>
          </w:tcPr>
          <w:p>
            <w:pPr>
              <w:pStyle w:val="18"/>
              <w:bidi w:val="0"/>
            </w:pPr>
          </w:p>
        </w:tc>
        <w:tc>
          <w:tcPr>
            <w:tcW w:w="812" w:type="pct"/>
            <w:gridSpan w:val="2"/>
            <w:tcBorders>
              <w:tl2br w:val="nil"/>
              <w:tr2bl w:val="nil"/>
            </w:tcBorders>
            <w:vAlign w:val="center"/>
          </w:tcPr>
          <w:p>
            <w:pPr>
              <w:pStyle w:val="18"/>
              <w:bidi w:val="0"/>
            </w:pPr>
            <w:r>
              <w:t>哈密街～长江路</w:t>
            </w:r>
          </w:p>
        </w:tc>
        <w:tc>
          <w:tcPr>
            <w:tcW w:w="1429" w:type="pct"/>
            <w:tcBorders>
              <w:tl2br w:val="nil"/>
              <w:tr2bl w:val="nil"/>
            </w:tcBorders>
            <w:vAlign w:val="center"/>
          </w:tcPr>
          <w:p>
            <w:pPr>
              <w:pStyle w:val="18"/>
              <w:bidi w:val="0"/>
            </w:pPr>
            <w:r>
              <w:t>7225.06m×14m</w:t>
            </w:r>
          </w:p>
        </w:tc>
        <w:tc>
          <w:tcPr>
            <w:tcW w:w="1629" w:type="pct"/>
            <w:tcBorders>
              <w:tl2br w:val="nil"/>
              <w:tr2bl w:val="nil"/>
            </w:tcBorders>
            <w:vAlign w:val="center"/>
          </w:tcPr>
          <w:p>
            <w:pPr>
              <w:pStyle w:val="18"/>
              <w:bidi w:val="0"/>
            </w:pPr>
            <w:r>
              <w:t>7225.06m×14m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1029" w:hRule="atLeast"/>
        </w:trPr>
        <w:tc>
          <w:tcPr>
            <w:tcW w:w="335" w:type="pct"/>
            <w:vMerge w:val="continue"/>
            <w:tcBorders>
              <w:tl2br w:val="nil"/>
              <w:tr2bl w:val="nil"/>
            </w:tcBorders>
            <w:vAlign w:val="center"/>
          </w:tcPr>
          <w:p>
            <w:pPr>
              <w:pStyle w:val="18"/>
              <w:bidi w:val="0"/>
            </w:pPr>
          </w:p>
        </w:tc>
        <w:tc>
          <w:tcPr>
            <w:tcW w:w="469" w:type="pct"/>
            <w:tcBorders>
              <w:tl2br w:val="nil"/>
              <w:tr2bl w:val="nil"/>
            </w:tcBorders>
            <w:vAlign w:val="center"/>
          </w:tcPr>
          <w:p>
            <w:pPr>
              <w:pStyle w:val="18"/>
              <w:bidi w:val="0"/>
            </w:pPr>
            <w:r>
              <w:t>排水管网</w:t>
            </w:r>
          </w:p>
        </w:tc>
        <w:tc>
          <w:tcPr>
            <w:tcW w:w="1137" w:type="pct"/>
            <w:gridSpan w:val="3"/>
            <w:tcBorders>
              <w:tl2br w:val="nil"/>
              <w:tr2bl w:val="nil"/>
            </w:tcBorders>
            <w:vAlign w:val="center"/>
          </w:tcPr>
          <w:p>
            <w:pPr>
              <w:pStyle w:val="18"/>
              <w:bidi w:val="0"/>
            </w:pPr>
            <w:r>
              <w:t>/</w:t>
            </w:r>
          </w:p>
        </w:tc>
        <w:tc>
          <w:tcPr>
            <w:tcW w:w="1429" w:type="pct"/>
            <w:tcBorders>
              <w:tl2br w:val="nil"/>
              <w:tr2bl w:val="nil"/>
            </w:tcBorders>
            <w:vAlign w:val="center"/>
          </w:tcPr>
          <w:p>
            <w:pPr>
              <w:pStyle w:val="18"/>
              <w:bidi w:val="0"/>
            </w:pPr>
            <w:r>
              <w:rPr>
                <w:lang w:val="en-US" w:eastAsia="en-US"/>
              </w:rPr>
              <w:t>给水管道长约8957m</w:t>
            </w:r>
            <w:r>
              <w:rPr>
                <w:rFonts w:hint="eastAsia"/>
                <w:lang w:val="en-US" w:eastAsia="zh-CN"/>
              </w:rPr>
              <w:t>，</w:t>
            </w:r>
            <w:r>
              <w:rPr>
                <w:lang w:val="en-US" w:eastAsia="en-US"/>
              </w:rPr>
              <w:t>重力排水管道长约7115m</w:t>
            </w:r>
            <w:r>
              <w:rPr>
                <w:rFonts w:hint="eastAsia"/>
                <w:lang w:val="en-US" w:eastAsia="zh-CN"/>
              </w:rPr>
              <w:t>，</w:t>
            </w:r>
            <w:r>
              <w:rPr>
                <w:lang w:val="en-US" w:eastAsia="en-US"/>
              </w:rPr>
              <w:t>压力排水管道长约2908m。</w:t>
            </w:r>
          </w:p>
        </w:tc>
        <w:tc>
          <w:tcPr>
            <w:tcW w:w="1629" w:type="pct"/>
            <w:tcBorders>
              <w:tl2br w:val="nil"/>
              <w:tr2bl w:val="nil"/>
            </w:tcBorders>
            <w:vAlign w:val="center"/>
          </w:tcPr>
          <w:p>
            <w:pPr>
              <w:pStyle w:val="18"/>
              <w:bidi w:val="0"/>
              <w:rPr>
                <w:lang w:val="en-US" w:eastAsia="en-US"/>
              </w:rPr>
            </w:pPr>
            <w:r>
              <w:rPr>
                <w:lang w:val="en-US" w:eastAsia="en-US"/>
              </w:rPr>
              <w:t>给水管道长约8957m</w:t>
            </w:r>
            <w:r>
              <w:rPr>
                <w:rFonts w:hint="eastAsia"/>
                <w:lang w:val="en-US" w:eastAsia="zh-CN"/>
              </w:rPr>
              <w:t>，</w:t>
            </w:r>
            <w:r>
              <w:rPr>
                <w:lang w:val="en-US" w:eastAsia="en-US"/>
              </w:rPr>
              <w:t>重力排水管道长约7115m</w:t>
            </w:r>
            <w:r>
              <w:rPr>
                <w:rFonts w:hint="eastAsia"/>
                <w:lang w:val="en-US" w:eastAsia="zh-CN"/>
              </w:rPr>
              <w:t>，</w:t>
            </w:r>
            <w:r>
              <w:rPr>
                <w:lang w:val="en-US" w:eastAsia="en-US"/>
              </w:rPr>
              <w:t>压力排水管道长约2908m。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70" w:hRule="atLeast"/>
        </w:trPr>
        <w:tc>
          <w:tcPr>
            <w:tcW w:w="335" w:type="pct"/>
            <w:vMerge w:val="continue"/>
            <w:tcBorders>
              <w:tl2br w:val="nil"/>
              <w:tr2bl w:val="nil"/>
            </w:tcBorders>
            <w:vAlign w:val="center"/>
          </w:tcPr>
          <w:p>
            <w:pPr>
              <w:pStyle w:val="18"/>
              <w:bidi w:val="0"/>
            </w:pPr>
          </w:p>
        </w:tc>
        <w:tc>
          <w:tcPr>
            <w:tcW w:w="3035" w:type="pct"/>
            <w:gridSpan w:val="5"/>
            <w:tcBorders>
              <w:tl2br w:val="nil"/>
              <w:tr2bl w:val="nil"/>
            </w:tcBorders>
            <w:vAlign w:val="center"/>
          </w:tcPr>
          <w:p>
            <w:pPr>
              <w:pStyle w:val="18"/>
              <w:bidi w:val="0"/>
            </w:pPr>
            <w:r>
              <w:t>南环路东延</w:t>
            </w:r>
          </w:p>
        </w:tc>
        <w:tc>
          <w:tcPr>
            <w:tcW w:w="1629" w:type="pct"/>
            <w:tcBorders>
              <w:tl2br w:val="nil"/>
              <w:tr2bl w:val="nil"/>
            </w:tcBorders>
            <w:vAlign w:val="center"/>
          </w:tcPr>
          <w:p>
            <w:pPr>
              <w:pStyle w:val="18"/>
              <w:bidi w:val="0"/>
            </w:pPr>
            <w:r>
              <w:t>南环路东延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0" w:hRule="atLeast"/>
        </w:trPr>
        <w:tc>
          <w:tcPr>
            <w:tcW w:w="335" w:type="pct"/>
            <w:vMerge w:val="continue"/>
            <w:tcBorders>
              <w:tl2br w:val="nil"/>
              <w:tr2bl w:val="nil"/>
            </w:tcBorders>
            <w:vAlign w:val="center"/>
          </w:tcPr>
          <w:p>
            <w:pPr>
              <w:pStyle w:val="18"/>
              <w:bidi w:val="0"/>
            </w:pPr>
          </w:p>
        </w:tc>
        <w:tc>
          <w:tcPr>
            <w:tcW w:w="469" w:type="pct"/>
            <w:vMerge w:val="restart"/>
            <w:tcBorders>
              <w:tl2br w:val="nil"/>
              <w:tr2bl w:val="nil"/>
            </w:tcBorders>
            <w:vAlign w:val="center"/>
          </w:tcPr>
          <w:p>
            <w:pPr>
              <w:pStyle w:val="18"/>
              <w:bidi w:val="0"/>
            </w:pPr>
            <w:r>
              <w:t>道路工程</w:t>
            </w:r>
          </w:p>
        </w:tc>
        <w:tc>
          <w:tcPr>
            <w:tcW w:w="988" w:type="pct"/>
            <w:gridSpan w:val="2"/>
            <w:tcBorders>
              <w:tl2br w:val="nil"/>
              <w:tr2bl w:val="nil"/>
            </w:tcBorders>
            <w:vAlign w:val="center"/>
          </w:tcPr>
          <w:p>
            <w:pPr>
              <w:pStyle w:val="18"/>
              <w:bidi w:val="0"/>
            </w:pPr>
            <w:r>
              <w:t>行车道</w:t>
            </w:r>
          </w:p>
        </w:tc>
        <w:tc>
          <w:tcPr>
            <w:tcW w:w="1578" w:type="pct"/>
            <w:gridSpan w:val="2"/>
            <w:tcBorders>
              <w:tl2br w:val="nil"/>
              <w:tr2bl w:val="nil"/>
            </w:tcBorders>
            <w:vAlign w:val="center"/>
          </w:tcPr>
          <w:p>
            <w:pPr>
              <w:pStyle w:val="18"/>
              <w:bidi w:val="0"/>
            </w:pPr>
            <w:r>
              <w:t>3127.66m×16m</w:t>
            </w:r>
          </w:p>
        </w:tc>
        <w:tc>
          <w:tcPr>
            <w:tcW w:w="1629" w:type="pct"/>
            <w:tcBorders>
              <w:tl2br w:val="nil"/>
              <w:tr2bl w:val="nil"/>
            </w:tcBorders>
            <w:vAlign w:val="center"/>
          </w:tcPr>
          <w:p>
            <w:pPr>
              <w:pStyle w:val="18"/>
              <w:bidi w:val="0"/>
            </w:pPr>
            <w:r>
              <w:t>3127.66m×16m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39" w:hRule="atLeast"/>
        </w:trPr>
        <w:tc>
          <w:tcPr>
            <w:tcW w:w="335" w:type="pct"/>
            <w:vMerge w:val="continue"/>
            <w:tcBorders>
              <w:tl2br w:val="nil"/>
              <w:tr2bl w:val="nil"/>
            </w:tcBorders>
            <w:vAlign w:val="center"/>
          </w:tcPr>
          <w:p>
            <w:pPr>
              <w:pStyle w:val="18"/>
              <w:bidi w:val="0"/>
            </w:pPr>
          </w:p>
        </w:tc>
        <w:tc>
          <w:tcPr>
            <w:tcW w:w="469" w:type="pct"/>
            <w:vMerge w:val="continue"/>
            <w:tcBorders>
              <w:tl2br w:val="nil"/>
              <w:tr2bl w:val="nil"/>
            </w:tcBorders>
            <w:vAlign w:val="center"/>
          </w:tcPr>
          <w:p>
            <w:pPr>
              <w:pStyle w:val="18"/>
              <w:bidi w:val="0"/>
            </w:pPr>
          </w:p>
        </w:tc>
        <w:tc>
          <w:tcPr>
            <w:tcW w:w="988" w:type="pct"/>
            <w:gridSpan w:val="2"/>
            <w:tcBorders>
              <w:tl2br w:val="nil"/>
              <w:tr2bl w:val="nil"/>
            </w:tcBorders>
            <w:vAlign w:val="center"/>
          </w:tcPr>
          <w:p>
            <w:pPr>
              <w:pStyle w:val="18"/>
              <w:bidi w:val="0"/>
            </w:pPr>
            <w:r>
              <w:t>人行道</w:t>
            </w:r>
          </w:p>
        </w:tc>
        <w:tc>
          <w:tcPr>
            <w:tcW w:w="1578" w:type="pct"/>
            <w:gridSpan w:val="2"/>
            <w:tcBorders>
              <w:tl2br w:val="nil"/>
              <w:tr2bl w:val="nil"/>
            </w:tcBorders>
            <w:vAlign w:val="center"/>
          </w:tcPr>
          <w:p>
            <w:pPr>
              <w:pStyle w:val="18"/>
              <w:bidi w:val="0"/>
            </w:pPr>
            <w:r>
              <w:t>3127.66m×15m</w:t>
            </w:r>
          </w:p>
        </w:tc>
        <w:tc>
          <w:tcPr>
            <w:tcW w:w="1629" w:type="pct"/>
            <w:tcBorders>
              <w:tl2br w:val="nil"/>
              <w:tr2bl w:val="nil"/>
            </w:tcBorders>
            <w:vAlign w:val="center"/>
          </w:tcPr>
          <w:p>
            <w:pPr>
              <w:pStyle w:val="18"/>
              <w:bidi w:val="0"/>
            </w:pPr>
            <w:r>
              <w:t>3127.66m×15m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709" w:hRule="atLeast"/>
        </w:trPr>
        <w:tc>
          <w:tcPr>
            <w:tcW w:w="335" w:type="pct"/>
            <w:vMerge w:val="continue"/>
            <w:tcBorders>
              <w:tl2br w:val="nil"/>
              <w:tr2bl w:val="nil"/>
            </w:tcBorders>
            <w:vAlign w:val="center"/>
          </w:tcPr>
          <w:p>
            <w:pPr>
              <w:pStyle w:val="18"/>
              <w:bidi w:val="0"/>
            </w:pPr>
          </w:p>
        </w:tc>
        <w:tc>
          <w:tcPr>
            <w:tcW w:w="469" w:type="pct"/>
            <w:tcBorders>
              <w:tl2br w:val="nil"/>
              <w:tr2bl w:val="nil"/>
            </w:tcBorders>
            <w:vAlign w:val="center"/>
          </w:tcPr>
          <w:p>
            <w:pPr>
              <w:pStyle w:val="18"/>
              <w:bidi w:val="0"/>
            </w:pPr>
            <w:r>
              <w:t>绿化工程</w:t>
            </w:r>
          </w:p>
        </w:tc>
        <w:tc>
          <w:tcPr>
            <w:tcW w:w="988" w:type="pct"/>
            <w:gridSpan w:val="2"/>
            <w:tcBorders>
              <w:tl2br w:val="nil"/>
              <w:tr2bl w:val="nil"/>
            </w:tcBorders>
            <w:vAlign w:val="center"/>
          </w:tcPr>
          <w:p>
            <w:pPr>
              <w:pStyle w:val="18"/>
              <w:bidi w:val="0"/>
            </w:pPr>
            <w:r>
              <w:t>绿化带</w:t>
            </w:r>
          </w:p>
        </w:tc>
        <w:tc>
          <w:tcPr>
            <w:tcW w:w="1578" w:type="pct"/>
            <w:gridSpan w:val="2"/>
            <w:tcBorders>
              <w:tl2br w:val="nil"/>
              <w:tr2bl w:val="nil"/>
            </w:tcBorders>
            <w:vAlign w:val="center"/>
          </w:tcPr>
          <w:p>
            <w:pPr>
              <w:pStyle w:val="18"/>
              <w:bidi w:val="0"/>
            </w:pPr>
            <w:r>
              <w:t>3127.66m×15m</w:t>
            </w:r>
          </w:p>
        </w:tc>
        <w:tc>
          <w:tcPr>
            <w:tcW w:w="1629" w:type="pct"/>
            <w:tcBorders>
              <w:tl2br w:val="nil"/>
              <w:tr2bl w:val="nil"/>
            </w:tcBorders>
            <w:vAlign w:val="center"/>
          </w:tcPr>
          <w:p>
            <w:pPr>
              <w:pStyle w:val="18"/>
              <w:bidi w:val="0"/>
            </w:pPr>
            <w:r>
              <w:t>3127.66m×15m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49" w:hRule="atLeast"/>
        </w:trPr>
        <w:tc>
          <w:tcPr>
            <w:tcW w:w="335" w:type="pct"/>
            <w:vMerge w:val="continue"/>
            <w:tcBorders>
              <w:tl2br w:val="nil"/>
              <w:tr2bl w:val="nil"/>
            </w:tcBorders>
            <w:vAlign w:val="center"/>
          </w:tcPr>
          <w:p>
            <w:pPr>
              <w:pStyle w:val="18"/>
              <w:bidi w:val="0"/>
            </w:pPr>
          </w:p>
        </w:tc>
        <w:tc>
          <w:tcPr>
            <w:tcW w:w="3035" w:type="pct"/>
            <w:gridSpan w:val="5"/>
            <w:tcBorders>
              <w:tl2br w:val="nil"/>
              <w:tr2bl w:val="nil"/>
            </w:tcBorders>
            <w:vAlign w:val="center"/>
          </w:tcPr>
          <w:p>
            <w:pPr>
              <w:pStyle w:val="18"/>
              <w:bidi w:val="0"/>
            </w:pPr>
            <w:r>
              <w:t>淮河路</w:t>
            </w:r>
          </w:p>
        </w:tc>
        <w:tc>
          <w:tcPr>
            <w:tcW w:w="1629" w:type="pct"/>
            <w:tcBorders>
              <w:tl2br w:val="nil"/>
              <w:tr2bl w:val="nil"/>
            </w:tcBorders>
            <w:vAlign w:val="center"/>
          </w:tcPr>
          <w:p>
            <w:pPr>
              <w:pStyle w:val="18"/>
              <w:bidi w:val="0"/>
            </w:pPr>
            <w:r>
              <w:t>淮河路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50" w:hRule="atLeast"/>
        </w:trPr>
        <w:tc>
          <w:tcPr>
            <w:tcW w:w="335" w:type="pct"/>
            <w:vMerge w:val="continue"/>
            <w:tcBorders>
              <w:tl2br w:val="nil"/>
              <w:tr2bl w:val="nil"/>
            </w:tcBorders>
            <w:vAlign w:val="center"/>
          </w:tcPr>
          <w:p>
            <w:pPr>
              <w:pStyle w:val="18"/>
              <w:bidi w:val="0"/>
            </w:pPr>
          </w:p>
        </w:tc>
        <w:tc>
          <w:tcPr>
            <w:tcW w:w="469" w:type="pct"/>
            <w:vMerge w:val="restart"/>
            <w:tcBorders>
              <w:tl2br w:val="nil"/>
              <w:tr2bl w:val="nil"/>
            </w:tcBorders>
            <w:vAlign w:val="center"/>
          </w:tcPr>
          <w:p>
            <w:pPr>
              <w:pStyle w:val="18"/>
              <w:bidi w:val="0"/>
            </w:pPr>
            <w:r>
              <w:t>道路工程</w:t>
            </w:r>
          </w:p>
        </w:tc>
        <w:tc>
          <w:tcPr>
            <w:tcW w:w="988" w:type="pct"/>
            <w:gridSpan w:val="2"/>
            <w:tcBorders>
              <w:tl2br w:val="nil"/>
              <w:tr2bl w:val="nil"/>
            </w:tcBorders>
            <w:vAlign w:val="center"/>
          </w:tcPr>
          <w:p>
            <w:pPr>
              <w:pStyle w:val="18"/>
              <w:bidi w:val="0"/>
            </w:pPr>
            <w:r>
              <w:t>行车道</w:t>
            </w:r>
          </w:p>
        </w:tc>
        <w:tc>
          <w:tcPr>
            <w:tcW w:w="1578" w:type="pct"/>
            <w:gridSpan w:val="2"/>
            <w:tcBorders>
              <w:tl2br w:val="nil"/>
              <w:tr2bl w:val="nil"/>
            </w:tcBorders>
            <w:vAlign w:val="center"/>
          </w:tcPr>
          <w:p>
            <w:pPr>
              <w:pStyle w:val="18"/>
              <w:bidi w:val="0"/>
            </w:pPr>
            <w:r>
              <w:t>1248.78m×16m</w:t>
            </w:r>
          </w:p>
        </w:tc>
        <w:tc>
          <w:tcPr>
            <w:tcW w:w="1629" w:type="pct"/>
            <w:tcBorders>
              <w:tl2br w:val="nil"/>
              <w:tr2bl w:val="nil"/>
            </w:tcBorders>
            <w:vAlign w:val="center"/>
          </w:tcPr>
          <w:p>
            <w:pPr>
              <w:pStyle w:val="18"/>
              <w:bidi w:val="0"/>
            </w:pPr>
            <w:r>
              <w:t>1248.78m×16m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59" w:hRule="atLeast"/>
        </w:trPr>
        <w:tc>
          <w:tcPr>
            <w:tcW w:w="335" w:type="pct"/>
            <w:vMerge w:val="continue"/>
            <w:tcBorders>
              <w:tl2br w:val="nil"/>
              <w:tr2bl w:val="nil"/>
            </w:tcBorders>
            <w:vAlign w:val="center"/>
          </w:tcPr>
          <w:p>
            <w:pPr>
              <w:pStyle w:val="18"/>
              <w:bidi w:val="0"/>
            </w:pPr>
          </w:p>
        </w:tc>
        <w:tc>
          <w:tcPr>
            <w:tcW w:w="469" w:type="pct"/>
            <w:vMerge w:val="continue"/>
            <w:tcBorders>
              <w:tl2br w:val="nil"/>
              <w:tr2bl w:val="nil"/>
            </w:tcBorders>
            <w:vAlign w:val="center"/>
          </w:tcPr>
          <w:p>
            <w:pPr>
              <w:pStyle w:val="18"/>
              <w:bidi w:val="0"/>
            </w:pPr>
          </w:p>
        </w:tc>
        <w:tc>
          <w:tcPr>
            <w:tcW w:w="988" w:type="pct"/>
            <w:gridSpan w:val="2"/>
            <w:tcBorders>
              <w:tl2br w:val="nil"/>
              <w:tr2bl w:val="nil"/>
            </w:tcBorders>
            <w:vAlign w:val="center"/>
          </w:tcPr>
          <w:p>
            <w:pPr>
              <w:pStyle w:val="18"/>
              <w:bidi w:val="0"/>
            </w:pPr>
            <w:r>
              <w:t>人行道</w:t>
            </w:r>
          </w:p>
        </w:tc>
        <w:tc>
          <w:tcPr>
            <w:tcW w:w="1578" w:type="pct"/>
            <w:gridSpan w:val="2"/>
            <w:tcBorders>
              <w:tl2br w:val="nil"/>
              <w:tr2bl w:val="nil"/>
            </w:tcBorders>
            <w:vAlign w:val="center"/>
          </w:tcPr>
          <w:p>
            <w:pPr>
              <w:pStyle w:val="18"/>
              <w:bidi w:val="0"/>
            </w:pPr>
            <w:r>
              <w:t>1248.78m×3m</w:t>
            </w:r>
          </w:p>
        </w:tc>
        <w:tc>
          <w:tcPr>
            <w:tcW w:w="1629" w:type="pct"/>
            <w:tcBorders>
              <w:tl2br w:val="nil"/>
              <w:tr2bl w:val="nil"/>
            </w:tcBorders>
            <w:vAlign w:val="center"/>
          </w:tcPr>
          <w:p>
            <w:pPr>
              <w:pStyle w:val="18"/>
              <w:bidi w:val="0"/>
            </w:pPr>
            <w:r>
              <w:t>1248.78m×3m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719" w:hRule="atLeast"/>
        </w:trPr>
        <w:tc>
          <w:tcPr>
            <w:tcW w:w="335" w:type="pct"/>
            <w:vMerge w:val="continue"/>
            <w:tcBorders>
              <w:tl2br w:val="nil"/>
              <w:tr2bl w:val="nil"/>
            </w:tcBorders>
            <w:vAlign w:val="center"/>
          </w:tcPr>
          <w:p>
            <w:pPr>
              <w:pStyle w:val="18"/>
              <w:bidi w:val="0"/>
            </w:pPr>
          </w:p>
        </w:tc>
        <w:tc>
          <w:tcPr>
            <w:tcW w:w="469" w:type="pct"/>
            <w:tcBorders>
              <w:tl2br w:val="nil"/>
              <w:tr2bl w:val="nil"/>
            </w:tcBorders>
            <w:vAlign w:val="center"/>
          </w:tcPr>
          <w:p>
            <w:pPr>
              <w:pStyle w:val="18"/>
              <w:bidi w:val="0"/>
            </w:pPr>
            <w:r>
              <w:t>绿化工程</w:t>
            </w:r>
          </w:p>
        </w:tc>
        <w:tc>
          <w:tcPr>
            <w:tcW w:w="988" w:type="pct"/>
            <w:gridSpan w:val="2"/>
            <w:tcBorders>
              <w:tl2br w:val="nil"/>
              <w:tr2bl w:val="nil"/>
            </w:tcBorders>
            <w:vAlign w:val="center"/>
          </w:tcPr>
          <w:p>
            <w:pPr>
              <w:pStyle w:val="18"/>
              <w:bidi w:val="0"/>
            </w:pPr>
            <w:r>
              <w:t>绿化带</w:t>
            </w:r>
          </w:p>
        </w:tc>
        <w:tc>
          <w:tcPr>
            <w:tcW w:w="1578" w:type="pct"/>
            <w:gridSpan w:val="2"/>
            <w:tcBorders>
              <w:tl2br w:val="nil"/>
              <w:tr2bl w:val="nil"/>
            </w:tcBorders>
            <w:vAlign w:val="center"/>
          </w:tcPr>
          <w:p>
            <w:pPr>
              <w:pStyle w:val="18"/>
              <w:bidi w:val="0"/>
            </w:pPr>
          </w:p>
          <w:p>
            <w:pPr>
              <w:pStyle w:val="18"/>
              <w:bidi w:val="0"/>
            </w:pPr>
            <w:r>
              <w:t>1248.78m×12m</w:t>
            </w:r>
          </w:p>
        </w:tc>
        <w:tc>
          <w:tcPr>
            <w:tcW w:w="1629" w:type="pct"/>
            <w:tcBorders>
              <w:tl2br w:val="nil"/>
              <w:tr2bl w:val="nil"/>
            </w:tcBorders>
            <w:vAlign w:val="center"/>
          </w:tcPr>
          <w:p>
            <w:pPr>
              <w:pStyle w:val="18"/>
              <w:bidi w:val="0"/>
            </w:pPr>
          </w:p>
          <w:p>
            <w:pPr>
              <w:pStyle w:val="18"/>
              <w:bidi w:val="0"/>
            </w:pPr>
            <w:r>
              <w:t>1248.78m×12m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739" w:hRule="atLeast"/>
        </w:trPr>
        <w:tc>
          <w:tcPr>
            <w:tcW w:w="335" w:type="pct"/>
            <w:vMerge w:val="continue"/>
            <w:tcBorders>
              <w:tl2br w:val="nil"/>
              <w:tr2bl w:val="nil"/>
            </w:tcBorders>
            <w:vAlign w:val="center"/>
          </w:tcPr>
          <w:p>
            <w:pPr>
              <w:pStyle w:val="18"/>
              <w:bidi w:val="0"/>
            </w:pPr>
          </w:p>
        </w:tc>
        <w:tc>
          <w:tcPr>
            <w:tcW w:w="469" w:type="pct"/>
            <w:tcBorders>
              <w:tl2br w:val="nil"/>
              <w:tr2bl w:val="nil"/>
            </w:tcBorders>
            <w:vAlign w:val="center"/>
          </w:tcPr>
          <w:p>
            <w:pPr>
              <w:pStyle w:val="18"/>
              <w:bidi w:val="0"/>
            </w:pPr>
            <w:r>
              <w:t>排水管网</w:t>
            </w:r>
          </w:p>
        </w:tc>
        <w:tc>
          <w:tcPr>
            <w:tcW w:w="988" w:type="pct"/>
            <w:gridSpan w:val="2"/>
            <w:tcBorders>
              <w:tl2br w:val="nil"/>
              <w:tr2bl w:val="nil"/>
            </w:tcBorders>
            <w:vAlign w:val="center"/>
          </w:tcPr>
          <w:p>
            <w:pPr>
              <w:pStyle w:val="18"/>
              <w:bidi w:val="0"/>
            </w:pPr>
            <w:r>
              <w:t>/</w:t>
            </w:r>
          </w:p>
        </w:tc>
        <w:tc>
          <w:tcPr>
            <w:tcW w:w="1578" w:type="pct"/>
            <w:gridSpan w:val="2"/>
            <w:tcBorders>
              <w:tl2br w:val="nil"/>
              <w:tr2bl w:val="nil"/>
            </w:tcBorders>
            <w:vAlign w:val="center"/>
          </w:tcPr>
          <w:p>
            <w:pPr>
              <w:pStyle w:val="18"/>
              <w:bidi w:val="0"/>
            </w:pPr>
            <w:r>
              <w:t>排水管道长约1130m</w:t>
            </w:r>
          </w:p>
        </w:tc>
        <w:tc>
          <w:tcPr>
            <w:tcW w:w="1629" w:type="pct"/>
            <w:tcBorders>
              <w:tl2br w:val="nil"/>
              <w:tr2bl w:val="nil"/>
            </w:tcBorders>
            <w:vAlign w:val="center"/>
          </w:tcPr>
          <w:p>
            <w:pPr>
              <w:pStyle w:val="18"/>
              <w:bidi w:val="0"/>
            </w:pPr>
            <w:r>
              <w:t>排水管道长约1130m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335" w:type="pct"/>
            <w:vMerge w:val="continue"/>
            <w:tcBorders>
              <w:tl2br w:val="nil"/>
              <w:tr2bl w:val="nil"/>
            </w:tcBorders>
            <w:vAlign w:val="center"/>
          </w:tcPr>
          <w:p>
            <w:pPr>
              <w:pStyle w:val="18"/>
              <w:bidi w:val="0"/>
            </w:pPr>
          </w:p>
        </w:tc>
        <w:tc>
          <w:tcPr>
            <w:tcW w:w="3035" w:type="pct"/>
            <w:gridSpan w:val="5"/>
            <w:tcBorders>
              <w:tl2br w:val="nil"/>
              <w:tr2bl w:val="nil"/>
            </w:tcBorders>
            <w:vAlign w:val="center"/>
          </w:tcPr>
          <w:p>
            <w:pPr>
              <w:pStyle w:val="18"/>
              <w:bidi w:val="0"/>
            </w:pPr>
            <w:r>
              <w:t>东外环路</w:t>
            </w:r>
          </w:p>
        </w:tc>
        <w:tc>
          <w:tcPr>
            <w:tcW w:w="1629" w:type="pct"/>
            <w:tcBorders>
              <w:tl2br w:val="nil"/>
              <w:tr2bl w:val="nil"/>
            </w:tcBorders>
            <w:vAlign w:val="center"/>
          </w:tcPr>
          <w:p>
            <w:pPr>
              <w:pStyle w:val="18"/>
              <w:bidi w:val="0"/>
            </w:pPr>
            <w:r>
              <w:t>东外环路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07" w:hRule="atLeast"/>
        </w:trPr>
        <w:tc>
          <w:tcPr>
            <w:tcW w:w="335" w:type="pct"/>
            <w:vMerge w:val="continue"/>
            <w:tcBorders>
              <w:tl2br w:val="nil"/>
              <w:tr2bl w:val="nil"/>
            </w:tcBorders>
            <w:vAlign w:val="center"/>
          </w:tcPr>
          <w:p>
            <w:pPr>
              <w:pStyle w:val="18"/>
              <w:bidi w:val="0"/>
            </w:pPr>
          </w:p>
        </w:tc>
        <w:tc>
          <w:tcPr>
            <w:tcW w:w="469" w:type="pct"/>
            <w:vMerge w:val="restart"/>
            <w:tcBorders>
              <w:tl2br w:val="nil"/>
              <w:tr2bl w:val="nil"/>
            </w:tcBorders>
            <w:vAlign w:val="center"/>
          </w:tcPr>
          <w:p>
            <w:pPr>
              <w:pStyle w:val="18"/>
              <w:bidi w:val="0"/>
            </w:pPr>
            <w:r>
              <w:t>道路工程</w:t>
            </w:r>
          </w:p>
        </w:tc>
        <w:tc>
          <w:tcPr>
            <w:tcW w:w="988" w:type="pct"/>
            <w:gridSpan w:val="2"/>
            <w:tcBorders>
              <w:tl2br w:val="nil"/>
              <w:tr2bl w:val="nil"/>
            </w:tcBorders>
            <w:vAlign w:val="center"/>
          </w:tcPr>
          <w:p>
            <w:pPr>
              <w:pStyle w:val="18"/>
              <w:bidi w:val="0"/>
            </w:pPr>
            <w:r>
              <w:t>行车道</w:t>
            </w:r>
          </w:p>
        </w:tc>
        <w:tc>
          <w:tcPr>
            <w:tcW w:w="1578" w:type="pct"/>
            <w:gridSpan w:val="2"/>
            <w:tcBorders>
              <w:tl2br w:val="nil"/>
              <w:tr2bl w:val="nil"/>
            </w:tcBorders>
            <w:vAlign w:val="center"/>
          </w:tcPr>
          <w:p>
            <w:pPr>
              <w:pStyle w:val="18"/>
              <w:bidi w:val="0"/>
            </w:pPr>
            <w:r>
              <w:t>1499.722m×12m</w:t>
            </w:r>
          </w:p>
        </w:tc>
        <w:tc>
          <w:tcPr>
            <w:tcW w:w="1629" w:type="pct"/>
            <w:tcBorders>
              <w:tl2br w:val="nil"/>
              <w:tr2bl w:val="nil"/>
            </w:tcBorders>
            <w:vAlign w:val="center"/>
          </w:tcPr>
          <w:p>
            <w:pPr>
              <w:pStyle w:val="18"/>
              <w:bidi w:val="0"/>
            </w:pPr>
            <w:r>
              <w:t>1499.722m×12m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07" w:hRule="atLeast"/>
        </w:trPr>
        <w:tc>
          <w:tcPr>
            <w:tcW w:w="335" w:type="pct"/>
            <w:vMerge w:val="continue"/>
            <w:tcBorders>
              <w:tl2br w:val="nil"/>
              <w:tr2bl w:val="nil"/>
            </w:tcBorders>
            <w:vAlign w:val="center"/>
          </w:tcPr>
          <w:p>
            <w:pPr>
              <w:pStyle w:val="18"/>
              <w:bidi w:val="0"/>
            </w:pPr>
          </w:p>
        </w:tc>
        <w:tc>
          <w:tcPr>
            <w:tcW w:w="469" w:type="pct"/>
            <w:vMerge w:val="continue"/>
            <w:tcBorders>
              <w:tl2br w:val="nil"/>
              <w:tr2bl w:val="nil"/>
            </w:tcBorders>
            <w:vAlign w:val="center"/>
          </w:tcPr>
          <w:p>
            <w:pPr>
              <w:pStyle w:val="18"/>
              <w:bidi w:val="0"/>
            </w:pPr>
          </w:p>
        </w:tc>
        <w:tc>
          <w:tcPr>
            <w:tcW w:w="988" w:type="pct"/>
            <w:gridSpan w:val="2"/>
            <w:tcBorders>
              <w:tl2br w:val="nil"/>
              <w:tr2bl w:val="nil"/>
            </w:tcBorders>
            <w:vAlign w:val="center"/>
          </w:tcPr>
          <w:p>
            <w:pPr>
              <w:pStyle w:val="18"/>
              <w:bidi w:val="0"/>
            </w:pPr>
            <w:r>
              <w:t>非机动车道</w:t>
            </w:r>
          </w:p>
        </w:tc>
        <w:tc>
          <w:tcPr>
            <w:tcW w:w="1578" w:type="pct"/>
            <w:gridSpan w:val="2"/>
            <w:tcBorders>
              <w:tl2br w:val="nil"/>
              <w:tr2bl w:val="nil"/>
            </w:tcBorders>
            <w:vAlign w:val="center"/>
          </w:tcPr>
          <w:p>
            <w:pPr>
              <w:pStyle w:val="18"/>
              <w:bidi w:val="0"/>
            </w:pPr>
            <w:r>
              <w:t>1499.722m×8m</w:t>
            </w:r>
          </w:p>
        </w:tc>
        <w:tc>
          <w:tcPr>
            <w:tcW w:w="1629" w:type="pct"/>
            <w:tcBorders>
              <w:tl2br w:val="nil"/>
              <w:tr2bl w:val="nil"/>
            </w:tcBorders>
            <w:vAlign w:val="center"/>
          </w:tcPr>
          <w:p>
            <w:pPr>
              <w:pStyle w:val="18"/>
              <w:bidi w:val="0"/>
            </w:pPr>
            <w:r>
              <w:t>1499.722m×8m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335" w:type="pct"/>
            <w:vMerge w:val="continue"/>
            <w:tcBorders>
              <w:tl2br w:val="nil"/>
              <w:tr2bl w:val="nil"/>
            </w:tcBorders>
            <w:vAlign w:val="center"/>
          </w:tcPr>
          <w:p>
            <w:pPr>
              <w:pStyle w:val="18"/>
              <w:bidi w:val="0"/>
            </w:pPr>
          </w:p>
        </w:tc>
        <w:tc>
          <w:tcPr>
            <w:tcW w:w="469" w:type="pct"/>
            <w:tcBorders>
              <w:tl2br w:val="nil"/>
              <w:tr2bl w:val="nil"/>
            </w:tcBorders>
            <w:vAlign w:val="center"/>
          </w:tcPr>
          <w:p>
            <w:pPr>
              <w:pStyle w:val="18"/>
              <w:bidi w:val="0"/>
            </w:pPr>
            <w:r>
              <w:t>绿化工程</w:t>
            </w:r>
          </w:p>
        </w:tc>
        <w:tc>
          <w:tcPr>
            <w:tcW w:w="988" w:type="pct"/>
            <w:gridSpan w:val="2"/>
            <w:tcBorders>
              <w:tl2br w:val="nil"/>
              <w:tr2bl w:val="nil"/>
            </w:tcBorders>
            <w:vAlign w:val="center"/>
          </w:tcPr>
          <w:p>
            <w:pPr>
              <w:pStyle w:val="18"/>
              <w:bidi w:val="0"/>
            </w:pPr>
            <w:r>
              <w:t>绿化带</w:t>
            </w:r>
          </w:p>
        </w:tc>
        <w:tc>
          <w:tcPr>
            <w:tcW w:w="1578" w:type="pct"/>
            <w:gridSpan w:val="2"/>
            <w:tcBorders>
              <w:tl2br w:val="nil"/>
              <w:tr2bl w:val="nil"/>
            </w:tcBorders>
            <w:vAlign w:val="center"/>
          </w:tcPr>
          <w:p>
            <w:pPr>
              <w:pStyle w:val="18"/>
              <w:bidi w:val="0"/>
            </w:pPr>
            <w:r>
              <w:t>1499.722m×20m</w:t>
            </w:r>
          </w:p>
        </w:tc>
        <w:tc>
          <w:tcPr>
            <w:tcW w:w="1629" w:type="pct"/>
            <w:tcBorders>
              <w:tl2br w:val="nil"/>
              <w:tr2bl w:val="nil"/>
            </w:tcBorders>
            <w:vAlign w:val="center"/>
          </w:tcPr>
          <w:p>
            <w:pPr>
              <w:pStyle w:val="18"/>
              <w:bidi w:val="0"/>
            </w:pPr>
            <w:r>
              <w:t>1499.722m×20m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335" w:type="pct"/>
            <w:vMerge w:val="continue"/>
            <w:tcBorders>
              <w:tl2br w:val="nil"/>
              <w:tr2bl w:val="nil"/>
            </w:tcBorders>
            <w:vAlign w:val="center"/>
          </w:tcPr>
          <w:p>
            <w:pPr>
              <w:pStyle w:val="18"/>
              <w:bidi w:val="0"/>
            </w:pPr>
          </w:p>
        </w:tc>
        <w:tc>
          <w:tcPr>
            <w:tcW w:w="469" w:type="pct"/>
            <w:tcBorders>
              <w:tl2br w:val="nil"/>
              <w:tr2bl w:val="nil"/>
            </w:tcBorders>
            <w:vAlign w:val="center"/>
          </w:tcPr>
          <w:p>
            <w:pPr>
              <w:pStyle w:val="18"/>
              <w:bidi w:val="0"/>
              <w:rPr>
                <w:rFonts w:hint="default"/>
                <w:lang w:val="en-US" w:eastAsia="zh-CN"/>
              </w:rPr>
            </w:pPr>
            <w:r>
              <w:rPr>
                <w:rFonts w:hint="eastAsia"/>
                <w:lang w:val="en-US" w:eastAsia="zh-CN"/>
              </w:rPr>
              <w:t>路灯工程</w:t>
            </w:r>
          </w:p>
        </w:tc>
        <w:tc>
          <w:tcPr>
            <w:tcW w:w="988" w:type="pct"/>
            <w:gridSpan w:val="2"/>
            <w:tcBorders>
              <w:tl2br w:val="nil"/>
              <w:tr2bl w:val="nil"/>
            </w:tcBorders>
            <w:vAlign w:val="center"/>
          </w:tcPr>
          <w:p>
            <w:pPr>
              <w:pStyle w:val="18"/>
              <w:bidi w:val="0"/>
              <w:rPr>
                <w:rFonts w:hint="eastAsia"/>
                <w:lang w:val="en-US" w:eastAsia="zh-CN"/>
              </w:rPr>
            </w:pPr>
            <w:r>
              <w:rPr>
                <w:rFonts w:hint="eastAsia"/>
                <w:lang w:val="en-US" w:eastAsia="zh-CN"/>
              </w:rPr>
              <w:t>/</w:t>
            </w:r>
          </w:p>
        </w:tc>
        <w:tc>
          <w:tcPr>
            <w:tcW w:w="1578" w:type="pct"/>
            <w:gridSpan w:val="2"/>
            <w:tcBorders>
              <w:tl2br w:val="nil"/>
              <w:tr2bl w:val="nil"/>
            </w:tcBorders>
            <w:vAlign w:val="center"/>
          </w:tcPr>
          <w:p>
            <w:pPr>
              <w:pStyle w:val="18"/>
              <w:bidi w:val="0"/>
            </w:pPr>
            <w:r>
              <w:t>1座箱变、灯具高8.6m</w:t>
            </w:r>
            <w:r>
              <w:rPr>
                <w:rFonts w:hint="eastAsia"/>
                <w:lang w:eastAsia="zh-CN"/>
              </w:rPr>
              <w:t>，</w:t>
            </w:r>
            <w:r>
              <w:t>挑臂2m</w:t>
            </w:r>
            <w:r>
              <w:rPr>
                <w:rFonts w:hint="eastAsia"/>
                <w:lang w:eastAsia="zh-CN"/>
              </w:rPr>
              <w:t>，</w:t>
            </w:r>
            <w:r>
              <w:t>路灯间距30m</w:t>
            </w:r>
            <w:r>
              <w:rPr>
                <w:rFonts w:hint="eastAsia"/>
                <w:lang w:eastAsia="zh-CN"/>
              </w:rPr>
              <w:t>，</w:t>
            </w:r>
            <w:r>
              <w:t>采用双侧对称布置形式。</w:t>
            </w:r>
          </w:p>
        </w:tc>
        <w:tc>
          <w:tcPr>
            <w:tcW w:w="1629" w:type="pct"/>
            <w:tcBorders>
              <w:tl2br w:val="nil"/>
              <w:tr2bl w:val="nil"/>
            </w:tcBorders>
            <w:vAlign w:val="center"/>
          </w:tcPr>
          <w:p>
            <w:pPr>
              <w:pStyle w:val="18"/>
              <w:bidi w:val="0"/>
            </w:pPr>
            <w:r>
              <w:t>1座箱变、灯具高8.6m</w:t>
            </w:r>
            <w:r>
              <w:rPr>
                <w:rFonts w:hint="eastAsia"/>
                <w:lang w:eastAsia="zh-CN"/>
              </w:rPr>
              <w:t>，</w:t>
            </w:r>
            <w:r>
              <w:t>挑臂2m</w:t>
            </w:r>
            <w:r>
              <w:rPr>
                <w:rFonts w:hint="eastAsia"/>
                <w:lang w:eastAsia="zh-CN"/>
              </w:rPr>
              <w:t>，</w:t>
            </w:r>
            <w:r>
              <w:t>路灯间距30m</w:t>
            </w:r>
            <w:r>
              <w:rPr>
                <w:rFonts w:hint="eastAsia"/>
                <w:lang w:eastAsia="zh-CN"/>
              </w:rPr>
              <w:t>，</w:t>
            </w:r>
            <w:r>
              <w:t>采用双侧对称布置形式。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335" w:type="pct"/>
            <w:vMerge w:val="continue"/>
            <w:tcBorders>
              <w:tl2br w:val="nil"/>
              <w:tr2bl w:val="nil"/>
            </w:tcBorders>
            <w:vAlign w:val="center"/>
          </w:tcPr>
          <w:p>
            <w:pPr>
              <w:pStyle w:val="18"/>
              <w:bidi w:val="0"/>
            </w:pPr>
          </w:p>
        </w:tc>
        <w:tc>
          <w:tcPr>
            <w:tcW w:w="3035" w:type="pct"/>
            <w:gridSpan w:val="5"/>
            <w:tcBorders>
              <w:tl2br w:val="nil"/>
              <w:tr2bl w:val="nil"/>
            </w:tcBorders>
            <w:vAlign w:val="center"/>
          </w:tcPr>
          <w:p>
            <w:pPr>
              <w:pStyle w:val="18"/>
              <w:bidi w:val="0"/>
            </w:pPr>
            <w:r>
              <w:t>吐鲁番街</w:t>
            </w:r>
          </w:p>
        </w:tc>
        <w:tc>
          <w:tcPr>
            <w:tcW w:w="1629" w:type="pct"/>
            <w:tcBorders>
              <w:tl2br w:val="nil"/>
              <w:tr2bl w:val="nil"/>
            </w:tcBorders>
            <w:vAlign w:val="center"/>
          </w:tcPr>
          <w:p>
            <w:pPr>
              <w:pStyle w:val="18"/>
              <w:bidi w:val="0"/>
            </w:pPr>
            <w:r>
              <w:t>吐鲁番街</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187" w:hRule="atLeast"/>
        </w:trPr>
        <w:tc>
          <w:tcPr>
            <w:tcW w:w="335" w:type="pct"/>
            <w:vMerge w:val="continue"/>
            <w:tcBorders>
              <w:tl2br w:val="nil"/>
              <w:tr2bl w:val="nil"/>
            </w:tcBorders>
            <w:vAlign w:val="center"/>
          </w:tcPr>
          <w:p>
            <w:pPr>
              <w:pStyle w:val="18"/>
              <w:bidi w:val="0"/>
            </w:pPr>
          </w:p>
        </w:tc>
        <w:tc>
          <w:tcPr>
            <w:tcW w:w="469" w:type="pct"/>
            <w:vMerge w:val="restart"/>
            <w:tcBorders>
              <w:tl2br w:val="nil"/>
              <w:tr2bl w:val="nil"/>
            </w:tcBorders>
            <w:vAlign w:val="center"/>
          </w:tcPr>
          <w:p>
            <w:pPr>
              <w:pStyle w:val="18"/>
              <w:bidi w:val="0"/>
            </w:pPr>
            <w:r>
              <w:t>道路工程</w:t>
            </w:r>
          </w:p>
        </w:tc>
        <w:tc>
          <w:tcPr>
            <w:tcW w:w="988" w:type="pct"/>
            <w:gridSpan w:val="2"/>
            <w:tcBorders>
              <w:tl2br w:val="nil"/>
              <w:tr2bl w:val="nil"/>
            </w:tcBorders>
            <w:vAlign w:val="center"/>
          </w:tcPr>
          <w:p>
            <w:pPr>
              <w:pStyle w:val="18"/>
              <w:bidi w:val="0"/>
            </w:pPr>
            <w:r>
              <w:t>行车道</w:t>
            </w:r>
          </w:p>
        </w:tc>
        <w:tc>
          <w:tcPr>
            <w:tcW w:w="1578" w:type="pct"/>
            <w:gridSpan w:val="2"/>
            <w:tcBorders>
              <w:tl2br w:val="nil"/>
              <w:tr2bl w:val="nil"/>
            </w:tcBorders>
            <w:vAlign w:val="center"/>
          </w:tcPr>
          <w:p>
            <w:pPr>
              <w:pStyle w:val="18"/>
              <w:bidi w:val="0"/>
            </w:pPr>
            <w:r>
              <w:t>1572.724m×12m</w:t>
            </w:r>
          </w:p>
        </w:tc>
        <w:tc>
          <w:tcPr>
            <w:tcW w:w="1629" w:type="pct"/>
            <w:tcBorders>
              <w:tl2br w:val="nil"/>
              <w:tr2bl w:val="nil"/>
            </w:tcBorders>
            <w:vAlign w:val="center"/>
          </w:tcPr>
          <w:p>
            <w:pPr>
              <w:pStyle w:val="18"/>
              <w:bidi w:val="0"/>
              <w:ind w:firstLine="0" w:firstLineChars="0"/>
            </w:pPr>
            <w:r>
              <w:t>1572.724m×12m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187" w:hRule="atLeast"/>
        </w:trPr>
        <w:tc>
          <w:tcPr>
            <w:tcW w:w="335" w:type="pct"/>
            <w:vMerge w:val="continue"/>
            <w:tcBorders>
              <w:tl2br w:val="nil"/>
              <w:tr2bl w:val="nil"/>
            </w:tcBorders>
            <w:vAlign w:val="center"/>
          </w:tcPr>
          <w:p>
            <w:pPr>
              <w:pStyle w:val="18"/>
              <w:bidi w:val="0"/>
            </w:pPr>
          </w:p>
        </w:tc>
        <w:tc>
          <w:tcPr>
            <w:tcW w:w="469" w:type="pct"/>
            <w:vMerge w:val="continue"/>
            <w:tcBorders>
              <w:tl2br w:val="nil"/>
              <w:tr2bl w:val="nil"/>
            </w:tcBorders>
            <w:vAlign w:val="center"/>
          </w:tcPr>
          <w:p>
            <w:pPr>
              <w:pStyle w:val="18"/>
              <w:bidi w:val="0"/>
            </w:pPr>
          </w:p>
        </w:tc>
        <w:tc>
          <w:tcPr>
            <w:tcW w:w="988" w:type="pct"/>
            <w:gridSpan w:val="2"/>
            <w:tcBorders>
              <w:tl2br w:val="nil"/>
              <w:tr2bl w:val="nil"/>
            </w:tcBorders>
            <w:vAlign w:val="center"/>
          </w:tcPr>
          <w:p>
            <w:pPr>
              <w:pStyle w:val="18"/>
              <w:bidi w:val="0"/>
            </w:pPr>
            <w:r>
              <w:t>人行道</w:t>
            </w:r>
          </w:p>
        </w:tc>
        <w:tc>
          <w:tcPr>
            <w:tcW w:w="1578" w:type="pct"/>
            <w:gridSpan w:val="2"/>
            <w:tcBorders>
              <w:tl2br w:val="nil"/>
              <w:tr2bl w:val="nil"/>
            </w:tcBorders>
            <w:vAlign w:val="center"/>
          </w:tcPr>
          <w:p>
            <w:pPr>
              <w:pStyle w:val="18"/>
              <w:bidi w:val="0"/>
            </w:pPr>
            <w:r>
              <w:t>1572.724m×12m</w:t>
            </w:r>
          </w:p>
        </w:tc>
        <w:tc>
          <w:tcPr>
            <w:tcW w:w="1629" w:type="pct"/>
            <w:tcBorders>
              <w:tl2br w:val="nil"/>
              <w:tr2bl w:val="nil"/>
            </w:tcBorders>
            <w:vAlign w:val="center"/>
          </w:tcPr>
          <w:p>
            <w:pPr>
              <w:pStyle w:val="18"/>
              <w:bidi w:val="0"/>
              <w:ind w:firstLine="0" w:firstLineChars="0"/>
            </w:pPr>
            <w:r>
              <w:t>1572.724m×12m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335" w:type="pct"/>
            <w:vMerge w:val="continue"/>
            <w:tcBorders>
              <w:tl2br w:val="nil"/>
              <w:tr2bl w:val="nil"/>
            </w:tcBorders>
            <w:vAlign w:val="center"/>
          </w:tcPr>
          <w:p>
            <w:pPr>
              <w:pStyle w:val="18"/>
              <w:bidi w:val="0"/>
            </w:pPr>
          </w:p>
        </w:tc>
        <w:tc>
          <w:tcPr>
            <w:tcW w:w="469" w:type="pct"/>
            <w:tcBorders>
              <w:tl2br w:val="nil"/>
              <w:tr2bl w:val="nil"/>
            </w:tcBorders>
            <w:vAlign w:val="center"/>
          </w:tcPr>
          <w:p>
            <w:pPr>
              <w:pStyle w:val="18"/>
              <w:bidi w:val="0"/>
            </w:pPr>
            <w:r>
              <w:t>绿化工程</w:t>
            </w:r>
          </w:p>
        </w:tc>
        <w:tc>
          <w:tcPr>
            <w:tcW w:w="988" w:type="pct"/>
            <w:gridSpan w:val="2"/>
            <w:tcBorders>
              <w:tl2br w:val="nil"/>
              <w:tr2bl w:val="nil"/>
            </w:tcBorders>
            <w:vAlign w:val="center"/>
          </w:tcPr>
          <w:p>
            <w:pPr>
              <w:pStyle w:val="18"/>
              <w:bidi w:val="0"/>
            </w:pPr>
            <w:r>
              <w:t>绿化带</w:t>
            </w:r>
          </w:p>
        </w:tc>
        <w:tc>
          <w:tcPr>
            <w:tcW w:w="1578" w:type="pct"/>
            <w:gridSpan w:val="2"/>
            <w:tcBorders>
              <w:tl2br w:val="nil"/>
              <w:tr2bl w:val="nil"/>
            </w:tcBorders>
            <w:vAlign w:val="center"/>
          </w:tcPr>
          <w:p>
            <w:pPr>
              <w:pStyle w:val="18"/>
              <w:bidi w:val="0"/>
            </w:pPr>
            <w:r>
              <w:t>1572.724m×12m</w:t>
            </w:r>
          </w:p>
        </w:tc>
        <w:tc>
          <w:tcPr>
            <w:tcW w:w="1629" w:type="pct"/>
            <w:tcBorders>
              <w:tl2br w:val="nil"/>
              <w:tr2bl w:val="nil"/>
            </w:tcBorders>
            <w:vAlign w:val="center"/>
          </w:tcPr>
          <w:p>
            <w:pPr>
              <w:pStyle w:val="18"/>
              <w:bidi w:val="0"/>
              <w:ind w:firstLine="0" w:firstLineChars="0"/>
            </w:pPr>
            <w:r>
              <w:t>1572.724m×12m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335" w:type="pct"/>
            <w:vMerge w:val="continue"/>
            <w:tcBorders>
              <w:tl2br w:val="nil"/>
              <w:tr2bl w:val="nil"/>
            </w:tcBorders>
            <w:vAlign w:val="center"/>
          </w:tcPr>
          <w:p>
            <w:pPr>
              <w:pStyle w:val="18"/>
              <w:bidi w:val="0"/>
            </w:pPr>
          </w:p>
        </w:tc>
        <w:tc>
          <w:tcPr>
            <w:tcW w:w="469" w:type="pct"/>
            <w:tcBorders>
              <w:tl2br w:val="nil"/>
              <w:tr2bl w:val="nil"/>
            </w:tcBorders>
            <w:vAlign w:val="center"/>
          </w:tcPr>
          <w:p>
            <w:pPr>
              <w:pStyle w:val="18"/>
              <w:bidi w:val="0"/>
            </w:pPr>
            <w:r>
              <w:rPr>
                <w:rFonts w:hint="eastAsia"/>
                <w:lang w:val="en-US" w:eastAsia="zh-CN"/>
              </w:rPr>
              <w:t>路灯工程</w:t>
            </w:r>
          </w:p>
        </w:tc>
        <w:tc>
          <w:tcPr>
            <w:tcW w:w="988" w:type="pct"/>
            <w:gridSpan w:val="2"/>
            <w:tcBorders>
              <w:tl2br w:val="nil"/>
              <w:tr2bl w:val="nil"/>
            </w:tcBorders>
            <w:vAlign w:val="center"/>
          </w:tcPr>
          <w:p>
            <w:pPr>
              <w:pStyle w:val="18"/>
              <w:bidi w:val="0"/>
              <w:rPr>
                <w:rFonts w:hint="eastAsia"/>
                <w:lang w:val="en-US" w:eastAsia="zh-CN"/>
              </w:rPr>
            </w:pPr>
            <w:r>
              <w:rPr>
                <w:rFonts w:hint="eastAsia"/>
                <w:lang w:val="en-US" w:eastAsia="zh-CN"/>
              </w:rPr>
              <w:t>/</w:t>
            </w:r>
          </w:p>
        </w:tc>
        <w:tc>
          <w:tcPr>
            <w:tcW w:w="1578" w:type="pct"/>
            <w:gridSpan w:val="2"/>
            <w:tcBorders>
              <w:tl2br w:val="nil"/>
              <w:tr2bl w:val="nil"/>
            </w:tcBorders>
            <w:vAlign w:val="center"/>
          </w:tcPr>
          <w:p>
            <w:pPr>
              <w:pStyle w:val="18"/>
              <w:bidi w:val="0"/>
            </w:pPr>
            <w:r>
              <w:t>1座箱变、灯具高8.6m</w:t>
            </w:r>
            <w:r>
              <w:rPr>
                <w:rFonts w:hint="eastAsia"/>
                <w:lang w:eastAsia="zh-CN"/>
              </w:rPr>
              <w:t>，</w:t>
            </w:r>
            <w:r>
              <w:t>挑臂2m</w:t>
            </w:r>
            <w:r>
              <w:rPr>
                <w:rFonts w:hint="eastAsia"/>
                <w:lang w:eastAsia="zh-CN"/>
              </w:rPr>
              <w:t>，</w:t>
            </w:r>
            <w:r>
              <w:t>路灯间距30m</w:t>
            </w:r>
            <w:r>
              <w:rPr>
                <w:rFonts w:hint="eastAsia"/>
                <w:lang w:eastAsia="zh-CN"/>
              </w:rPr>
              <w:t>，</w:t>
            </w:r>
            <w:r>
              <w:t>采用双侧对称布置形式。</w:t>
            </w:r>
          </w:p>
        </w:tc>
        <w:tc>
          <w:tcPr>
            <w:tcW w:w="1629" w:type="pct"/>
            <w:tcBorders>
              <w:tl2br w:val="nil"/>
              <w:tr2bl w:val="nil"/>
            </w:tcBorders>
            <w:vAlign w:val="center"/>
          </w:tcPr>
          <w:p>
            <w:pPr>
              <w:pStyle w:val="18"/>
              <w:bidi w:val="0"/>
              <w:ind w:firstLine="0" w:firstLineChars="0"/>
            </w:pPr>
            <w:r>
              <w:t>1座箱变、灯具高8.6m</w:t>
            </w:r>
            <w:r>
              <w:rPr>
                <w:rFonts w:hint="eastAsia"/>
                <w:lang w:eastAsia="zh-CN"/>
              </w:rPr>
              <w:t>，</w:t>
            </w:r>
            <w:r>
              <w:t>挑臂2m</w:t>
            </w:r>
            <w:r>
              <w:rPr>
                <w:rFonts w:hint="eastAsia"/>
                <w:lang w:eastAsia="zh-CN"/>
              </w:rPr>
              <w:t>，</w:t>
            </w:r>
            <w:r>
              <w:t>路灯间距30m</w:t>
            </w:r>
            <w:r>
              <w:rPr>
                <w:rFonts w:hint="eastAsia"/>
                <w:lang w:eastAsia="zh-CN"/>
              </w:rPr>
              <w:t>，</w:t>
            </w:r>
            <w:r>
              <w:t>采用双侧对称布置形式。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335" w:type="pct"/>
            <w:vMerge w:val="restart"/>
            <w:tcBorders>
              <w:tl2br w:val="nil"/>
              <w:tr2bl w:val="nil"/>
            </w:tcBorders>
            <w:vAlign w:val="center"/>
          </w:tcPr>
          <w:p>
            <w:pPr>
              <w:pStyle w:val="18"/>
              <w:bidi w:val="0"/>
              <w:rPr>
                <w:rFonts w:hint="eastAsia"/>
                <w:lang w:val="en-US" w:eastAsia="zh-CN"/>
              </w:rPr>
            </w:pPr>
            <w:r>
              <w:rPr>
                <w:rFonts w:hint="eastAsia"/>
                <w:lang w:val="en-US" w:eastAsia="zh-CN"/>
              </w:rPr>
              <w:t>附属工程</w:t>
            </w:r>
          </w:p>
        </w:tc>
        <w:tc>
          <w:tcPr>
            <w:tcW w:w="469" w:type="pct"/>
            <w:tcBorders>
              <w:tl2br w:val="nil"/>
              <w:tr2bl w:val="nil"/>
            </w:tcBorders>
            <w:vAlign w:val="center"/>
          </w:tcPr>
          <w:p>
            <w:pPr>
              <w:pStyle w:val="18"/>
              <w:bidi w:val="0"/>
              <w:rPr>
                <w:rFonts w:hint="default"/>
                <w:lang w:val="en-US" w:eastAsia="zh-CN"/>
              </w:rPr>
            </w:pPr>
            <w:r>
              <w:rPr>
                <w:rFonts w:hint="eastAsia"/>
                <w:lang w:val="en-US" w:eastAsia="zh-CN"/>
              </w:rPr>
              <w:t>服务设施</w:t>
            </w:r>
          </w:p>
        </w:tc>
        <w:tc>
          <w:tcPr>
            <w:tcW w:w="988" w:type="pct"/>
            <w:gridSpan w:val="2"/>
            <w:tcBorders>
              <w:tl2br w:val="nil"/>
              <w:tr2bl w:val="nil"/>
            </w:tcBorders>
            <w:vAlign w:val="center"/>
          </w:tcPr>
          <w:p>
            <w:pPr>
              <w:pStyle w:val="18"/>
              <w:bidi w:val="0"/>
            </w:pPr>
            <w:r>
              <w:t>服务设施</w:t>
            </w:r>
          </w:p>
        </w:tc>
        <w:tc>
          <w:tcPr>
            <w:tcW w:w="1578" w:type="pct"/>
            <w:gridSpan w:val="2"/>
            <w:tcBorders>
              <w:tl2br w:val="nil"/>
              <w:tr2bl w:val="nil"/>
            </w:tcBorders>
            <w:vAlign w:val="center"/>
          </w:tcPr>
          <w:p>
            <w:pPr>
              <w:pStyle w:val="18"/>
              <w:bidi w:val="0"/>
              <w:rPr>
                <w:rFonts w:hint="eastAsia"/>
                <w:lang w:eastAsia="zh-CN"/>
              </w:rPr>
            </w:pPr>
            <w:r>
              <w:rPr>
                <w:rFonts w:hint="eastAsia"/>
                <w:lang w:val="en-US" w:eastAsia="zh-CN"/>
              </w:rPr>
              <w:t>/</w:t>
            </w:r>
          </w:p>
        </w:tc>
        <w:tc>
          <w:tcPr>
            <w:tcW w:w="1629" w:type="pct"/>
            <w:tcBorders>
              <w:tl2br w:val="nil"/>
              <w:tr2bl w:val="nil"/>
            </w:tcBorders>
            <w:vAlign w:val="center"/>
          </w:tcPr>
          <w:p>
            <w:pPr>
              <w:pStyle w:val="18"/>
              <w:bidi w:val="0"/>
              <w:ind w:firstLine="0" w:firstLineChars="0"/>
            </w:pPr>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335" w:type="pct"/>
            <w:vMerge w:val="continue"/>
            <w:tcBorders>
              <w:tl2br w:val="nil"/>
              <w:tr2bl w:val="nil"/>
            </w:tcBorders>
            <w:vAlign w:val="center"/>
          </w:tcPr>
          <w:p>
            <w:pPr>
              <w:pStyle w:val="18"/>
              <w:bidi w:val="0"/>
              <w:rPr>
                <w:rFonts w:hint="eastAsia"/>
                <w:lang w:val="en-US" w:eastAsia="zh-CN"/>
              </w:rPr>
            </w:pPr>
          </w:p>
        </w:tc>
        <w:tc>
          <w:tcPr>
            <w:tcW w:w="469" w:type="pct"/>
            <w:tcBorders>
              <w:tl2br w:val="nil"/>
              <w:tr2bl w:val="nil"/>
            </w:tcBorders>
            <w:vAlign w:val="center"/>
          </w:tcPr>
          <w:p>
            <w:pPr>
              <w:pStyle w:val="18"/>
              <w:bidi w:val="0"/>
              <w:rPr>
                <w:rFonts w:hint="eastAsia"/>
                <w:lang w:val="en-US" w:eastAsia="zh-CN"/>
              </w:rPr>
            </w:pPr>
            <w:r>
              <w:t>交通附属工程</w:t>
            </w:r>
          </w:p>
        </w:tc>
        <w:tc>
          <w:tcPr>
            <w:tcW w:w="988" w:type="pct"/>
            <w:gridSpan w:val="2"/>
            <w:tcBorders>
              <w:tl2br w:val="nil"/>
              <w:tr2bl w:val="nil"/>
            </w:tcBorders>
            <w:vAlign w:val="center"/>
          </w:tcPr>
          <w:p>
            <w:pPr>
              <w:pStyle w:val="18"/>
              <w:bidi w:val="0"/>
            </w:pPr>
            <w:r>
              <w:t>交通标志、标牌标线</w:t>
            </w:r>
          </w:p>
        </w:tc>
        <w:tc>
          <w:tcPr>
            <w:tcW w:w="1578" w:type="pct"/>
            <w:gridSpan w:val="2"/>
            <w:tcBorders>
              <w:tl2br w:val="nil"/>
              <w:tr2bl w:val="nil"/>
            </w:tcBorders>
            <w:vAlign w:val="center"/>
          </w:tcPr>
          <w:p>
            <w:pPr>
              <w:pStyle w:val="18"/>
              <w:bidi w:val="0"/>
            </w:pPr>
            <w:r>
              <w:t>设置若干交通标志、标线、信号灯及交通监控系统</w:t>
            </w:r>
          </w:p>
        </w:tc>
        <w:tc>
          <w:tcPr>
            <w:tcW w:w="1629" w:type="pct"/>
            <w:tcBorders>
              <w:tl2br w:val="nil"/>
              <w:tr2bl w:val="nil"/>
            </w:tcBorders>
            <w:vAlign w:val="center"/>
          </w:tcPr>
          <w:p>
            <w:pPr>
              <w:pStyle w:val="18"/>
              <w:bidi w:val="0"/>
              <w:ind w:firstLine="0" w:firstLineChars="0"/>
            </w:pPr>
            <w:r>
              <w:t>设置若干交通标志、标线、信号灯及交通监控系统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335" w:type="pct"/>
            <w:vMerge w:val="restart"/>
            <w:tcBorders>
              <w:tl2br w:val="nil"/>
              <w:tr2bl w:val="nil"/>
            </w:tcBorders>
            <w:vAlign w:val="center"/>
          </w:tcPr>
          <w:p>
            <w:pPr>
              <w:pStyle w:val="18"/>
              <w:bidi w:val="0"/>
              <w:rPr>
                <w:rFonts w:hint="default"/>
                <w:lang w:val="en-US" w:eastAsia="zh-CN"/>
              </w:rPr>
            </w:pPr>
            <w:r>
              <w:rPr>
                <w:rFonts w:hint="eastAsia"/>
                <w:lang w:val="en-US" w:eastAsia="zh-CN"/>
              </w:rPr>
              <w:t>临时工程</w:t>
            </w:r>
          </w:p>
        </w:tc>
        <w:tc>
          <w:tcPr>
            <w:tcW w:w="469" w:type="pct"/>
            <w:tcBorders>
              <w:tl2br w:val="nil"/>
              <w:tr2bl w:val="nil"/>
            </w:tcBorders>
            <w:vAlign w:val="center"/>
          </w:tcPr>
          <w:p>
            <w:pPr>
              <w:pStyle w:val="18"/>
              <w:bidi w:val="0"/>
              <w:rPr>
                <w:rFonts w:hint="default"/>
                <w:lang w:val="en-US" w:eastAsia="zh-CN"/>
              </w:rPr>
            </w:pPr>
            <w:r>
              <w:rPr>
                <w:rFonts w:hint="eastAsia"/>
                <w:lang w:val="en-US" w:eastAsia="zh-CN"/>
              </w:rPr>
              <w:t>1</w:t>
            </w:r>
          </w:p>
        </w:tc>
        <w:tc>
          <w:tcPr>
            <w:tcW w:w="988" w:type="pct"/>
            <w:gridSpan w:val="2"/>
            <w:tcBorders>
              <w:tl2br w:val="nil"/>
              <w:tr2bl w:val="nil"/>
            </w:tcBorders>
            <w:vAlign w:val="center"/>
          </w:tcPr>
          <w:p>
            <w:pPr>
              <w:pStyle w:val="18"/>
              <w:bidi w:val="0"/>
            </w:pPr>
            <w:r>
              <w:t>建筑垃圾及材料堆场</w:t>
            </w:r>
          </w:p>
        </w:tc>
        <w:tc>
          <w:tcPr>
            <w:tcW w:w="1578" w:type="pct"/>
            <w:gridSpan w:val="2"/>
            <w:tcBorders>
              <w:tl2br w:val="nil"/>
              <w:tr2bl w:val="nil"/>
            </w:tcBorders>
            <w:vAlign w:val="center"/>
          </w:tcPr>
          <w:p>
            <w:pPr>
              <w:pStyle w:val="18"/>
              <w:bidi w:val="0"/>
            </w:pPr>
            <w:r>
              <w:t>2400m</w:t>
            </w:r>
          </w:p>
        </w:tc>
        <w:tc>
          <w:tcPr>
            <w:tcW w:w="1629" w:type="pct"/>
            <w:tcBorders>
              <w:tl2br w:val="nil"/>
              <w:tr2bl w:val="nil"/>
            </w:tcBorders>
            <w:vAlign w:val="center"/>
          </w:tcPr>
          <w:p>
            <w:pPr>
              <w:pStyle w:val="18"/>
              <w:bidi w:val="0"/>
              <w:ind w:firstLine="0" w:firstLineChars="0"/>
            </w:pPr>
            <w:r>
              <w:t>2400m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335" w:type="pct"/>
            <w:vMerge w:val="continue"/>
            <w:tcBorders>
              <w:tl2br w:val="nil"/>
              <w:tr2bl w:val="nil"/>
            </w:tcBorders>
            <w:vAlign w:val="center"/>
          </w:tcPr>
          <w:p>
            <w:pPr>
              <w:pStyle w:val="18"/>
              <w:bidi w:val="0"/>
              <w:rPr>
                <w:rFonts w:hint="eastAsia"/>
                <w:lang w:val="en-US" w:eastAsia="zh-CN"/>
              </w:rPr>
            </w:pPr>
          </w:p>
        </w:tc>
        <w:tc>
          <w:tcPr>
            <w:tcW w:w="469" w:type="pct"/>
            <w:tcBorders>
              <w:tl2br w:val="nil"/>
              <w:tr2bl w:val="nil"/>
            </w:tcBorders>
            <w:vAlign w:val="center"/>
          </w:tcPr>
          <w:p>
            <w:pPr>
              <w:pStyle w:val="18"/>
              <w:bidi w:val="0"/>
              <w:rPr>
                <w:rFonts w:hint="default"/>
                <w:lang w:val="en-US" w:eastAsia="zh-CN"/>
              </w:rPr>
            </w:pPr>
            <w:r>
              <w:rPr>
                <w:rFonts w:hint="eastAsia"/>
                <w:lang w:val="en-US" w:eastAsia="zh-CN"/>
              </w:rPr>
              <w:t>2</w:t>
            </w:r>
          </w:p>
        </w:tc>
        <w:tc>
          <w:tcPr>
            <w:tcW w:w="988" w:type="pct"/>
            <w:gridSpan w:val="2"/>
            <w:tcBorders>
              <w:tl2br w:val="nil"/>
              <w:tr2bl w:val="nil"/>
            </w:tcBorders>
            <w:vAlign w:val="center"/>
          </w:tcPr>
          <w:p>
            <w:pPr>
              <w:pStyle w:val="18"/>
              <w:bidi w:val="0"/>
            </w:pPr>
            <w:r>
              <w:t>值班房及项目部</w:t>
            </w:r>
          </w:p>
        </w:tc>
        <w:tc>
          <w:tcPr>
            <w:tcW w:w="1578" w:type="pct"/>
            <w:gridSpan w:val="2"/>
            <w:tcBorders>
              <w:tl2br w:val="nil"/>
              <w:tr2bl w:val="nil"/>
            </w:tcBorders>
            <w:vAlign w:val="center"/>
          </w:tcPr>
          <w:p>
            <w:pPr>
              <w:pStyle w:val="18"/>
              <w:bidi w:val="0"/>
            </w:pPr>
            <w:r>
              <w:t>120m²</w:t>
            </w:r>
          </w:p>
        </w:tc>
        <w:tc>
          <w:tcPr>
            <w:tcW w:w="1629" w:type="pct"/>
            <w:tcBorders>
              <w:tl2br w:val="nil"/>
              <w:tr2bl w:val="nil"/>
            </w:tcBorders>
            <w:vAlign w:val="center"/>
          </w:tcPr>
          <w:p>
            <w:pPr>
              <w:pStyle w:val="18"/>
              <w:bidi w:val="0"/>
              <w:ind w:firstLine="0" w:firstLineChars="0"/>
            </w:pPr>
            <w:r>
              <w:t>120m²</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335" w:type="pct"/>
            <w:vMerge w:val="continue"/>
            <w:tcBorders>
              <w:tl2br w:val="nil"/>
              <w:tr2bl w:val="nil"/>
            </w:tcBorders>
            <w:vAlign w:val="center"/>
          </w:tcPr>
          <w:p>
            <w:pPr>
              <w:pStyle w:val="18"/>
              <w:bidi w:val="0"/>
              <w:rPr>
                <w:rFonts w:hint="eastAsia"/>
                <w:lang w:val="en-US" w:eastAsia="zh-CN"/>
              </w:rPr>
            </w:pPr>
          </w:p>
        </w:tc>
        <w:tc>
          <w:tcPr>
            <w:tcW w:w="469" w:type="pct"/>
            <w:tcBorders>
              <w:tl2br w:val="nil"/>
              <w:tr2bl w:val="nil"/>
            </w:tcBorders>
            <w:vAlign w:val="center"/>
          </w:tcPr>
          <w:p>
            <w:pPr>
              <w:pStyle w:val="18"/>
              <w:bidi w:val="0"/>
              <w:rPr>
                <w:rFonts w:hint="default"/>
                <w:lang w:val="en-US" w:eastAsia="zh-CN"/>
              </w:rPr>
            </w:pPr>
            <w:r>
              <w:rPr>
                <w:rFonts w:hint="eastAsia"/>
                <w:lang w:val="en-US" w:eastAsia="zh-CN"/>
              </w:rPr>
              <w:t>3</w:t>
            </w:r>
          </w:p>
        </w:tc>
        <w:tc>
          <w:tcPr>
            <w:tcW w:w="988" w:type="pct"/>
            <w:gridSpan w:val="2"/>
            <w:tcBorders>
              <w:tl2br w:val="nil"/>
              <w:tr2bl w:val="nil"/>
            </w:tcBorders>
            <w:vAlign w:val="center"/>
          </w:tcPr>
          <w:p>
            <w:pPr>
              <w:pStyle w:val="18"/>
              <w:bidi w:val="0"/>
            </w:pPr>
            <w:r>
              <w:t>蒸发沉淀池</w:t>
            </w:r>
          </w:p>
        </w:tc>
        <w:tc>
          <w:tcPr>
            <w:tcW w:w="1578" w:type="pct"/>
            <w:gridSpan w:val="2"/>
            <w:tcBorders>
              <w:tl2br w:val="nil"/>
              <w:tr2bl w:val="nil"/>
            </w:tcBorders>
            <w:vAlign w:val="center"/>
          </w:tcPr>
          <w:p>
            <w:pPr>
              <w:pStyle w:val="18"/>
              <w:bidi w:val="0"/>
            </w:pPr>
            <w:r>
              <w:t>单个占地面积50m²</w:t>
            </w:r>
            <w:r>
              <w:rPr>
                <w:rFonts w:hint="eastAsia"/>
                <w:lang w:eastAsia="zh-CN"/>
              </w:rPr>
              <w:t>，</w:t>
            </w:r>
            <w:r>
              <w:t>深1m</w:t>
            </w:r>
            <w:r>
              <w:rPr>
                <w:rFonts w:hint="eastAsia"/>
                <w:lang w:eastAsia="zh-CN"/>
              </w:rPr>
              <w:t>，</w:t>
            </w:r>
            <w:r>
              <w:t>容积50m³</w:t>
            </w:r>
            <w:r>
              <w:rPr>
                <w:rFonts w:hint="eastAsia"/>
                <w:lang w:eastAsia="zh-CN"/>
              </w:rPr>
              <w:t>，</w:t>
            </w:r>
            <w:r>
              <w:t>共设置三处</w:t>
            </w:r>
          </w:p>
        </w:tc>
        <w:tc>
          <w:tcPr>
            <w:tcW w:w="1629" w:type="pct"/>
            <w:tcBorders>
              <w:tl2br w:val="nil"/>
              <w:tr2bl w:val="nil"/>
            </w:tcBorders>
            <w:vAlign w:val="center"/>
          </w:tcPr>
          <w:p>
            <w:pPr>
              <w:pStyle w:val="18"/>
              <w:bidi w:val="0"/>
              <w:ind w:firstLine="0" w:firstLineChars="0"/>
            </w:pPr>
            <w:r>
              <w:t>单个占地面积50m²</w:t>
            </w:r>
            <w:r>
              <w:rPr>
                <w:rFonts w:hint="eastAsia"/>
                <w:lang w:eastAsia="zh-CN"/>
              </w:rPr>
              <w:t>，</w:t>
            </w:r>
            <w:r>
              <w:t>深1m</w:t>
            </w:r>
            <w:r>
              <w:rPr>
                <w:rFonts w:hint="eastAsia"/>
                <w:lang w:eastAsia="zh-CN"/>
              </w:rPr>
              <w:t>，</w:t>
            </w:r>
            <w:r>
              <w:t>容积50m³</w:t>
            </w:r>
            <w:r>
              <w:rPr>
                <w:rFonts w:hint="eastAsia"/>
                <w:lang w:eastAsia="zh-CN"/>
              </w:rPr>
              <w:t>，</w:t>
            </w:r>
            <w:r>
              <w:t>共设置三处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000000" w:sz="4" w:space="0"/>
          </w:tblBorders>
          <w:tblCellMar>
            <w:top w:w="0" w:type="dxa"/>
            <w:left w:w="0" w:type="dxa"/>
            <w:bottom w:w="0" w:type="dxa"/>
            <w:right w:w="0" w:type="dxa"/>
          </w:tblCellMar>
        </w:tblPrEx>
        <w:trPr>
          <w:trHeight w:val="385" w:hRule="atLeast"/>
        </w:trPr>
        <w:tc>
          <w:tcPr>
            <w:tcW w:w="5000" w:type="pct"/>
            <w:gridSpan w:val="7"/>
            <w:tcBorders>
              <w:tl2br w:val="nil"/>
              <w:tr2bl w:val="nil"/>
            </w:tcBorders>
            <w:vAlign w:val="center"/>
          </w:tcPr>
          <w:p>
            <w:pPr>
              <w:pStyle w:val="18"/>
              <w:bidi w:val="0"/>
            </w:pPr>
            <w:r>
              <w:rPr>
                <w:sz w:val="22"/>
                <w:szCs w:val="22"/>
              </w:rPr>
              <w:t>注：本工程不设取弃土场、砂石料厂、沥青拌合站、水稳拌合站、预制场、施工生活</w:t>
            </w:r>
            <w:r>
              <w:rPr>
                <w:spacing w:val="-1"/>
                <w:sz w:val="22"/>
                <w:szCs w:val="22"/>
              </w:rPr>
              <w:t>区。</w:t>
            </w:r>
          </w:p>
        </w:tc>
      </w:tr>
    </w:tbl>
    <w:p>
      <w:pPr>
        <w:pStyle w:val="6"/>
        <w:bidi w:val="0"/>
        <w:outlineLvl w:val="1"/>
      </w:pPr>
      <w:bookmarkStart w:id="32" w:name="_Toc190"/>
      <w:r>
        <w:t>2.2.</w:t>
      </w:r>
      <w:r>
        <w:rPr>
          <w:rFonts w:hint="eastAsia"/>
          <w:lang w:val="en-US" w:eastAsia="zh-CN"/>
        </w:rPr>
        <w:t>6</w:t>
      </w:r>
      <w:r>
        <w:t>工程布置及主要建筑物</w:t>
      </w:r>
      <w:bookmarkEnd w:id="32"/>
    </w:p>
    <w:p>
      <w:pPr>
        <w:bidi w:val="0"/>
        <w:rPr>
          <w:rFonts w:hint="default"/>
          <w:lang w:val="en-US" w:eastAsia="zh-CN"/>
        </w:rPr>
      </w:pPr>
      <w:r>
        <w:rPr>
          <w:rFonts w:hint="eastAsia"/>
          <w:lang w:eastAsia="zh-CN"/>
        </w:rPr>
        <w:t>开发区2017年基础设施建设项目配套道路及附属工程</w:t>
      </w:r>
      <w:r>
        <w:rPr>
          <w:rFonts w:hint="eastAsia"/>
        </w:rPr>
        <w:t>位于奎屯-独山子经济技术开发区。本项目建设道路总长度17.39km，各条道路位置分述如下</w:t>
      </w:r>
      <w:r>
        <w:rPr>
          <w:rFonts w:hint="eastAsia"/>
          <w:lang w:eastAsia="zh-CN"/>
        </w:rPr>
        <w:t>：</w:t>
      </w:r>
      <w:r>
        <w:rPr>
          <w:rFonts w:hint="eastAsia"/>
        </w:rPr>
        <w:t>(1)阿克苏路东延起点与鄯善街相交，终点接长江路，道路全长7225.06m</w:t>
      </w:r>
      <w:r>
        <w:rPr>
          <w:rFonts w:hint="eastAsia"/>
          <w:lang w:eastAsia="zh-CN"/>
        </w:rPr>
        <w:t>；</w:t>
      </w:r>
      <w:r>
        <w:rPr>
          <w:rFonts w:hint="eastAsia"/>
        </w:rPr>
        <w:t>(2)南环路东延起点为黄河路，终点为长江路，道路全长3127.66m</w:t>
      </w:r>
      <w:r>
        <w:rPr>
          <w:rFonts w:hint="eastAsia"/>
          <w:lang w:eastAsia="zh-CN"/>
        </w:rPr>
        <w:t>；</w:t>
      </w:r>
      <w:r>
        <w:rPr>
          <w:rFonts w:hint="eastAsia"/>
        </w:rPr>
        <w:t>(3)淮河路起点为217国道，终点为福盛路交汇点，道路全长1248.78m</w:t>
      </w:r>
      <w:r>
        <w:rPr>
          <w:rFonts w:hint="eastAsia"/>
          <w:lang w:eastAsia="zh-CN"/>
        </w:rPr>
        <w:t>；</w:t>
      </w:r>
      <w:r>
        <w:rPr>
          <w:rFonts w:hint="eastAsia"/>
        </w:rPr>
        <w:t>(4)东外环路起点为东外环路与贵阳路交叉路口，终点为与S115线交叉路口，道路全长2720.509m</w:t>
      </w:r>
      <w:r>
        <w:rPr>
          <w:rFonts w:hint="eastAsia"/>
          <w:lang w:eastAsia="zh-CN"/>
        </w:rPr>
        <w:t>；</w:t>
      </w:r>
      <w:r>
        <w:rPr>
          <w:rFonts w:hint="eastAsia"/>
        </w:rPr>
        <w:t>(5)米泉街起点为南环路南侧拟建厂区门口，道路终点为阿克苏路与米泉街交汇点，道路全长1499.722m</w:t>
      </w:r>
      <w:r>
        <w:rPr>
          <w:rFonts w:hint="eastAsia"/>
          <w:lang w:eastAsia="zh-CN"/>
        </w:rPr>
        <w:t>；</w:t>
      </w:r>
      <w:r>
        <w:rPr>
          <w:rFonts w:hint="eastAsia"/>
        </w:rPr>
        <w:t>(6)吐鲁番街起点为南环路与吐鲁番街交汇点，终点为库尔勒路与吐鲁番街交汇点，道路全长1572.724m。</w:t>
      </w:r>
    </w:p>
    <w:p>
      <w:pPr>
        <w:pStyle w:val="6"/>
        <w:bidi w:val="0"/>
        <w:outlineLvl w:val="1"/>
      </w:pPr>
      <w:bookmarkStart w:id="33" w:name="_Toc18159"/>
      <w:r>
        <w:t>2.2.</w:t>
      </w:r>
      <w:r>
        <w:rPr>
          <w:rFonts w:hint="eastAsia"/>
          <w:lang w:val="en-US" w:eastAsia="zh-CN"/>
        </w:rPr>
        <w:t>7</w:t>
      </w:r>
      <w:r>
        <w:t>配套工程</w:t>
      </w:r>
      <w:bookmarkEnd w:id="33"/>
    </w:p>
    <w:p>
      <w:pPr>
        <w:bidi w:val="0"/>
        <w:outlineLvl w:val="2"/>
      </w:pPr>
      <w:bookmarkStart w:id="34" w:name="_Toc6356"/>
      <w:r>
        <w:fldChar w:fldCharType="begin"/>
      </w:r>
      <w:r>
        <w:instrText xml:space="preserve"> HYPERLINK "2.2.8.1" </w:instrText>
      </w:r>
      <w:r>
        <w:fldChar w:fldCharType="separate"/>
      </w:r>
      <w:r>
        <w:t>2.2.</w:t>
      </w:r>
      <w:r>
        <w:rPr>
          <w:rFonts w:hint="eastAsia"/>
          <w:lang w:val="en-US" w:eastAsia="zh-CN"/>
        </w:rPr>
        <w:t>7</w:t>
      </w:r>
      <w:r>
        <w:t>.1</w:t>
      </w:r>
      <w:r>
        <w:fldChar w:fldCharType="end"/>
      </w:r>
      <w:r>
        <w:t>道路等方案</w:t>
      </w:r>
      <w:bookmarkEnd w:id="34"/>
    </w:p>
    <w:p>
      <w:pPr>
        <w:bidi w:val="0"/>
      </w:pPr>
      <w:r>
        <w:t>（1）道路</w:t>
      </w:r>
      <w:r>
        <w:rPr>
          <w:rFonts w:hint="eastAsia"/>
          <w:lang w:val="en-US" w:eastAsia="zh-CN"/>
        </w:rPr>
        <w:t>：</w:t>
      </w:r>
    </w:p>
    <w:p>
      <w:pPr>
        <w:bidi w:val="0"/>
      </w:pPr>
      <w:r>
        <w:t>依托本项目现有道路。</w:t>
      </w:r>
    </w:p>
    <w:p>
      <w:pPr>
        <w:bidi w:val="0"/>
        <w:rPr>
          <w:rFonts w:hint="eastAsia"/>
          <w:lang w:val="en-US" w:eastAsia="zh-CN"/>
        </w:rPr>
      </w:pPr>
      <w:r>
        <w:rPr>
          <w:rFonts w:hint="eastAsia"/>
          <w:lang w:val="en-US" w:eastAsia="zh-CN"/>
        </w:rPr>
        <w:t>绿化工程：</w:t>
      </w:r>
    </w:p>
    <w:p>
      <w:pPr>
        <w:bidi w:val="0"/>
        <w:rPr>
          <w:rFonts w:hint="default"/>
          <w:lang w:val="en-US" w:eastAsia="zh-CN"/>
        </w:rPr>
      </w:pPr>
      <w:r>
        <w:rPr>
          <w:rFonts w:hint="eastAsia"/>
          <w:lang w:val="en-US" w:eastAsia="zh-CN"/>
        </w:rPr>
        <w:t>绿化带。</w:t>
      </w:r>
    </w:p>
    <w:p>
      <w:pPr>
        <w:bidi w:val="0"/>
        <w:rPr>
          <w:rFonts w:hint="default"/>
          <w:lang w:val="en-US" w:eastAsia="zh-CN"/>
        </w:rPr>
      </w:pPr>
      <w:r>
        <w:rPr>
          <w:rFonts w:hint="eastAsia"/>
          <w:lang w:val="en-US" w:eastAsia="zh-CN"/>
        </w:rPr>
        <w:t>路灯工程：</w:t>
      </w:r>
    </w:p>
    <w:p>
      <w:pPr>
        <w:bidi w:val="0"/>
        <w:rPr>
          <w:rFonts w:hint="default"/>
          <w:lang w:val="en-US" w:eastAsia="zh-CN"/>
        </w:rPr>
      </w:pPr>
      <w:r>
        <w:rPr>
          <w:rFonts w:hint="default"/>
          <w:lang w:val="en-US" w:eastAsia="zh-CN"/>
        </w:rPr>
        <w:t>1座箱变、灯具高8.6m</w:t>
      </w:r>
      <w:r>
        <w:rPr>
          <w:rFonts w:hint="eastAsia"/>
          <w:lang w:val="en-US" w:eastAsia="zh-CN"/>
        </w:rPr>
        <w:t>，</w:t>
      </w:r>
      <w:r>
        <w:rPr>
          <w:rFonts w:hint="default"/>
          <w:lang w:val="en-US" w:eastAsia="zh-CN"/>
        </w:rPr>
        <w:t>挑臂2m</w:t>
      </w:r>
      <w:r>
        <w:rPr>
          <w:rFonts w:hint="eastAsia"/>
          <w:lang w:val="en-US" w:eastAsia="zh-CN"/>
        </w:rPr>
        <w:t>，</w:t>
      </w:r>
      <w:r>
        <w:rPr>
          <w:rFonts w:hint="default"/>
          <w:lang w:val="en-US" w:eastAsia="zh-CN"/>
        </w:rPr>
        <w:t>路灯间距30m</w:t>
      </w:r>
      <w:r>
        <w:rPr>
          <w:rFonts w:hint="eastAsia"/>
          <w:lang w:val="en-US" w:eastAsia="zh-CN"/>
        </w:rPr>
        <w:t>，</w:t>
      </w:r>
      <w:r>
        <w:rPr>
          <w:rFonts w:hint="default"/>
          <w:lang w:val="en-US" w:eastAsia="zh-CN"/>
        </w:rPr>
        <w:t>采用双侧对称布置形式。</w:t>
      </w:r>
    </w:p>
    <w:p>
      <w:pPr>
        <w:bidi w:val="0"/>
        <w:rPr>
          <w:rFonts w:hint="eastAsia"/>
          <w:lang w:val="en-US" w:eastAsia="zh-CN"/>
        </w:rPr>
      </w:pPr>
      <w:r>
        <w:rPr>
          <w:rFonts w:hint="eastAsia"/>
          <w:lang w:val="en-US" w:eastAsia="zh-CN"/>
        </w:rPr>
        <w:t>交通附属工程：</w:t>
      </w:r>
    </w:p>
    <w:p>
      <w:pPr>
        <w:bidi w:val="0"/>
        <w:rPr>
          <w:rFonts w:hint="default"/>
          <w:lang w:val="en-US" w:eastAsia="zh-CN"/>
        </w:rPr>
      </w:pPr>
      <w:r>
        <w:rPr>
          <w:rFonts w:hint="default"/>
          <w:lang w:val="en-US" w:eastAsia="zh-CN"/>
        </w:rPr>
        <w:t>设置若干交通标志、标线、信号灯及交通监控系统</w:t>
      </w:r>
      <w:r>
        <w:rPr>
          <w:rFonts w:hint="eastAsia"/>
          <w:lang w:val="en-US" w:eastAsia="zh-CN"/>
        </w:rPr>
        <w:t>。</w:t>
      </w:r>
    </w:p>
    <w:p>
      <w:pPr>
        <w:bidi w:val="0"/>
        <w:outlineLvl w:val="2"/>
      </w:pPr>
      <w:bookmarkStart w:id="35" w:name="_Toc14253"/>
      <w:r>
        <w:fldChar w:fldCharType="begin"/>
      </w:r>
      <w:r>
        <w:instrText xml:space="preserve"> HYPERLINK "2.2.8.2" </w:instrText>
      </w:r>
      <w:r>
        <w:fldChar w:fldCharType="separate"/>
      </w:r>
      <w:r>
        <w:t>2.2.</w:t>
      </w:r>
      <w:r>
        <w:rPr>
          <w:rFonts w:hint="eastAsia"/>
          <w:lang w:val="en-US" w:eastAsia="zh-CN"/>
        </w:rPr>
        <w:t>7</w:t>
      </w:r>
      <w:r>
        <w:t>.2</w:t>
      </w:r>
      <w:r>
        <w:fldChar w:fldCharType="end"/>
      </w:r>
      <w:r>
        <w:t>供电及照明</w:t>
      </w:r>
      <w:bookmarkEnd w:id="35"/>
    </w:p>
    <w:p>
      <w:pPr>
        <w:bidi w:val="0"/>
      </w:pPr>
      <w:r>
        <w:t>依据当地附近的已有电路和照明，部分区域没有电路依靠发电机发电。</w:t>
      </w:r>
    </w:p>
    <w:p>
      <w:pPr>
        <w:bidi w:val="0"/>
        <w:outlineLvl w:val="1"/>
        <w:rPr>
          <w:rFonts w:hint="default"/>
          <w:lang w:val="en-US" w:eastAsia="zh-CN"/>
        </w:rPr>
      </w:pPr>
      <w:bookmarkStart w:id="36" w:name="_Toc22454"/>
      <w:r>
        <w:t>2.2.</w:t>
      </w:r>
      <w:r>
        <w:rPr>
          <w:rFonts w:hint="eastAsia"/>
          <w:lang w:val="en-US" w:eastAsia="zh-CN"/>
        </w:rPr>
        <w:t>8</w:t>
      </w:r>
      <w:r>
        <w:t>项目占地、土石方平衡等</w:t>
      </w:r>
      <w:bookmarkEnd w:id="36"/>
    </w:p>
    <w:p>
      <w:pPr>
        <w:bidi w:val="0"/>
        <w:outlineLvl w:val="2"/>
        <w:rPr>
          <w:rFonts w:hint="default"/>
          <w:lang w:val="en-US" w:eastAsia="zh-CN"/>
        </w:rPr>
      </w:pPr>
      <w:bookmarkStart w:id="37" w:name="_Toc4939"/>
      <w:r>
        <w:rPr>
          <w:rFonts w:hint="eastAsia"/>
          <w:lang w:eastAsia="zh-CN"/>
        </w:rPr>
        <w:t>（</w:t>
      </w:r>
      <w:r>
        <w:rPr>
          <w:rFonts w:hint="eastAsia"/>
          <w:lang w:val="en-US" w:eastAsia="zh-CN"/>
        </w:rPr>
        <w:t>1</w:t>
      </w:r>
      <w:r>
        <w:rPr>
          <w:rFonts w:hint="eastAsia"/>
          <w:lang w:eastAsia="zh-CN"/>
        </w:rPr>
        <w:t>）</w:t>
      </w:r>
      <w:r>
        <w:rPr>
          <w:rFonts w:hint="eastAsia"/>
          <w:lang w:val="en-US" w:eastAsia="zh-CN"/>
        </w:rPr>
        <w:t>永久占地和临时占地</w:t>
      </w:r>
      <w:bookmarkEnd w:id="37"/>
    </w:p>
    <w:p>
      <w:pPr>
        <w:bidi w:val="0"/>
      </w:pPr>
      <w:r>
        <w:t>本工程新、改建共计六条道路，设计长度共计约为17.39km</w:t>
      </w:r>
      <w:r>
        <w:rPr>
          <w:rFonts w:hint="eastAsia"/>
          <w:lang w:eastAsia="zh-CN"/>
        </w:rPr>
        <w:t>，</w:t>
      </w:r>
      <w:r>
        <w:t>红线内占地面积共计约114.97hm²</w:t>
      </w:r>
      <w:r>
        <w:rPr>
          <w:rFonts w:hint="eastAsia"/>
          <w:lang w:eastAsia="zh-CN"/>
        </w:rPr>
        <w:t>，</w:t>
      </w:r>
      <w:r>
        <w:t>其中新增占地面积约为109.237hm²</w:t>
      </w:r>
      <w:r>
        <w:rPr>
          <w:rFonts w:hint="eastAsia"/>
          <w:lang w:eastAsia="zh-CN"/>
        </w:rPr>
        <w:t>，</w:t>
      </w:r>
      <w:r>
        <w:t>占地面积该部分土地属永久占地。</w:t>
      </w:r>
    </w:p>
    <w:p>
      <w:pPr>
        <w:bidi w:val="0"/>
      </w:pPr>
      <w:r>
        <w:t>本次沥青采用商用沥青，不在厂区设沥青搅拌站及预制场；沿线不设弃土场；工程处在已经开发建设的经济技术开发区内，加之开发区与奎屯市区相距不远，工程施工人员采用租房方式解决食宿，不在工程区设置施工生活区及餐厅；工程周边路网完善，无需建设外连接道路；不再单独设置施工便道。</w:t>
      </w:r>
    </w:p>
    <w:p>
      <w:pPr>
        <w:bidi w:val="0"/>
      </w:pPr>
      <w:r>
        <w:t>本次临时工程主要是建筑垃圾临时堆场、材料堆场、蒸发沉淀池、项目部及值班室。临时工程会占用一定数量土地，本次评价根据以往经验估算临时占地面积并对临时用地的选址提出环保角度的建议。本工程占地类型详见</w:t>
      </w:r>
      <w:r>
        <w:rPr>
          <w:rFonts w:hint="eastAsia"/>
          <w:lang w:val="en-US" w:eastAsia="zh-CN"/>
        </w:rPr>
        <w:t>下</w:t>
      </w:r>
      <w:r>
        <w:t>表。</w:t>
      </w:r>
    </w:p>
    <w:p>
      <w:pPr>
        <w:pStyle w:val="16"/>
        <w:bidi w:val="0"/>
      </w:pPr>
      <w:r>
        <w:t>表</w:t>
      </w:r>
      <w:r>
        <w:rPr>
          <w:rFonts w:hint="eastAsia"/>
          <w:lang w:val="en-US" w:eastAsia="zh-CN"/>
        </w:rPr>
        <w:t>2-4</w:t>
      </w:r>
      <w:r>
        <w:t xml:space="preserve">         占地类型一览表</w:t>
      </w:r>
    </w:p>
    <w:tbl>
      <w:tblPr>
        <w:tblStyle w:val="20"/>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515"/>
        <w:gridCol w:w="1999"/>
        <w:gridCol w:w="1998"/>
        <w:gridCol w:w="18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2714" w:type="pct"/>
            <w:gridSpan w:val="2"/>
            <w:vAlign w:val="center"/>
          </w:tcPr>
          <w:p>
            <w:pPr>
              <w:pStyle w:val="18"/>
              <w:bidi w:val="0"/>
            </w:pPr>
            <w:r>
              <w:t>占地类型</w:t>
            </w:r>
          </w:p>
        </w:tc>
        <w:tc>
          <w:tcPr>
            <w:tcW w:w="1201" w:type="pct"/>
            <w:vAlign w:val="center"/>
          </w:tcPr>
          <w:p>
            <w:pPr>
              <w:pStyle w:val="18"/>
              <w:bidi w:val="0"/>
            </w:pPr>
            <w:r>
              <w:t>数量hm²</w:t>
            </w:r>
          </w:p>
        </w:tc>
        <w:tc>
          <w:tcPr>
            <w:tcW w:w="1083" w:type="pct"/>
            <w:vAlign w:val="center"/>
          </w:tcPr>
          <w:p>
            <w:pPr>
              <w:pStyle w:val="18"/>
              <w:bidi w:val="0"/>
            </w:pPr>
            <w:r>
              <w:t>土地利用类型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7" w:hRule="atLeast"/>
        </w:trPr>
        <w:tc>
          <w:tcPr>
            <w:tcW w:w="1512" w:type="pct"/>
            <w:vAlign w:val="center"/>
          </w:tcPr>
          <w:p>
            <w:pPr>
              <w:pStyle w:val="18"/>
              <w:bidi w:val="0"/>
            </w:pPr>
            <w:r>
              <w:t>永久占地</w:t>
            </w:r>
          </w:p>
        </w:tc>
        <w:tc>
          <w:tcPr>
            <w:tcW w:w="1201" w:type="pct"/>
            <w:vAlign w:val="center"/>
          </w:tcPr>
          <w:p>
            <w:pPr>
              <w:pStyle w:val="18"/>
              <w:bidi w:val="0"/>
            </w:pPr>
            <w:r>
              <w:t>道路用地</w:t>
            </w:r>
          </w:p>
        </w:tc>
        <w:tc>
          <w:tcPr>
            <w:tcW w:w="1201" w:type="pct"/>
            <w:vAlign w:val="center"/>
          </w:tcPr>
          <w:p>
            <w:pPr>
              <w:pStyle w:val="18"/>
              <w:bidi w:val="0"/>
            </w:pPr>
            <w:r>
              <w:t>114.97</w:t>
            </w:r>
          </w:p>
        </w:tc>
        <w:tc>
          <w:tcPr>
            <w:tcW w:w="1083" w:type="pct"/>
            <w:vAlign w:val="center"/>
          </w:tcPr>
          <w:p>
            <w:pPr>
              <w:pStyle w:val="18"/>
              <w:bidi w:val="0"/>
            </w:pPr>
            <w:r>
              <w:t>建设用地/未利用地/一般农田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8" w:hRule="atLeast"/>
        </w:trPr>
        <w:tc>
          <w:tcPr>
            <w:tcW w:w="1512" w:type="pct"/>
            <w:vMerge w:val="restart"/>
            <w:tcBorders>
              <w:bottom w:val="nil"/>
            </w:tcBorders>
            <w:vAlign w:val="center"/>
          </w:tcPr>
          <w:p>
            <w:pPr>
              <w:pStyle w:val="18"/>
              <w:bidi w:val="0"/>
            </w:pPr>
            <w:r>
              <w:t>临时占地</w:t>
            </w:r>
          </w:p>
        </w:tc>
        <w:tc>
          <w:tcPr>
            <w:tcW w:w="1201" w:type="pct"/>
            <w:vAlign w:val="center"/>
          </w:tcPr>
          <w:p>
            <w:pPr>
              <w:pStyle w:val="18"/>
              <w:bidi w:val="0"/>
            </w:pPr>
            <w:r>
              <w:t>材料堆场</w:t>
            </w:r>
          </w:p>
        </w:tc>
        <w:tc>
          <w:tcPr>
            <w:tcW w:w="1201" w:type="pct"/>
            <w:vAlign w:val="center"/>
          </w:tcPr>
          <w:p>
            <w:pPr>
              <w:pStyle w:val="18"/>
              <w:bidi w:val="0"/>
            </w:pPr>
            <w:r>
              <w:t>1200</w:t>
            </w:r>
          </w:p>
        </w:tc>
        <w:tc>
          <w:tcPr>
            <w:tcW w:w="1083" w:type="pct"/>
            <w:vAlign w:val="center"/>
          </w:tcPr>
          <w:p>
            <w:pPr>
              <w:pStyle w:val="18"/>
              <w:bidi w:val="0"/>
            </w:pPr>
            <w:r>
              <w:t>工业用地/未利用地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8" w:hRule="atLeast"/>
        </w:trPr>
        <w:tc>
          <w:tcPr>
            <w:tcW w:w="1512" w:type="pct"/>
            <w:vMerge w:val="continue"/>
            <w:tcBorders>
              <w:top w:val="nil"/>
              <w:bottom w:val="nil"/>
            </w:tcBorders>
            <w:vAlign w:val="center"/>
          </w:tcPr>
          <w:p>
            <w:pPr>
              <w:pStyle w:val="18"/>
              <w:bidi w:val="0"/>
            </w:pPr>
          </w:p>
        </w:tc>
        <w:tc>
          <w:tcPr>
            <w:tcW w:w="1201" w:type="pct"/>
            <w:vAlign w:val="center"/>
          </w:tcPr>
          <w:p>
            <w:pPr>
              <w:pStyle w:val="18"/>
              <w:bidi w:val="0"/>
            </w:pPr>
            <w:r>
              <w:t>项目部及值班室</w:t>
            </w:r>
          </w:p>
        </w:tc>
        <w:tc>
          <w:tcPr>
            <w:tcW w:w="1201" w:type="pct"/>
            <w:vAlign w:val="center"/>
          </w:tcPr>
          <w:p>
            <w:pPr>
              <w:pStyle w:val="18"/>
              <w:bidi w:val="0"/>
            </w:pPr>
            <w:r>
              <w:t>120</w:t>
            </w:r>
          </w:p>
        </w:tc>
        <w:tc>
          <w:tcPr>
            <w:tcW w:w="1083" w:type="pct"/>
            <w:vAlign w:val="center"/>
          </w:tcPr>
          <w:p>
            <w:pPr>
              <w:pStyle w:val="18"/>
              <w:bidi w:val="0"/>
            </w:pPr>
            <w:r>
              <w:t>工业用地/未利用地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1512" w:type="pct"/>
            <w:vMerge w:val="continue"/>
            <w:tcBorders>
              <w:top w:val="nil"/>
            </w:tcBorders>
            <w:vAlign w:val="center"/>
          </w:tcPr>
          <w:p>
            <w:pPr>
              <w:pStyle w:val="18"/>
              <w:bidi w:val="0"/>
            </w:pPr>
          </w:p>
        </w:tc>
        <w:tc>
          <w:tcPr>
            <w:tcW w:w="1201" w:type="pct"/>
            <w:vAlign w:val="center"/>
          </w:tcPr>
          <w:p>
            <w:pPr>
              <w:pStyle w:val="18"/>
              <w:bidi w:val="0"/>
            </w:pPr>
            <w:r>
              <w:t>蒸发沉淀池</w:t>
            </w:r>
          </w:p>
        </w:tc>
        <w:tc>
          <w:tcPr>
            <w:tcW w:w="1201" w:type="pct"/>
            <w:vAlign w:val="center"/>
          </w:tcPr>
          <w:p>
            <w:pPr>
              <w:pStyle w:val="18"/>
              <w:bidi w:val="0"/>
            </w:pPr>
            <w:r>
              <w:t>150</w:t>
            </w:r>
          </w:p>
        </w:tc>
        <w:tc>
          <w:tcPr>
            <w:tcW w:w="1083" w:type="pct"/>
            <w:vAlign w:val="center"/>
          </w:tcPr>
          <w:p>
            <w:pPr>
              <w:pStyle w:val="18"/>
              <w:bidi w:val="0"/>
            </w:pPr>
            <w:r>
              <w:t>工业用地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2714" w:type="pct"/>
            <w:gridSpan w:val="2"/>
            <w:vAlign w:val="center"/>
          </w:tcPr>
          <w:p>
            <w:pPr>
              <w:pStyle w:val="18"/>
              <w:bidi w:val="0"/>
            </w:pPr>
            <w:r>
              <w:t>合计</w:t>
            </w:r>
          </w:p>
        </w:tc>
        <w:tc>
          <w:tcPr>
            <w:tcW w:w="1201" w:type="pct"/>
            <w:vAlign w:val="center"/>
          </w:tcPr>
          <w:p>
            <w:pPr>
              <w:pStyle w:val="18"/>
              <w:bidi w:val="0"/>
            </w:pPr>
            <w:r>
              <w:t>1584.97</w:t>
            </w:r>
          </w:p>
        </w:tc>
        <w:tc>
          <w:tcPr>
            <w:tcW w:w="1083" w:type="pct"/>
            <w:vAlign w:val="center"/>
          </w:tcPr>
          <w:p>
            <w:pPr>
              <w:pStyle w:val="18"/>
              <w:bidi w:val="0"/>
            </w:pPr>
            <w:r>
              <w:t>/</w:t>
            </w:r>
          </w:p>
        </w:tc>
      </w:tr>
    </w:tbl>
    <w:p>
      <w:pPr>
        <w:numPr>
          <w:ilvl w:val="0"/>
          <w:numId w:val="3"/>
        </w:numPr>
        <w:bidi w:val="0"/>
        <w:outlineLvl w:val="2"/>
        <w:rPr>
          <w:rFonts w:hint="eastAsia"/>
          <w:lang w:val="en-US" w:eastAsia="zh-CN"/>
        </w:rPr>
      </w:pPr>
      <w:bookmarkStart w:id="38" w:name="_Toc6448"/>
      <w:r>
        <w:rPr>
          <w:rFonts w:hint="eastAsia"/>
          <w:lang w:val="en-US" w:eastAsia="zh-CN"/>
        </w:rPr>
        <w:t>土石方平衡</w:t>
      </w:r>
      <w:bookmarkEnd w:id="38"/>
    </w:p>
    <w:p>
      <w:pPr>
        <w:bidi w:val="0"/>
      </w:pPr>
      <w:r>
        <w:t>本工程各条道路开挖土石方总量约为12.88×10</w:t>
      </w:r>
      <w:r>
        <w:rPr>
          <w:rFonts w:hint="eastAsia"/>
          <w:vertAlign w:val="superscript"/>
          <w:lang w:val="en-US" w:eastAsia="zh-CN"/>
        </w:rPr>
        <w:t>4</w:t>
      </w:r>
      <w:r>
        <w:t>m</w:t>
      </w:r>
      <w:r>
        <w:rPr>
          <w:rFonts w:hint="eastAsia"/>
          <w:vertAlign w:val="superscript"/>
          <w:lang w:val="en-US" w:eastAsia="zh-CN"/>
        </w:rPr>
        <w:t>3</w:t>
      </w:r>
      <w:r>
        <w:rPr>
          <w:rFonts w:hint="eastAsia"/>
          <w:lang w:eastAsia="zh-CN"/>
        </w:rPr>
        <w:t>，</w:t>
      </w:r>
      <w:r>
        <w:t>其中挖除旧混凝土路面土石力盘约为2.56×10</w:t>
      </w:r>
      <w:r>
        <w:rPr>
          <w:rFonts w:hint="eastAsia"/>
          <w:vertAlign w:val="superscript"/>
          <w:lang w:val="en-US" w:eastAsia="zh-CN"/>
        </w:rPr>
        <w:t>4</w:t>
      </w:r>
      <w:r>
        <w:t>m</w:t>
      </w:r>
      <w:r>
        <w:rPr>
          <w:rFonts w:hint="eastAsia"/>
          <w:vertAlign w:val="superscript"/>
          <w:lang w:val="en-US" w:eastAsia="zh-CN"/>
        </w:rPr>
        <w:t>3</w:t>
      </w:r>
      <w:r>
        <w:rPr>
          <w:rFonts w:hint="eastAsia"/>
          <w:lang w:eastAsia="zh-CN"/>
        </w:rPr>
        <w:t>，</w:t>
      </w:r>
      <w:r>
        <w:t>根据本工程所在区域土壤环境现状调查结果，区域内土壤类型主要为灰漠土，质地偏粘，结合工程地质调查结果，工程所在区域上层是以粉土为主的耕精土，夹少量植物根系，埋深约0.4~0</w:t>
      </w:r>
      <w:r>
        <w:rPr>
          <w:rFonts w:hint="eastAsia"/>
          <w:lang w:val="en-US" w:eastAsia="zh-CN"/>
        </w:rPr>
        <w:t>.</w:t>
      </w:r>
      <w:r>
        <w:t>6m的中层土具有少量孔隙，韧性低，且含有少量</w:t>
      </w:r>
      <w:r>
        <w:rPr>
          <w:rFonts w:hint="eastAsia"/>
          <w:lang w:val="en-US" w:eastAsia="zh-CN"/>
        </w:rPr>
        <w:t>粘胶</w:t>
      </w:r>
      <w:r>
        <w:t>及粉细砂，因此，开挖土石方均不满足道路敷设土方标准要求，开挖及拆除的旧</w:t>
      </w:r>
      <w:r>
        <w:rPr>
          <w:rFonts w:hint="eastAsia"/>
          <w:lang w:val="en-US" w:eastAsia="zh-CN"/>
        </w:rPr>
        <w:t>混</w:t>
      </w:r>
      <w:r>
        <w:t>凝土路面土石方均不可利用，全部弃置，回填土石方总量约为14.31×10</w:t>
      </w:r>
      <w:r>
        <w:rPr>
          <w:rFonts w:hint="eastAsia"/>
          <w:vertAlign w:val="superscript"/>
          <w:lang w:val="en-US" w:eastAsia="zh-CN"/>
        </w:rPr>
        <w:t>4</w:t>
      </w:r>
      <w:r>
        <w:t>m</w:t>
      </w:r>
      <w:r>
        <w:rPr>
          <w:rFonts w:hint="eastAsia"/>
          <w:vertAlign w:val="superscript"/>
          <w:lang w:val="en-US" w:eastAsia="zh-CN"/>
        </w:rPr>
        <w:t>3</w:t>
      </w:r>
      <w:r>
        <w:rPr>
          <w:rFonts w:hint="eastAsia"/>
          <w:lang w:val="en-US" w:eastAsia="zh-CN"/>
        </w:rPr>
        <w:t>，</w:t>
      </w:r>
      <w:r>
        <w:t>总土方量约为27.19×10</w:t>
      </w:r>
      <w:r>
        <w:rPr>
          <w:rFonts w:hint="eastAsia"/>
          <w:vertAlign w:val="superscript"/>
          <w:lang w:val="en-US" w:eastAsia="zh-CN"/>
        </w:rPr>
        <w:t>4</w:t>
      </w:r>
      <w:r>
        <w:t>m</w:t>
      </w:r>
      <w:r>
        <w:rPr>
          <w:rFonts w:hint="eastAsia"/>
          <w:vertAlign w:val="superscript"/>
          <w:lang w:val="en-US" w:eastAsia="zh-CN"/>
        </w:rPr>
        <w:t>3</w:t>
      </w:r>
      <w:r>
        <w:t>、本工程土石方平衡见</w:t>
      </w:r>
      <w:r>
        <w:rPr>
          <w:rFonts w:hint="eastAsia"/>
          <w:lang w:val="en-US" w:eastAsia="zh-CN"/>
        </w:rPr>
        <w:t>下</w:t>
      </w:r>
      <w:r>
        <w:t>表。</w:t>
      </w:r>
    </w:p>
    <w:p>
      <w:pPr>
        <w:pStyle w:val="16"/>
        <w:bidi w:val="0"/>
        <w:rPr>
          <w:rFonts w:hint="default"/>
          <w:lang w:val="en-US"/>
        </w:rPr>
      </w:pPr>
      <w:r>
        <w:t>表2</w:t>
      </w:r>
      <w:r>
        <w:rPr>
          <w:rFonts w:hint="eastAsia"/>
          <w:lang w:val="en-US" w:eastAsia="zh-CN"/>
        </w:rPr>
        <w:t>-5</w:t>
      </w:r>
      <w:r>
        <w:t xml:space="preserve">  土石方平衡</w:t>
      </w:r>
      <w:r>
        <w:rPr>
          <w:rFonts w:hint="eastAsia"/>
          <w:lang w:val="en-US" w:eastAsia="zh-CN"/>
        </w:rPr>
        <w:t>一览</w:t>
      </w:r>
      <w:r>
        <w:t>表 单位：</w:t>
      </w:r>
      <w:r>
        <w:rPr>
          <w:rFonts w:hint="eastAsia"/>
          <w:lang w:val="en-US" w:eastAsia="zh-CN"/>
        </w:rPr>
        <w:t>10</w:t>
      </w:r>
      <w:r>
        <w:rPr>
          <w:rFonts w:hint="eastAsia"/>
          <w:vertAlign w:val="superscript"/>
          <w:lang w:val="en-US" w:eastAsia="zh-CN"/>
        </w:rPr>
        <w:t>4</w:t>
      </w:r>
      <w:r>
        <w:rPr>
          <w:rFonts w:hint="eastAsia"/>
          <w:lang w:val="en-US" w:eastAsia="zh-CN"/>
        </w:rPr>
        <w:t>m</w:t>
      </w:r>
      <w:r>
        <w:rPr>
          <w:rFonts w:hint="eastAsia"/>
          <w:vertAlign w:val="superscript"/>
          <w:lang w:val="en-US" w:eastAsia="zh-CN"/>
        </w:rPr>
        <w:t>3</w:t>
      </w:r>
    </w:p>
    <w:tbl>
      <w:tblPr>
        <w:tblStyle w:val="20"/>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188"/>
        <w:gridCol w:w="3075"/>
        <w:gridCol w:w="30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3" w:hRule="atLeast"/>
        </w:trPr>
        <w:tc>
          <w:tcPr>
            <w:tcW w:w="1316" w:type="pct"/>
            <w:vAlign w:val="center"/>
          </w:tcPr>
          <w:p>
            <w:pPr>
              <w:pStyle w:val="18"/>
              <w:bidi w:val="0"/>
            </w:pPr>
            <w:r>
              <w:t>项目</w:t>
            </w:r>
          </w:p>
        </w:tc>
        <w:tc>
          <w:tcPr>
            <w:tcW w:w="1849" w:type="pct"/>
            <w:vAlign w:val="center"/>
          </w:tcPr>
          <w:p>
            <w:pPr>
              <w:pStyle w:val="18"/>
              <w:bidi w:val="0"/>
            </w:pPr>
            <w:r>
              <w:t>挖方量</w:t>
            </w:r>
          </w:p>
        </w:tc>
        <w:tc>
          <w:tcPr>
            <w:tcW w:w="1834" w:type="pct"/>
            <w:vAlign w:val="center"/>
          </w:tcPr>
          <w:p>
            <w:pPr>
              <w:pStyle w:val="18"/>
              <w:bidi w:val="0"/>
            </w:pPr>
            <w:r>
              <w:t>填方量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1316" w:type="pct"/>
            <w:vAlign w:val="center"/>
          </w:tcPr>
          <w:p>
            <w:pPr>
              <w:pStyle w:val="18"/>
              <w:bidi w:val="0"/>
            </w:pPr>
            <w:r>
              <w:t>阿克苏路东延</w:t>
            </w:r>
          </w:p>
        </w:tc>
        <w:tc>
          <w:tcPr>
            <w:tcW w:w="1849" w:type="pct"/>
            <w:vAlign w:val="center"/>
          </w:tcPr>
          <w:p>
            <w:pPr>
              <w:pStyle w:val="18"/>
              <w:bidi w:val="0"/>
            </w:pPr>
            <w:r>
              <w:t>4.6342</w:t>
            </w:r>
          </w:p>
        </w:tc>
        <w:tc>
          <w:tcPr>
            <w:tcW w:w="1834" w:type="pct"/>
            <w:vAlign w:val="center"/>
          </w:tcPr>
          <w:p>
            <w:pPr>
              <w:pStyle w:val="18"/>
              <w:bidi w:val="0"/>
            </w:pPr>
            <w:r>
              <w:t>11.7795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1316" w:type="pct"/>
            <w:vAlign w:val="center"/>
          </w:tcPr>
          <w:p>
            <w:pPr>
              <w:pStyle w:val="18"/>
              <w:bidi w:val="0"/>
            </w:pPr>
            <w:r>
              <w:t>南环路东延</w:t>
            </w:r>
          </w:p>
        </w:tc>
        <w:tc>
          <w:tcPr>
            <w:tcW w:w="1849" w:type="pct"/>
            <w:vAlign w:val="center"/>
          </w:tcPr>
          <w:p>
            <w:pPr>
              <w:pStyle w:val="18"/>
              <w:bidi w:val="0"/>
            </w:pPr>
            <w:r>
              <w:t>5.7392</w:t>
            </w:r>
          </w:p>
        </w:tc>
        <w:tc>
          <w:tcPr>
            <w:tcW w:w="1834" w:type="pct"/>
            <w:vAlign w:val="center"/>
          </w:tcPr>
          <w:p>
            <w:pPr>
              <w:pStyle w:val="18"/>
              <w:bidi w:val="0"/>
            </w:pPr>
            <w:r>
              <w:t>1.7956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1316" w:type="pct"/>
            <w:vAlign w:val="center"/>
          </w:tcPr>
          <w:p>
            <w:pPr>
              <w:pStyle w:val="18"/>
              <w:bidi w:val="0"/>
            </w:pPr>
            <w:r>
              <w:t>淮河路</w:t>
            </w:r>
          </w:p>
        </w:tc>
        <w:tc>
          <w:tcPr>
            <w:tcW w:w="1849" w:type="pct"/>
            <w:vAlign w:val="center"/>
          </w:tcPr>
          <w:p>
            <w:pPr>
              <w:pStyle w:val="18"/>
              <w:bidi w:val="0"/>
            </w:pPr>
            <w:r>
              <w:t>2.0597</w:t>
            </w:r>
          </w:p>
        </w:tc>
        <w:tc>
          <w:tcPr>
            <w:tcW w:w="1834" w:type="pct"/>
            <w:vAlign w:val="center"/>
          </w:tcPr>
          <w:p>
            <w:pPr>
              <w:pStyle w:val="18"/>
              <w:bidi w:val="0"/>
            </w:pPr>
            <w:r>
              <w:t>0.4934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1316" w:type="pct"/>
            <w:vAlign w:val="center"/>
          </w:tcPr>
          <w:p>
            <w:pPr>
              <w:pStyle w:val="18"/>
              <w:bidi w:val="0"/>
            </w:pPr>
            <w:r>
              <w:t>东外环路</w:t>
            </w:r>
          </w:p>
        </w:tc>
        <w:tc>
          <w:tcPr>
            <w:tcW w:w="1849" w:type="pct"/>
            <w:vAlign w:val="center"/>
          </w:tcPr>
          <w:p>
            <w:pPr>
              <w:pStyle w:val="18"/>
              <w:bidi w:val="0"/>
            </w:pPr>
            <w:r>
              <w:t>0.2187</w:t>
            </w:r>
          </w:p>
        </w:tc>
        <w:tc>
          <w:tcPr>
            <w:tcW w:w="1834" w:type="pct"/>
            <w:vAlign w:val="center"/>
          </w:tcPr>
          <w:p>
            <w:pPr>
              <w:pStyle w:val="18"/>
              <w:bidi w:val="0"/>
            </w:pPr>
            <w:r>
              <w:t>0.1397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8" w:hRule="atLeast"/>
        </w:trPr>
        <w:tc>
          <w:tcPr>
            <w:tcW w:w="1316" w:type="pct"/>
            <w:vAlign w:val="center"/>
          </w:tcPr>
          <w:p>
            <w:pPr>
              <w:pStyle w:val="18"/>
              <w:bidi w:val="0"/>
            </w:pPr>
            <w:r>
              <w:t>米泉街</w:t>
            </w:r>
          </w:p>
        </w:tc>
        <w:tc>
          <w:tcPr>
            <w:tcW w:w="1849" w:type="pct"/>
            <w:vAlign w:val="center"/>
          </w:tcPr>
          <w:p>
            <w:pPr>
              <w:pStyle w:val="18"/>
              <w:bidi w:val="0"/>
            </w:pPr>
            <w:r>
              <w:t>0.1215</w:t>
            </w:r>
          </w:p>
        </w:tc>
        <w:tc>
          <w:tcPr>
            <w:tcW w:w="1834" w:type="pct"/>
            <w:vAlign w:val="center"/>
          </w:tcPr>
          <w:p>
            <w:pPr>
              <w:pStyle w:val="18"/>
              <w:bidi w:val="0"/>
            </w:pPr>
            <w:r>
              <w:t>0.07761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1316" w:type="pct"/>
            <w:vAlign w:val="center"/>
          </w:tcPr>
          <w:p>
            <w:pPr>
              <w:pStyle w:val="18"/>
              <w:bidi w:val="0"/>
            </w:pPr>
            <w:r>
              <w:t>吐鲁番街</w:t>
            </w:r>
          </w:p>
        </w:tc>
        <w:tc>
          <w:tcPr>
            <w:tcW w:w="1849" w:type="pct"/>
            <w:vAlign w:val="center"/>
          </w:tcPr>
          <w:p>
            <w:pPr>
              <w:pStyle w:val="18"/>
              <w:bidi w:val="0"/>
            </w:pPr>
            <w:r>
              <w:t>0.1104</w:t>
            </w:r>
          </w:p>
        </w:tc>
        <w:tc>
          <w:tcPr>
            <w:tcW w:w="1834" w:type="pct"/>
            <w:vAlign w:val="center"/>
          </w:tcPr>
          <w:p>
            <w:pPr>
              <w:pStyle w:val="18"/>
              <w:bidi w:val="0"/>
            </w:pPr>
            <w:r>
              <w:t>0.01989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1316" w:type="pct"/>
            <w:vAlign w:val="center"/>
          </w:tcPr>
          <w:p>
            <w:pPr>
              <w:pStyle w:val="18"/>
              <w:bidi w:val="0"/>
            </w:pPr>
            <w:r>
              <w:t>总计</w:t>
            </w:r>
          </w:p>
        </w:tc>
        <w:tc>
          <w:tcPr>
            <w:tcW w:w="1849" w:type="pct"/>
            <w:vAlign w:val="center"/>
          </w:tcPr>
          <w:p>
            <w:pPr>
              <w:pStyle w:val="18"/>
              <w:bidi w:val="0"/>
            </w:pPr>
            <w:r>
              <w:t>12.88</w:t>
            </w:r>
          </w:p>
        </w:tc>
        <w:tc>
          <w:tcPr>
            <w:tcW w:w="1834" w:type="pct"/>
            <w:vAlign w:val="center"/>
          </w:tcPr>
          <w:p>
            <w:pPr>
              <w:pStyle w:val="18"/>
              <w:bidi w:val="0"/>
            </w:pPr>
            <w:r>
              <w:t>14.31</w:t>
            </w:r>
          </w:p>
        </w:tc>
      </w:tr>
    </w:tbl>
    <w:p>
      <w:pPr>
        <w:pStyle w:val="6"/>
        <w:bidi w:val="0"/>
        <w:outlineLvl w:val="1"/>
        <w:rPr>
          <w:rFonts w:hint="eastAsia"/>
          <w:lang w:val="en-US" w:eastAsia="zh-CN"/>
        </w:rPr>
      </w:pPr>
      <w:bookmarkStart w:id="39" w:name="_Toc31369"/>
      <w:r>
        <w:rPr>
          <w:rFonts w:hint="eastAsia"/>
          <w:lang w:val="en-US" w:eastAsia="zh-CN"/>
        </w:rPr>
        <w:t>2.2.9施工期工艺流程</w:t>
      </w:r>
      <w:bookmarkEnd w:id="39"/>
    </w:p>
    <w:p>
      <w:pPr>
        <w:bidi w:val="0"/>
        <w:outlineLvl w:val="2"/>
        <w:rPr>
          <w:rFonts w:hint="eastAsia"/>
          <w:lang w:val="en-US" w:eastAsia="zh-CN"/>
        </w:rPr>
      </w:pPr>
      <w:bookmarkStart w:id="40" w:name="_Toc26260"/>
      <w:r>
        <w:rPr>
          <w:rFonts w:hint="eastAsia"/>
          <w:lang w:val="en-US" w:eastAsia="zh-CN"/>
        </w:rPr>
        <w:t>2.2.9.1公路工程</w:t>
      </w:r>
      <w:bookmarkEnd w:id="40"/>
    </w:p>
    <w:p>
      <w:pPr>
        <w:bidi w:val="0"/>
      </w:pPr>
      <w:r>
        <w:t>①填方路基</w:t>
      </w:r>
    </w:p>
    <w:p>
      <w:pPr>
        <w:bidi w:val="0"/>
      </w:pPr>
      <w:r>
        <w:t>以机械施工为主，本着永临结合的原则在路基两侧红线范围内沿线开挖临时排水设施，以保持施工期间场地处于良好的排水状态。若为高填路堤段，当基底为水田时，清除表层淤泥腐质土，当基底为密实斜坡时，地面横坡为1:10~1:5时填前挖松后夯实；地面</w:t>
      </w:r>
    </w:p>
    <w:p>
      <w:pPr>
        <w:bidi w:val="0"/>
      </w:pPr>
      <w:r>
        <w:t>横坡陡于1</w:t>
      </w:r>
      <w:r>
        <w:rPr>
          <w:rFonts w:hint="eastAsia"/>
          <w:lang w:eastAsia="zh-CN"/>
        </w:rPr>
        <w:t>：</w:t>
      </w:r>
      <w:r>
        <w:t>5，但缓于1</w:t>
      </w:r>
      <w:r>
        <w:rPr>
          <w:rFonts w:hint="eastAsia"/>
          <w:lang w:eastAsia="zh-CN"/>
        </w:rPr>
        <w:t>：</w:t>
      </w:r>
      <w:r>
        <w:t>2.5时开挖不小于1.0m的土质台阶而后填筑。</w:t>
      </w:r>
    </w:p>
    <w:p>
      <w:pPr>
        <w:bidi w:val="0"/>
        <w:rPr>
          <w:rFonts w:hint="eastAsia" w:eastAsia="宋体"/>
          <w:lang w:val="en-US" w:eastAsia="zh-CN"/>
        </w:rPr>
      </w:pPr>
      <w:r>
        <w:t>路基填料取自路堑挖方及外购土方，机械开挖并由自卸汽车运输。土方路基用推土机初平，平地机精平，振动压路机碾压成型。路基填到设计标高后，人工刷坡，按设计坡度将边坡和平台刷整齐。填方路段防护设计见</w:t>
      </w:r>
      <w:r>
        <w:rPr>
          <w:rFonts w:hint="eastAsia"/>
          <w:lang w:val="en-US" w:eastAsia="zh-CN"/>
        </w:rPr>
        <w:t>下</w:t>
      </w:r>
      <w:r>
        <w:t>图</w:t>
      </w:r>
      <w:r>
        <w:rPr>
          <w:rFonts w:hint="eastAsia"/>
          <w:lang w:eastAsia="zh-CN"/>
        </w:rPr>
        <w:t>。</w:t>
      </w:r>
    </w:p>
    <w:p>
      <w:pPr>
        <w:keepNext w:val="0"/>
        <w:keepLines w:val="0"/>
        <w:pageBreakBefore w:val="0"/>
        <w:widowControl/>
        <w:kinsoku/>
        <w:wordWrap/>
        <w:overflowPunct/>
        <w:topLinePunct w:val="0"/>
        <w:autoSpaceDE/>
        <w:autoSpaceDN/>
        <w:bidi w:val="0"/>
        <w:adjustRightInd/>
        <w:snapToGrid/>
        <w:ind w:firstLine="0" w:firstLineChars="0"/>
        <w:textAlignment w:val="baseline"/>
        <w:rPr>
          <w:rFonts w:hint="eastAsia"/>
          <w:lang w:val="en-US" w:eastAsia="zh-CN"/>
        </w:rPr>
      </w:pPr>
      <w:r>
        <w:rPr>
          <w:position w:val="-73"/>
        </w:rPr>
        <w:drawing>
          <wp:inline distT="0" distB="0" distL="0" distR="0">
            <wp:extent cx="5276215" cy="2345055"/>
            <wp:effectExtent l="0" t="0" r="635" b="17145"/>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21"/>
                    <a:stretch>
                      <a:fillRect/>
                    </a:stretch>
                  </pic:blipFill>
                  <pic:spPr>
                    <a:xfrm>
                      <a:off x="0" y="0"/>
                      <a:ext cx="5276215" cy="2345435"/>
                    </a:xfrm>
                    <a:prstGeom prst="rect">
                      <a:avLst/>
                    </a:prstGeom>
                  </pic:spPr>
                </pic:pic>
              </a:graphicData>
            </a:graphic>
          </wp:inline>
        </w:drawing>
      </w:r>
    </w:p>
    <w:p>
      <w:pPr>
        <w:pStyle w:val="16"/>
        <w:bidi w:val="0"/>
      </w:pPr>
      <w:r>
        <w:t>图3-1填方路段防护设计</w:t>
      </w:r>
    </w:p>
    <w:p>
      <w:pPr>
        <w:bidi w:val="0"/>
      </w:pPr>
      <w:r>
        <w:t>②路基排水工程</w:t>
      </w:r>
    </w:p>
    <w:p>
      <w:pPr>
        <w:bidi w:val="0"/>
      </w:pPr>
      <w:r>
        <w:t>填方路基坡脚处设置排水沟，以汇集和排泄降落在坡面和路面上的表面水；路堤边坡上方流入路界的地表径流量大时，设置拦截地表径流的截水沟，截水沟的设置位置、尺寸大小根据实际地形做相应的设计及调整。</w:t>
      </w:r>
    </w:p>
    <w:p>
      <w:pPr>
        <w:bidi w:val="0"/>
      </w:pPr>
      <w:r>
        <w:t>非超高路段路面水由两侧路肩分散满流，通过边沟及排水沟引入路缘带纵向排水沟，超高路段和半幅加宽路段通过集水井、横向排水管、急流槽连接至排水沟排出。一般地段纵向排水沟沟底同路线纵坡，并保证沟底纵坡不小于0.3%。边沟、排水沟及截水沟均采用浆砌片石铺砌。</w:t>
      </w:r>
    </w:p>
    <w:p>
      <w:pPr>
        <w:bidi w:val="0"/>
      </w:pPr>
      <w:r>
        <w:t>③路基防护工程</w:t>
      </w:r>
    </w:p>
    <w:p>
      <w:pPr>
        <w:bidi w:val="0"/>
      </w:pPr>
      <w:r>
        <w:t>路基边坡主要为路堤边坡，在路堤边坡高度不超过4m时，边坡防护采用植草或铺设草皮，三维网植草等合理的形式。当路堤边坡的高度超过4m时，边坡防护主要是拱架防护、菱形格网防护、六菱形砼预制防护等多方案比较，在选择合理形式的同时，力求自然美观多样化，并与沿线的自然景观协调。</w:t>
      </w:r>
    </w:p>
    <w:p>
      <w:pPr>
        <w:bidi w:val="0"/>
      </w:pPr>
      <w:r>
        <w:t>(3)水泥稳定层施工</w:t>
      </w:r>
    </w:p>
    <w:p>
      <w:pPr>
        <w:bidi w:val="0"/>
      </w:pPr>
      <w:r>
        <mc:AlternateContent>
          <mc:Choice Requires="wps">
            <w:drawing>
              <wp:anchor distT="0" distB="0" distL="114300" distR="114300" simplePos="0" relativeHeight="251662336" behindDoc="0" locked="0" layoutInCell="1" allowOverlap="1">
                <wp:simplePos x="0" y="0"/>
                <wp:positionH relativeFrom="column">
                  <wp:posOffset>2908935</wp:posOffset>
                </wp:positionH>
                <wp:positionV relativeFrom="paragraph">
                  <wp:posOffset>160655</wp:posOffset>
                </wp:positionV>
                <wp:extent cx="247650" cy="9525"/>
                <wp:effectExtent l="0" t="44450" r="0" b="60325"/>
                <wp:wrapNone/>
                <wp:docPr id="3" name="直接箭头连接符 3"/>
                <wp:cNvGraphicFramePr/>
                <a:graphic xmlns:a="http://schemas.openxmlformats.org/drawingml/2006/main">
                  <a:graphicData uri="http://schemas.microsoft.com/office/word/2010/wordprocessingShape">
                    <wps:wsp>
                      <wps:cNvCnPr/>
                      <wps:spPr>
                        <a:xfrm>
                          <a:off x="0" y="0"/>
                          <a:ext cx="247650" cy="95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29.05pt;margin-top:12.65pt;height:0.75pt;width:19.5pt;z-index:251662336;mso-width-relative:page;mso-height-relative:page;" filled="f" stroked="t" coordsize="21600,21600" o:gfxdata="UEsDBAoAAAAAAIdO4kAAAAAAAAAAAAAAAAAEAAAAZHJzL1BLAwQUAAAACACHTuJAEP/kPdcAAAAJ&#10;AQAADwAAAGRycy9kb3ducmV2LnhtbE2PwU7DMAyG70i8Q2Qkbizt2EYpTSeExIUb24TYLUtMWto4&#10;VZOt4+0xp3H070+/P1frs+/FCcfYBlKQzzIQSCbYlpyC3fb1rgARkyar+0Co4AcjrOvrq0qXNkz0&#10;jqdNcoJLKJZaQZPSUEoZTYNex1kYkHj3FUavE4+jk3bUE5f7Xs6zbCW9bokvNHrAlwZNtzl6BfvJ&#10;0bex5oOep7e96z67SNudUrc3efYEIuE5XWD402d1qNnpEI5ko+gVLJZFzqiC+fIeBAOLxwcODhys&#10;CpB1Jf9/UP8CUEsDBBQAAAAIAIdO4kBmor88BgIAAOEDAAAOAAAAZHJzL2Uyb0RvYy54bWytU81u&#10;EzEQviPxDpbvZJOUtGWVTQ8J5YIgEvAAE69315L/NHazyUvwAkicgBNw6p2ngfIYjJ0lhXLpgT14&#10;xzOeb+b7PJ5f7IxmW4lBOVvxyWjMmbTC1cq2FX/z+vLROWchgq1BOysrvpeBXywePpj3vpRT1zld&#10;S2QEYkPZ+4p3MfqyKILopIEwcl5aCjYODUTaYlvUCD2hG11Mx+PTondYe3RChkDe1SHIB0S8D6Br&#10;GiXkyokrI208oKLUEIlS6JQPfJG7bRop4sumCTIyXXFiGvNKRcjepLVYzKFsEXynxNAC3KeFO5wM&#10;KEtFj1AriMCuUP0DZZRAF1wTR8KZ4kAkK0IsJuM72rzqwMvMhaQO/ih6+H+w4sV2jUzVFT/hzIKh&#10;C795d/3j7cebr1++f7j++e19sj9/YidJqt6HkjKWdo3DLvg1Jt67Bk36EyO2y/Luj/LKXWSCnNPH&#10;Z6czEl5Q6MlsOkuIxW2qxxCfSWdYMioeIoJqu7h01tI1OpxkgWH7PMRD4u+EVNe6S6U1+aHUlvU0&#10;2NOzcaoFNKINjQaZxhPNYFvOQLc0+yJihgxOqzqlp+yA7WapkW0hTUz+hj7/OpZqryB0h3M5lI5B&#10;aVSk56GVqfj5MRvKCEo/tTWLe08SA6LrB1htSYUk7EHKZG1cvc8KZz/dfNZpmNI0Wn/uc/bty1z8&#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D/5D3XAAAACQEAAA8AAAAAAAAAAQAgAAAAIgAAAGRy&#10;cy9kb3ducmV2LnhtbFBLAQIUABQAAAAIAIdO4kBmor88BgIAAOEDAAAOAAAAAAAAAAEAIAAAACYB&#10;AABkcnMvZTJvRG9jLnhtbFBLBQYAAAAABgAGAFkBAACeBQAAAAA=&#10;">
                <v:fill on="f" focussize="0,0"/>
                <v:stroke weight="1pt" color="#000000 [3213]" miterlimit="8" joinstyle="miter" endarrow="open"/>
                <v:imagedata o:title=""/>
                <o:lock v:ext="edit" aspectratio="f"/>
              </v:shape>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4594860</wp:posOffset>
                </wp:positionH>
                <wp:positionV relativeFrom="paragraph">
                  <wp:posOffset>160655</wp:posOffset>
                </wp:positionV>
                <wp:extent cx="247650" cy="9525"/>
                <wp:effectExtent l="0" t="44450" r="0" b="60325"/>
                <wp:wrapNone/>
                <wp:docPr id="5" name="直接箭头连接符 5"/>
                <wp:cNvGraphicFramePr/>
                <a:graphic xmlns:a="http://schemas.openxmlformats.org/drawingml/2006/main">
                  <a:graphicData uri="http://schemas.microsoft.com/office/word/2010/wordprocessingShape">
                    <wps:wsp>
                      <wps:cNvCnPr/>
                      <wps:spPr>
                        <a:xfrm>
                          <a:off x="0" y="0"/>
                          <a:ext cx="247650" cy="95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361.8pt;margin-top:12.65pt;height:0.75pt;width:19.5pt;z-index:251664384;mso-width-relative:page;mso-height-relative:page;" filled="f" stroked="t" coordsize="21600,21600" o:gfxdata="UEsDBAoAAAAAAIdO4kAAAAAAAAAAAAAAAAAEAAAAZHJzL1BLAwQUAAAACACHTuJA8wY7GtYAAAAJ&#10;AQAADwAAAGRycy9kb3ducmV2LnhtbE2PwU7DMAyG70i8Q2QkbixdJ7qpNJ0QEhdubNPEblli0tLG&#10;qZpsHW+POW1H//70+3O1vvhenHGMbSAF81kGAskE25JTsNu+P61AxKTJ6j4QKvjFCOv6/q7SpQ0T&#10;feJ5k5zgEoqlVtCkNJRSRtOg13EWBiTefYfR68Tj6KQd9cTlvpd5lhXS65b4QqMHfGvQdJuTV3CY&#10;HP0Ya/b0On0cXPfVRdrulHp8mGcvIBJe0hWGf31Wh5qdjuFENopewTJfFIwqyJ8XIBhYFjkHRw6K&#10;Fci6krcf1H9QSwMEFAAAAAgAh07iQGjsh8AFAgAA4QMAAA4AAABkcnMvZTJvRG9jLnhtbK1TS44T&#10;MRDdI3EHy3vSSUTm00pnFgnDBkEkmAM4bne3Jf9U5Uknl+ACSKyAFbCaPaeB4RiU3SEDw2YW9MJd&#10;/tQrv1fP84udNWyrALV3FZ+MxpwpJ32tXVvxqzeXT844wyhcLYx3quJ7hfxi8fjRvA+lmvrOm1oB&#10;IxCHZR8q3sUYyqJA2SkrcOSDcrTZeLAi0hTaogbRE7o1xXQ8Pil6D3UALxUira6GTX5AhIcA+qbR&#10;Uq28vLbKxQEVlBGRKGGnA/JFvm3TKBlfNQ2qyEzFiWnMIxWheJPGYjEXZQsidFoeriAecoV7nKzQ&#10;jooeoVYiCnYN+h8oqyV49E0cSW+LgUhWhFhMxve0ed2JoDIXkhrDUXT8f7Dy5XYNTNcVn3HmhKWG&#10;3767+fH24+3XL98/3Pz89j7Fnz+xWZKqD1hSxtKt4TDDsIbEe9eATX9ixHZZ3v1RXrWLTNLi9Onp&#10;yYyEl7R1PptmxOIuNQDG58pbloKKYwSh2y4uvXPURg+TLLDYvsBIxSnxd0Kq6/ylNiZ30zjWk7Gn&#10;p+NUS5BFG7IGhTYQTXQtZ8K05H0ZIUOiN7pO6QkIod0sDbCtSI7JX2JO5f46lmqvBHbDubw1eMnq&#10;SM/DaFvxs2O2KKPQ5pmrWdwHklgA+P4AaxyhJ2EHKVO08fU+K5zXqfO5/sGlyVp/znP23ctc/A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Bjsa1gAAAAkBAAAPAAAAAAAAAAEAIAAAACIAAABkcnMv&#10;ZG93bnJldi54bWxQSwECFAAUAAAACACHTuJAaOyHwAUCAADhAwAADgAAAAAAAAABACAAAAAlAQAA&#10;ZHJzL2Uyb0RvYy54bWxQSwUGAAAAAAYABgBZAQAAnAUAAAAA&#10;">
                <v:fill on="f" focussize="0,0"/>
                <v:stroke weight="1pt" color="#000000 [3213]" miterlimit="8" joinstyle="miter" endarrow="open"/>
                <v:imagedata o:title=""/>
                <o:lock v:ext="edit" aspectratio="f"/>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4061460</wp:posOffset>
                </wp:positionH>
                <wp:positionV relativeFrom="paragraph">
                  <wp:posOffset>132080</wp:posOffset>
                </wp:positionV>
                <wp:extent cx="228600" cy="6350"/>
                <wp:effectExtent l="0" t="48260" r="0" b="59690"/>
                <wp:wrapNone/>
                <wp:docPr id="1" name="直接箭头连接符 1"/>
                <wp:cNvGraphicFramePr/>
                <a:graphic xmlns:a="http://schemas.openxmlformats.org/drawingml/2006/main">
                  <a:graphicData uri="http://schemas.microsoft.com/office/word/2010/wordprocessingShape">
                    <wps:wsp>
                      <wps:cNvCnPr/>
                      <wps:spPr>
                        <a:xfrm flipV="1">
                          <a:off x="4337685" y="7941310"/>
                          <a:ext cx="228600" cy="635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319.8pt;margin-top:10.4pt;height:0.5pt;width:18pt;z-index:251661312;mso-width-relative:page;mso-height-relative:page;" filled="f" stroked="t" coordsize="21600,21600" o:gfxdata="UEsDBAoAAAAAAIdO4kAAAAAAAAAAAAAAAAAEAAAAZHJzL1BLAwQUAAAACACHTuJActe3QNkAAAAJ&#10;AQAADwAAAGRycy9kb3ducmV2LnhtbE2PXUvDMBSG7wX/QziCdy5pxbrVpkMqwnATcRPEu6yNbTE5&#10;KUna1X/v8Uovz3se3o9iPVvDJu1D71BCshDANNau6bGV8HZ4vFoCC1Fho4xDLeFbB1iX52eFyht3&#10;wlc97WPLyARDriR0MQ4556HutFVh4QaN9Pt03qpIp29549WJzK3hqRAZt6pHSujUoKtO11/70UrY&#10;mHT3tN1V7w9JtRmft/7l436epLy8SMQdsKjn+AfDb32qDiV1OroRm8CMhOx6lREqIRU0gYDs9oaE&#10;IwnJEnhZ8P8Lyh9QSwMEFAAAAAgAh07iQNe/cbAaAgAA9wMAAA4AAABkcnMvZTJvRG9jLnhtbK1T&#10;zY7TMBC+I/EOlu80TbvblqjpHlqWC4JK/Nxdx0ks+U9jb9O+BC+AxAk4LZz2ztPA8hiMnVBgueyB&#10;HKKxZ+ab+b4ZLy8OWpG9AC+tKWk+GlMiDLeVNE1JX7+6fLSgxAdmKqasESU9Ck8vVg8fLDtXiIlt&#10;raoEEAQxvuhcSdsQXJFlnrdCMz+yThh01hY0C3iEJquAdYiuVTYZj2dZZ6FyYLnwHm83vZMOiHAf&#10;QFvXkouN5VdamNCjglAsICXfSufpKnVb14KHF3XtRSCqpMg0pD8WQXsX/9lqyYoGmGslH1pg92nh&#10;DifNpMGiJ6gNC4xcgfwHSksO1ts6jLjVWU8kKYIs8vEdbV62zInEBaX27iS6/3+w/Pl+C0RWuAmU&#10;GKZx4Lfvbr6//Xj75fO3Dzc/vr6P9vUnkkepOucLzFibLQwn77YQeR9q0KRW0r2JSPEGuZFDSc+m&#10;0/lscU7JsaTzx2f5NB9EF4dAOAZMJovZGMfBMWA2PU/erAeMMA58eCqsJtEoqQ/AZNOGtTUGh2uh&#10;L8b2z3zAljDxV0JMNvZSKpVmrAzpsLXJPNViuLg1LgyW1Q7Je9NQwlSDL4IHSP17q2QV0yOQh2a3&#10;VkD2LO5R+qIeWO6vsFh7w3zbxyVXv2FaBnw0SuqSLk7ZrAhMqiemIuHoUHgGYLsBVhlEj3L3Akdr&#10;Z6tj0j3d4z6k+sPuxoX785yyf7/X1U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y17dA2QAAAAkB&#10;AAAPAAAAAAAAAAEAIAAAACIAAABkcnMvZG93bnJldi54bWxQSwECFAAUAAAACACHTuJA179xsBoC&#10;AAD3AwAADgAAAAAAAAABACAAAAAoAQAAZHJzL2Uyb0RvYy54bWxQSwUGAAAAAAYABgBZAQAAtAUA&#10;AAAA&#10;">
                <v:fill on="f" focussize="0,0"/>
                <v:stroke weight="1pt" color="#000000 [3213]" miterlimit="8" joinstyle="miter" endarrow="open"/>
                <v:imagedata o:title=""/>
                <o:lock v:ext="edit" aspectratio="f"/>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3489960</wp:posOffset>
                </wp:positionH>
                <wp:positionV relativeFrom="paragraph">
                  <wp:posOffset>160655</wp:posOffset>
                </wp:positionV>
                <wp:extent cx="209550" cy="6350"/>
                <wp:effectExtent l="0" t="46990" r="0" b="60960"/>
                <wp:wrapNone/>
                <wp:docPr id="4" name="直接箭头连接符 4"/>
                <wp:cNvGraphicFramePr/>
                <a:graphic xmlns:a="http://schemas.openxmlformats.org/drawingml/2006/main">
                  <a:graphicData uri="http://schemas.microsoft.com/office/word/2010/wordprocessingShape">
                    <wps:wsp>
                      <wps:cNvCnPr/>
                      <wps:spPr>
                        <a:xfrm>
                          <a:off x="0" y="0"/>
                          <a:ext cx="209550" cy="6350"/>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74.8pt;margin-top:12.65pt;height:0.5pt;width:16.5pt;z-index:251663360;mso-width-relative:page;mso-height-relative:page;" filled="f" stroked="t" coordsize="21600,21600" o:gfxdata="UEsDBAoAAAAAAIdO4kAAAAAAAAAAAAAAAAAEAAAAZHJzL1BLAwQUAAAACACHTuJAawA9ftYAAAAJ&#10;AQAADwAAAGRycy9kb3ducmV2LnhtbE2PwU7DMAyG70i8Q2QkbixdR6tRmk4IiQs3tgmxW5aYtLRx&#10;qiZbx9tjTnD070+/P9ebix/EGafYBVKwXGQgkEywHTkF+93L3RpETJqsHgKhgm+MsGmur2pd2TDT&#10;G563yQkuoVhpBW1KYyVlNC16HRdhROLdZ5i8TjxOTtpJz1zuB5lnWSm97ogvtHrE5xZNvz15BYfZ&#10;0Zex5p2e5teD6z/6SLu9Urc3y+wRRMJL+oPhV5/VoWGnYziRjWJQUNw/lIwqyIsVCAaKdc7BkYNy&#10;BbKp5f8Pmh9QSwMEFAAAAAgAh07iQHGCSuIFAgAA4QMAAA4AAABkcnMvZTJvRG9jLnhtbK1TzW4T&#10;MRC+I/EOlu9kN6EtZZVNDwnlgqAS8AATr3fXkv80drPJS/ACSJyAE+XUO08D5TEYO0sK5dIDe/CO&#10;ZzzfzPd5PD/bGs02EoNytubTScmZtMI1ynY1f/vm/NEpZyGCbUA7K2u+k4GfLR4+mA++kjPXO91I&#10;ZARiQzX4mvcx+qooguilgTBxXloKtg4NRNpiVzQIA6EbXczK8qQYHDYenZAhkHe1D/IREe8D6NpW&#10;Cbly4tJIG/eoKDVEohR65QNf5G7bVor4qm2DjEzXnJjGvFIRstdpLRZzqDoE3ysxtgD3aeEOJwPK&#10;UtED1AoisEtU/0AZJdAF18aJcKbYE8mKEItpeUeb1z14mbmQ1MEfRA//D1a83FwgU03NjzizYOjC&#10;b95f/3j36ebr1feP1z+/fUj2l8/sKEk1+FBRxtJe4LgL/gIT722LJv2JEdtmeXcHeeU2MkHOWfn0&#10;+JiEFxQ6eUwWYRS3qR5DfC6dYcmoeYgIquvj0llL1+hwmgWGzYsQ94m/E1Jd686V1uSHSls20GDP&#10;npSpFtCItjQaZBpPNIPtOAPd0eyLiBkyOK2alJ6yA3brpUa2gTQx+Rv7/OtYqr2C0O/P5VA6BpVR&#10;kZ6HVqbmp4dsqCIo/cw2LO48SQyIbhhhtSUVkrB7KZO1ds0uK5z9dPNZp3FK02j9uc/Zty9z8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rAD1+1gAAAAkBAAAPAAAAAAAAAAEAIAAAACIAAABkcnMv&#10;ZG93bnJldi54bWxQSwECFAAUAAAACACHTuJAcYJK4gUCAADhAwAADgAAAAAAAAABACAAAAAlAQAA&#10;ZHJzL2Uyb0RvYy54bWxQSwUGAAAAAAYABgBZAQAAnAUAAAAA&#10;">
                <v:fill on="f" focussize="0,0"/>
                <v:stroke weight="1pt" color="#000000 [3213]" miterlimit="8" joinstyle="miter" endarrow="open"/>
                <v:imagedata o:title=""/>
                <o:lock v:ext="edit" aspectratio="f"/>
              </v:shape>
            </w:pict>
          </mc:Fallback>
        </mc:AlternateContent>
      </w:r>
      <w:r>
        <w:t>水泥稳定层施工工艺流程为：运混合料</w:t>
      </w:r>
      <w:r>
        <w:rPr>
          <w:rFonts w:hint="eastAsia"/>
          <w:lang w:val="en-US" w:eastAsia="zh-CN"/>
        </w:rPr>
        <w:t xml:space="preserve">  </w:t>
      </w:r>
      <w:r>
        <w:t xml:space="preserve">  摊铺 </w:t>
      </w:r>
      <w:r>
        <w:rPr>
          <w:rFonts w:hint="eastAsia"/>
          <w:lang w:val="en-US" w:eastAsia="zh-CN"/>
        </w:rPr>
        <w:t xml:space="preserve"> </w:t>
      </w:r>
      <w:r>
        <w:t xml:space="preserve"> 碾压 </w:t>
      </w:r>
      <w:r>
        <w:rPr>
          <w:rFonts w:hint="eastAsia"/>
          <w:lang w:val="en-US" w:eastAsia="zh-CN"/>
        </w:rPr>
        <w:t xml:space="preserve"> </w:t>
      </w:r>
      <w:r>
        <w:t xml:space="preserve"> 接缝  </w:t>
      </w:r>
      <w:r>
        <w:rPr>
          <w:rFonts w:hint="eastAsia"/>
          <w:lang w:val="en-US" w:eastAsia="zh-CN"/>
        </w:rPr>
        <w:t xml:space="preserve"> </w:t>
      </w:r>
      <w:r>
        <w:t>养生。</w:t>
      </w:r>
    </w:p>
    <w:p>
      <w:pPr>
        <w:bidi w:val="0"/>
      </w:pPr>
      <w:r>
        <w:t>按照实验室确定的配比购买混合料拌均匀的水泥混合料；由自卸卡车运至现场由专用摊铺机摊铺；摊铺后采用压路机进行碾压；摊铺中注意接缝处理，碾压后及时进行养生。</w:t>
      </w:r>
    </w:p>
    <w:p>
      <w:pPr>
        <w:bidi w:val="0"/>
      </w:pPr>
      <w:r>
        <w:t>(4)沥青路面施工</w:t>
      </w:r>
    </w:p>
    <w:p>
      <w:pPr>
        <w:bidi w:val="0"/>
      </w:pPr>
      <w:r>
        <w:t>沥青路面施工工艺流程</w:t>
      </w:r>
      <w:r>
        <w:rPr>
          <w:rFonts w:hint="eastAsia"/>
          <w:lang w:val="en-US" w:eastAsia="zh-CN"/>
        </w:rPr>
        <w:t>依次</w:t>
      </w:r>
      <w:r>
        <w:t>为：测量放线</w:t>
      </w:r>
      <w:r>
        <mc:AlternateContent>
          <mc:Choice Requires="wps">
            <w:drawing>
              <wp:anchor distT="0" distB="0" distL="114300" distR="114300" simplePos="0" relativeHeight="251665408" behindDoc="0" locked="0" layoutInCell="1" allowOverlap="1">
                <wp:simplePos x="0" y="0"/>
                <wp:positionH relativeFrom="column">
                  <wp:posOffset>2889885</wp:posOffset>
                </wp:positionH>
                <wp:positionV relativeFrom="paragraph">
                  <wp:posOffset>6381115</wp:posOffset>
                </wp:positionV>
                <wp:extent cx="247650" cy="9525"/>
                <wp:effectExtent l="0" t="44450" r="0" b="60325"/>
                <wp:wrapNone/>
                <wp:docPr id="6" name="直接箭头连接符 6"/>
                <wp:cNvGraphicFramePr/>
                <a:graphic xmlns:a="http://schemas.openxmlformats.org/drawingml/2006/main">
                  <a:graphicData uri="http://schemas.microsoft.com/office/word/2010/wordprocessingShape">
                    <wps:wsp>
                      <wps:cNvCnPr/>
                      <wps:spPr>
                        <a:xfrm>
                          <a:off x="0" y="0"/>
                          <a:ext cx="247650" cy="9525"/>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227.55pt;margin-top:502.45pt;height:0.75pt;width:19.5pt;z-index:251665408;mso-width-relative:page;mso-height-relative:page;" filled="f" stroked="t" coordsize="21600,21600" o:gfxdata="UEsDBAoAAAAAAIdO4kAAAAAAAAAAAAAAAAAEAAAAZHJzL1BLAwQUAAAACACHTuJAWG2GqdgAAAAN&#10;AQAADwAAAGRycy9kb3ducmV2LnhtbE2PwU7DMBBE70j8g7WVuFE7yK1oiFMhJC7caKuK3lzbOGni&#10;dRS7Tfl7Fi5w3Jmn2ZlqfQ09u7gxtREVFHMBzKGJtkWvYLd9vX8ElrJGq/uITsGXS7Cub28qXdo4&#10;4bu7bLJnFIKp1AqanIeS82QaF3Sax8EheZ9xDDrTOXpuRz1ReOj5gxBLHnSL9KHRg3tpnOk256Dg&#10;MHk8GWv2+Dy9HXz30SXc7pS6mxXiCVh21/wHw099qg41dTrGM9rEegVysSgIJUMIuQJGiFxJko6/&#10;0lICryv+f0X9DVBLAwQUAAAACACHTuJAb8ubvgUCAADhAwAADgAAAGRycy9lMm9Eb2MueG1srVPN&#10;jtMwEL4j8Q6W7zRtRbtL1HQPLcsFQSXgAaaOk1jyn8bepn0JXgCJE3ACTnvnaWB5DMZO6cJy2QM5&#10;OOMZzzfzfR4vLvZGs53EoJyt+GQ05kxa4Wpl24q/eX356JyzEMHWoJ2VFT/IwC+WDx8sel/Kqeuc&#10;riUyArGh7H3Fuxh9WRRBdNJAGDkvLQUbhwYibbEtaoSe0I0upuPxvOgd1h6dkCGQdz0E+RER7wPo&#10;mkYJuXbiykgbB1SUGiJRCp3ygS9zt00jRXzZNEFGpitOTGNeqQjZ27QWywWULYLvlDi2APdp4Q4n&#10;A8pS0RPUGiKwK1T/QBkl0AXXxJFwphiIZEWIxWR8R5tXHXiZuZDUwZ9ED/8PVrzYbZCpuuJzziwY&#10;uvCbd9c/3n68+frl+4frn9/eJ/vzJzZPUvU+lJSxshs87oLfYOK9b9CkPzFi+yzv4SSv3EcmyDl9&#10;fDafkfCCQk9m01lCLG5TPYb4TDrDklHxEBFU28WVs5au0eEkCwy75yEOib8TUl3rLpXW5IdSW9bT&#10;YE/PxqkW0Ig2NBpkGk80g205A93S7IuIGTI4reqUnrIDttuVRraDNDH5O/b517FUew2hG87lUDoG&#10;pVGRnodWpuLnp2woIyj91NYsHjxJDIiuP8JqSyokYQcpk7V19SErnP1081mn45Sm0fpzn7NvX+by&#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hthqnYAAAADQEAAA8AAAAAAAAAAQAgAAAAIgAAAGRy&#10;cy9kb3ducmV2LnhtbFBLAQIUABQAAAAIAIdO4kBvy5u+BQIAAOEDAAAOAAAAAAAAAAEAIAAAACcB&#10;AABkcnMvZTJvRG9jLnhtbFBLBQYAAAAABgAGAFkBAACeBQAAAAA=&#10;">
                <v:fill on="f" focussize="0,0"/>
                <v:stroke weight="1pt" color="#000000 [3213]" miterlimit="8" joinstyle="miter" endarrow="open"/>
                <v:imagedata o:title=""/>
                <o:lock v:ext="edit" aspectratio="f"/>
              </v:shape>
            </w:pict>
          </mc:Fallback>
        </mc:AlternateContent>
      </w:r>
      <w:r>
        <w:rPr>
          <w:rFonts w:hint="eastAsia"/>
          <w:lang w:eastAsia="zh-CN"/>
        </w:rPr>
        <w:t>、</w:t>
      </w:r>
      <w:r>
        <w:t>沥青混合料运输</w:t>
      </w:r>
      <w:r>
        <w:rPr>
          <w:rFonts w:hint="eastAsia"/>
          <w:lang w:eastAsia="zh-CN"/>
        </w:rPr>
        <w:t>、</w:t>
      </w:r>
      <w:r>
        <w:t>摊铺</w:t>
      </w:r>
      <w:r>
        <w:rPr>
          <w:rFonts w:hint="eastAsia"/>
          <w:lang w:eastAsia="zh-CN"/>
        </w:rPr>
        <w:t>、</w:t>
      </w:r>
      <w:r>
        <w:t>静压（初压）</w:t>
      </w:r>
      <w:r>
        <w:rPr>
          <w:rFonts w:hint="eastAsia"/>
          <w:lang w:eastAsia="zh-CN"/>
        </w:rPr>
        <w:t>、</w:t>
      </w:r>
      <w:r>
        <w:t>振动碾压（复压）</w:t>
      </w:r>
      <w:r>
        <w:rPr>
          <w:rFonts w:hint="eastAsia"/>
          <w:lang w:eastAsia="zh-CN"/>
        </w:rPr>
        <w:t>、</w:t>
      </w:r>
      <w:r>
        <w:t>静压（终压）</w:t>
      </w:r>
      <w:r>
        <w:rPr>
          <w:rFonts w:hint="eastAsia"/>
          <w:lang w:eastAsia="zh-CN"/>
        </w:rPr>
        <w:t>、</w:t>
      </w:r>
      <w:r>
        <w:t>接缝处理</w:t>
      </w:r>
      <w:r>
        <w:rPr>
          <w:rFonts w:hint="eastAsia"/>
          <w:lang w:eastAsia="zh-CN"/>
        </w:rPr>
        <w:t>、</w:t>
      </w:r>
      <w:r>
        <w:t>检查验收。</w:t>
      </w:r>
    </w:p>
    <w:p>
      <w:pPr>
        <w:bidi w:val="0"/>
      </w:pPr>
      <w:r>
        <w:t>沥青混合料采用工厂集中生产的商品沥青混合料，由自卸卡车运送至施工现场，项目现场不设置集中沥青拌合站。沥青混合料由沥青摊铺机摊铺，并采用振动压路机进行碾压。</w:t>
      </w:r>
    </w:p>
    <w:p>
      <w:pPr>
        <w:bidi w:val="0"/>
        <w:outlineLvl w:val="2"/>
      </w:pPr>
      <w:bookmarkStart w:id="41" w:name="_Toc30367"/>
      <w:r>
        <w:fldChar w:fldCharType="begin"/>
      </w:r>
      <w:r>
        <w:instrText xml:space="preserve"> HYPERLINK "2.2.10.2" </w:instrText>
      </w:r>
      <w:r>
        <w:fldChar w:fldCharType="separate"/>
      </w:r>
      <w:r>
        <w:t>2.2.</w:t>
      </w:r>
      <w:r>
        <w:rPr>
          <w:rFonts w:hint="eastAsia"/>
          <w:lang w:val="en-US" w:eastAsia="zh-CN"/>
        </w:rPr>
        <w:t>9</w:t>
      </w:r>
      <w:r>
        <w:t>.2</w:t>
      </w:r>
      <w:r>
        <w:fldChar w:fldCharType="end"/>
      </w:r>
      <w:r>
        <w:t>桥梁施工工艺</w:t>
      </w:r>
      <w:bookmarkEnd w:id="41"/>
    </w:p>
    <w:p>
      <w:pPr>
        <w:bidi w:val="0"/>
      </w:pPr>
      <w:r>
        <w:t>主体工程推荐方案共设置大桥1126m/2座设计洪水频率为P= 1/100。主体工程桥型方案选择主要根据桥位处地形、地物，路线纵面和水文等条件，选择经济合理的跨越形式及桥梁结构类型。</w:t>
      </w:r>
    </w:p>
    <w:p>
      <w:pPr>
        <w:bidi w:val="0"/>
      </w:pPr>
      <w:r>
        <w:t>(1)扩大基础施工工艺</w:t>
      </w:r>
    </w:p>
    <w:p>
      <w:pPr>
        <w:bidi w:val="0"/>
      </w:pPr>
      <w:r>
        <w:t>扩大基础通常采用明挖的方式进行，施工顺序为：基础的定位放样、基坑开挖、基坑排水、基底处理、砌筑基础结构物等。基坑开挖主要内容如下：</w:t>
      </w:r>
    </w:p>
    <w:p>
      <w:pPr>
        <w:bidi w:val="0"/>
      </w:pPr>
      <w:r>
        <w:t>基坑大小应满足基础施工要求，对有渗水土质的基坑坑底开挖尺寸，需按基坑排水设计和基础模板设计而定，一般基底尺寸应比设计平面尺寸各边增宽0.5~ 1.0m。基坑可采用垂直开挖，放坡开挖、支撑加固或其他加固的开挖方法。具体施工工艺如</w:t>
      </w:r>
      <w:r>
        <w:rPr>
          <w:rFonts w:hint="eastAsia"/>
          <w:lang w:val="en-US" w:eastAsia="zh-CN"/>
        </w:rPr>
        <w:t>下</w:t>
      </w:r>
      <w:r>
        <w:t>图所示。</w:t>
      </w:r>
    </w:p>
    <w:p>
      <w:pPr>
        <w:bidi w:val="0"/>
        <w:jc w:val="center"/>
        <w:rPr>
          <w:rFonts w:hint="default"/>
          <w:lang w:val="en-US" w:eastAsia="zh-CN"/>
        </w:rPr>
      </w:pPr>
      <w:r>
        <w:rPr>
          <w:position w:val="-90"/>
        </w:rPr>
        <w:drawing>
          <wp:inline distT="0" distB="0" distL="0" distR="0">
            <wp:extent cx="3482340" cy="2886075"/>
            <wp:effectExtent l="0" t="0" r="3810" b="9525"/>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22"/>
                    <a:stretch>
                      <a:fillRect/>
                    </a:stretch>
                  </pic:blipFill>
                  <pic:spPr>
                    <a:xfrm>
                      <a:off x="0" y="0"/>
                      <a:ext cx="3482340" cy="2886455"/>
                    </a:xfrm>
                    <a:prstGeom prst="rect">
                      <a:avLst/>
                    </a:prstGeom>
                  </pic:spPr>
                </pic:pic>
              </a:graphicData>
            </a:graphic>
          </wp:inline>
        </w:drawing>
      </w:r>
    </w:p>
    <w:p>
      <w:pPr>
        <w:pStyle w:val="16"/>
        <w:bidi w:val="0"/>
      </w:pPr>
      <w:r>
        <w:t>图3-2  桥梁墩台施工工艺流程图</w:t>
      </w:r>
    </w:p>
    <w:p>
      <w:pPr>
        <w:bidi w:val="0"/>
      </w:pPr>
      <w:r>
        <w:t>(2)桩基础施工工艺</w:t>
      </w:r>
    </w:p>
    <w:p>
      <w:pPr>
        <w:bidi w:val="0"/>
      </w:pPr>
      <w:r>
        <w:t>本项目桥梁基础均为桩基础，桩基础施工工艺如下：</w:t>
      </w:r>
    </w:p>
    <w:p>
      <w:pPr>
        <w:bidi w:val="0"/>
      </w:pPr>
      <w:r>
        <w:t>桩柱式桥台扩大基础采用钻孔灌注桩，施工顺序为：测量定位埋设护筒→钻机就位</w:t>
      </w:r>
      <w:r>
        <w:rPr>
          <w:rFonts w:hint="eastAsia"/>
          <w:lang w:eastAsia="zh-CN"/>
        </w:rPr>
        <w:t>、</w:t>
      </w:r>
      <w:r>
        <w:t>钻进</w:t>
      </w:r>
      <w:r>
        <w:rPr>
          <w:rFonts w:hint="eastAsia"/>
          <w:lang w:eastAsia="zh-CN"/>
        </w:rPr>
        <w:t>、</w:t>
      </w:r>
      <w:r>
        <w:t>换浆法清孔</w:t>
      </w:r>
      <w:r>
        <w:rPr>
          <w:rFonts w:hint="eastAsia"/>
          <w:lang w:eastAsia="zh-CN"/>
        </w:rPr>
        <w:t>、</w:t>
      </w:r>
      <w:r>
        <w:t>检测</w:t>
      </w:r>
      <w:r>
        <w:rPr>
          <w:rFonts w:hint="eastAsia"/>
          <w:lang w:eastAsia="zh-CN"/>
        </w:rPr>
        <w:t>、</w:t>
      </w:r>
      <w:r>
        <w:t>吊装钢筋笼</w:t>
      </w:r>
      <w:r>
        <w:rPr>
          <w:rFonts w:hint="eastAsia"/>
          <w:lang w:eastAsia="zh-CN"/>
        </w:rPr>
        <w:t>、</w:t>
      </w:r>
      <w:r>
        <w:t>吊装导管→灌注水下混凝土</w:t>
      </w:r>
      <w:r>
        <w:rPr>
          <w:rFonts w:hint="eastAsia"/>
          <w:lang w:eastAsia="zh-CN"/>
        </w:rPr>
        <w:t>、</w:t>
      </w:r>
      <w:r>
        <w:t>开挖基坑、处理桩头</w:t>
      </w:r>
      <w:r>
        <w:rPr>
          <w:rFonts w:hint="eastAsia"/>
          <w:lang w:eastAsia="zh-CN"/>
        </w:rPr>
        <w:t>、</w:t>
      </w:r>
      <w:r>
        <w:t>桩基检测</w:t>
      </w:r>
      <w:r>
        <w:rPr>
          <w:rFonts w:hint="eastAsia"/>
          <w:lang w:eastAsia="zh-CN"/>
        </w:rPr>
        <w:t>、</w:t>
      </w:r>
      <w:r>
        <w:t>承台施工。</w:t>
      </w:r>
    </w:p>
    <w:p>
      <w:pPr>
        <w:bidi w:val="0"/>
        <w:outlineLvl w:val="2"/>
      </w:pPr>
      <w:bookmarkStart w:id="42" w:name="_Toc31912"/>
      <w:r>
        <w:fldChar w:fldCharType="begin"/>
      </w:r>
      <w:r>
        <w:instrText xml:space="preserve"> HYPERLINK "2.2.10.3" </w:instrText>
      </w:r>
      <w:r>
        <w:fldChar w:fldCharType="separate"/>
      </w:r>
      <w:r>
        <w:t>2.2.</w:t>
      </w:r>
      <w:r>
        <w:rPr>
          <w:rFonts w:hint="eastAsia"/>
          <w:lang w:val="en-US" w:eastAsia="zh-CN"/>
        </w:rPr>
        <w:t>9</w:t>
      </w:r>
      <w:r>
        <w:t>.3</w:t>
      </w:r>
      <w:r>
        <w:fldChar w:fldCharType="end"/>
      </w:r>
      <w:r>
        <w:t>涵洞施工</w:t>
      </w:r>
      <w:bookmarkEnd w:id="42"/>
    </w:p>
    <w:p>
      <w:pPr>
        <w:bidi w:val="0"/>
      </w:pPr>
      <w:r>
        <w:t>本项目共设涵洞72道，涵洞的形式根据涵洞位置的地形、地质条件和排灌要求，并结合就地取材的原则，采用钢筋混凝土圆管涵和钢筋混凝土盖板涵。</w:t>
      </w:r>
    </w:p>
    <w:p>
      <w:pPr>
        <w:bidi w:val="0"/>
      </w:pPr>
      <w:r>
        <w:t>一般排水灌溉的圆管涵涵长小于25m时，直径不小于1.0m ，特殊情况下（如填土高度不够）采用0.75m；涵长大于25m小于35m时，直径不小于1.25m；盖板涵跨径一般大于1.5m；箱涵跨径一般大于2.0m。</w:t>
      </w:r>
    </w:p>
    <w:p>
      <w:pPr>
        <w:bidi w:val="0"/>
      </w:pPr>
      <w:r>
        <w:t>圆管涵要求地基承载力&gt;200kPa；盖板涵根据填土高度以及跨径大小不同要求地基承载力&gt;250~300kPa。当地基承载力达不到以上要求时，对地基进行加固处理或对结构进行特殊设计。</w:t>
      </w:r>
    </w:p>
    <w:p>
      <w:pPr>
        <w:bidi w:val="0"/>
        <w:outlineLvl w:val="2"/>
        <w:rPr>
          <w:rFonts w:hint="default"/>
          <w:lang w:val="en-US" w:eastAsia="zh-CN"/>
        </w:rPr>
      </w:pPr>
      <w:bookmarkStart w:id="43" w:name="_Toc28672"/>
      <w:r>
        <w:fldChar w:fldCharType="begin"/>
      </w:r>
      <w:r>
        <w:instrText xml:space="preserve"> HYPERLINK "2.2.10.4" </w:instrText>
      </w:r>
      <w:r>
        <w:fldChar w:fldCharType="separate"/>
      </w:r>
      <w:r>
        <w:t>2.2.</w:t>
      </w:r>
      <w:r>
        <w:rPr>
          <w:rFonts w:hint="eastAsia"/>
          <w:lang w:val="en-US" w:eastAsia="zh-CN"/>
        </w:rPr>
        <w:t>9</w:t>
      </w:r>
      <w:r>
        <w:t>.4</w:t>
      </w:r>
      <w:r>
        <w:fldChar w:fldCharType="end"/>
      </w:r>
      <w:r>
        <w:t>施工道路施工</w:t>
      </w:r>
      <w:bookmarkEnd w:id="43"/>
    </w:p>
    <w:p>
      <w:pPr>
        <w:bidi w:val="0"/>
      </w:pPr>
      <w:r>
        <w:t>施工道路的布设以完善施工交通、满足弃渣场、桥梁工程、施工临建区的建设、满足各类施工材料的运输、为土石方调运服务等为目的，充分依托现有的道路资源，避免重复建设。本项目施工道路主要用来连接弃渣场和道路施工的运输工程，便于施工过程中土石方运输。</w:t>
      </w:r>
    </w:p>
    <w:p>
      <w:pPr>
        <w:bidi w:val="0"/>
      </w:pPr>
      <w:r>
        <w:t>施工道路的建设采用半挖半填的方式。由于施工临时道路路面一般不做硬化处理，易于因降雨击溅或径流冲刷作用而造成路面土壤的侵蚀，因此，施工临时道路线形应具有一定的曲率，避免出现较长的顺直线路，以降低地表径流下泄的速度。同时，施工期 间应做好施工临时道路的防护、排水措施，如临时土质边沟(必要时需铺砌石块以减少沟 底和沟岸土壤的冲刷)等。除此以外，为防止施工期间施工车辆随意碾压，破坏原地表植被，增加水土流失，在施工过程中严格规定行车通道，避免破坏施工临时道路沿线的植被和生态环境。</w:t>
      </w:r>
    </w:p>
    <w:p>
      <w:pPr>
        <w:bidi w:val="0"/>
      </w:pPr>
      <w:r>
        <w:t>施工结束后，应根据施工临时道路占地的后期规划利用方向，及时进行土地整治和植被恢复工作。</w:t>
      </w:r>
    </w:p>
    <w:p>
      <w:pPr>
        <w:bidi w:val="0"/>
        <w:outlineLvl w:val="2"/>
      </w:pPr>
      <w:bookmarkStart w:id="44" w:name="_Toc19915"/>
      <w:r>
        <w:fldChar w:fldCharType="begin"/>
      </w:r>
      <w:r>
        <w:instrText xml:space="preserve"> HYPERLINK "2.2.10.5" </w:instrText>
      </w:r>
      <w:r>
        <w:fldChar w:fldCharType="separate"/>
      </w:r>
      <w:r>
        <w:t>2.2.</w:t>
      </w:r>
      <w:r>
        <w:rPr>
          <w:rFonts w:hint="eastAsia"/>
          <w:lang w:val="en-US" w:eastAsia="zh-CN"/>
        </w:rPr>
        <w:t>9</w:t>
      </w:r>
      <w:r>
        <w:t>.5</w:t>
      </w:r>
      <w:r>
        <w:fldChar w:fldCharType="end"/>
      </w:r>
      <w:r>
        <w:t>表土及临时堆土施工</w:t>
      </w:r>
      <w:bookmarkEnd w:id="44"/>
    </w:p>
    <w:p>
      <w:pPr>
        <w:bidi w:val="0"/>
      </w:pPr>
      <w:r>
        <w:t>路基施工之前必须清除用地范围内的表土、树根等杂物，采用机械施工先将表土剥离堆放在本段施工临建区内用于后期绿化回填，不再新增临时占地，施工临建区布置时考虑其堆放空间；施工临建区内剥离的表土堆放在区内。堆放表土周边需采用袋装土拦挡，表面覆盖防尘网防护，用于植物或复耕措施时回填。</w:t>
      </w:r>
    </w:p>
    <w:p>
      <w:pPr>
        <w:bidi w:val="0"/>
        <w:rPr>
          <w:rFonts w:hint="default"/>
          <w:lang w:val="en-US" w:eastAsia="zh-CN"/>
        </w:rPr>
        <w:sectPr>
          <w:pgSz w:w="11906" w:h="16838"/>
          <w:pgMar w:top="1440" w:right="1800" w:bottom="1440" w:left="1800" w:header="992"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bidi w:val="0"/>
      </w:pPr>
      <w:bookmarkStart w:id="45" w:name="_Toc29794"/>
      <w:r>
        <w:t>三</w:t>
      </w:r>
      <w:r>
        <w:rPr>
          <w:rFonts w:hint="eastAsia"/>
          <w:lang w:val="en-US" w:eastAsia="zh-CN"/>
        </w:rPr>
        <w:t xml:space="preserve"> </w:t>
      </w:r>
      <w:r>
        <w:t>环评回顾及批复要求</w:t>
      </w:r>
      <w:bookmarkEnd w:id="45"/>
    </w:p>
    <w:p>
      <w:pPr>
        <w:pStyle w:val="5"/>
        <w:bidi w:val="0"/>
        <w:outlineLvl w:val="0"/>
      </w:pPr>
      <w:bookmarkStart w:id="46" w:name="_Toc19047"/>
      <w:r>
        <w:t>3.1环境影响评价过程</w:t>
      </w:r>
      <w:bookmarkEnd w:id="46"/>
    </w:p>
    <w:p>
      <w:pPr>
        <w:bidi w:val="0"/>
      </w:pPr>
      <w:r>
        <w:rPr>
          <w:rFonts w:hint="eastAsia"/>
          <w:lang w:eastAsia="zh-CN"/>
        </w:rPr>
        <w:t>开发区2017年基础设施建设项目配套道路及附属工程，位于奎屯-独山子经济技术开发区。本项目建设道路总长度17.39km，属道路新建、改扩建项目其中新建、改扩建道路各3条。各条道路位置分述如下：(1)阿克苏路东延起点与鄯善街相交，终点接长江路，道路全长7225.06m；(2)南环路东延起点为黄河路，终点为长江路，道路全长3127.66m；(3)淮河路起点为217国道，终点为福盛路交汇点，道路全长1248.78m；(4)东外环路起点为东外环路与贵阳路交叉路口，终点为与S115线交叉路口，道路</w:t>
      </w:r>
      <w:r>
        <w:rPr>
          <w:rFonts w:hint="eastAsia"/>
          <w:lang w:val="en-US" w:eastAsia="zh-CN"/>
        </w:rPr>
        <w:t>全长</w:t>
      </w:r>
      <w:r>
        <w:rPr>
          <w:rFonts w:hint="eastAsia"/>
          <w:lang w:eastAsia="zh-CN"/>
        </w:rPr>
        <w:t>2720.509m；(5)米泉街起点为南环路南侧拟建厂区门口，道路终点为阿克苏路与米泉街交汇点，道路全长1499.722m；(6)吐鲁番街起点为南环路与吐鲁番街交汇点，终点为库尔勒路与吐鲁番街交汇点，道路全长1572.724m。</w:t>
      </w:r>
    </w:p>
    <w:p>
      <w:pPr>
        <w:bidi w:val="0"/>
      </w:pPr>
      <w:r>
        <w:rPr>
          <w:rFonts w:hint="eastAsia"/>
          <w:lang w:val="en-US" w:eastAsia="zh-CN"/>
        </w:rPr>
        <w:t>新疆天合环境技术咨询有限公司</w:t>
      </w:r>
      <w:r>
        <w:t>于201</w:t>
      </w:r>
      <w:r>
        <w:rPr>
          <w:rFonts w:hint="eastAsia"/>
          <w:lang w:val="en-US" w:eastAsia="zh-CN"/>
        </w:rPr>
        <w:t>7</w:t>
      </w:r>
      <w:r>
        <w:t>年</w:t>
      </w:r>
      <w:r>
        <w:rPr>
          <w:rFonts w:hint="eastAsia"/>
          <w:lang w:val="en-US" w:eastAsia="zh-CN"/>
        </w:rPr>
        <w:t>6</w:t>
      </w:r>
      <w:r>
        <w:t>月编制完成《</w:t>
      </w:r>
      <w:r>
        <w:rPr>
          <w:rFonts w:hint="eastAsia"/>
          <w:lang w:eastAsia="zh-CN"/>
        </w:rPr>
        <w:t>开发区2017年基础设施建设项目配套道路及附属工程</w:t>
      </w:r>
      <w:r>
        <w:t>项目环境影响报告书》，</w:t>
      </w:r>
      <w:r>
        <w:rPr>
          <w:rFonts w:hint="eastAsia"/>
          <w:lang w:val="en-US" w:eastAsia="zh-CN"/>
        </w:rPr>
        <w:t>原奎屯-独山子经济技术开发区环境保护局</w:t>
      </w:r>
      <w:r>
        <w:t>2017年</w:t>
      </w:r>
      <w:r>
        <w:rPr>
          <w:rFonts w:hint="eastAsia"/>
          <w:lang w:val="en-US" w:eastAsia="zh-CN"/>
        </w:rPr>
        <w:t>6</w:t>
      </w:r>
      <w:r>
        <w:t>月</w:t>
      </w:r>
      <w:r>
        <w:rPr>
          <w:rFonts w:hint="eastAsia"/>
          <w:lang w:val="en-US" w:eastAsia="zh-CN"/>
        </w:rPr>
        <w:t>30</w:t>
      </w:r>
      <w:r>
        <w:t>日</w:t>
      </w:r>
      <w:r>
        <w:rPr>
          <w:rFonts w:hint="eastAsia"/>
          <w:lang w:val="en-US" w:eastAsia="zh-CN"/>
        </w:rPr>
        <w:t>以奎独开环函</w:t>
      </w:r>
      <w:r>
        <w:t>（2017）1</w:t>
      </w:r>
      <w:r>
        <w:rPr>
          <w:rFonts w:hint="eastAsia"/>
          <w:lang w:val="en-US" w:eastAsia="zh-CN"/>
        </w:rPr>
        <w:t>4</w:t>
      </w:r>
      <w:r>
        <w:t>号予以批复，同意项目进行建设。</w:t>
      </w:r>
    </w:p>
    <w:p>
      <w:pPr>
        <w:pStyle w:val="5"/>
        <w:bidi w:val="0"/>
        <w:outlineLvl w:val="0"/>
      </w:pPr>
      <w:bookmarkStart w:id="47" w:name="_Toc3557"/>
      <w:r>
        <w:t>3.2生态功能区划</w:t>
      </w:r>
      <w:bookmarkEnd w:id="47"/>
    </w:p>
    <w:p>
      <w:pPr>
        <w:bidi w:val="0"/>
        <w:outlineLvl w:val="1"/>
      </w:pPr>
      <w:bookmarkStart w:id="48" w:name="_Toc18937"/>
      <w:r>
        <w:rPr>
          <w:rFonts w:hint="eastAsia"/>
          <w:lang w:val="en-US" w:eastAsia="zh-CN"/>
        </w:rPr>
        <w:t>(1)环境空气功能区划</w:t>
      </w:r>
      <w:bookmarkEnd w:id="48"/>
    </w:p>
    <w:p>
      <w:pPr>
        <w:bidi w:val="0"/>
        <w:rPr>
          <w:rFonts w:hint="eastAsia"/>
          <w:lang w:val="en-US" w:eastAsia="zh-CN"/>
        </w:rPr>
      </w:pPr>
      <w:r>
        <w:rPr>
          <w:rFonts w:hint="eastAsia"/>
          <w:lang w:val="en-US" w:eastAsia="zh-CN"/>
        </w:rPr>
        <w:t>本项目位于奎屯-独山子经济技术开发区，根据《环境空气质量标准》(GB3095-2012)中环境空气功能区分类和质量要求，本工程所在区域环境空气属二类区功能区。</w:t>
      </w:r>
    </w:p>
    <w:p>
      <w:pPr>
        <w:bidi w:val="0"/>
        <w:outlineLvl w:val="1"/>
        <w:rPr>
          <w:rFonts w:hint="eastAsia"/>
          <w:lang w:val="en-US" w:eastAsia="zh-CN"/>
        </w:rPr>
      </w:pPr>
      <w:bookmarkStart w:id="49" w:name="_Toc15496"/>
      <w:r>
        <w:rPr>
          <w:rFonts w:hint="eastAsia"/>
          <w:lang w:val="en-US" w:eastAsia="zh-CN"/>
        </w:rPr>
        <w:t>(2)声环境功能区划</w:t>
      </w:r>
      <w:bookmarkEnd w:id="49"/>
    </w:p>
    <w:p>
      <w:pPr>
        <w:bidi w:val="0"/>
        <w:rPr>
          <w:rFonts w:hint="eastAsia"/>
          <w:lang w:val="en-US" w:eastAsia="zh-CN"/>
        </w:rPr>
      </w:pPr>
      <w:r>
        <w:rPr>
          <w:rFonts w:hint="eastAsia"/>
          <w:lang w:val="en-US" w:eastAsia="zh-CN"/>
        </w:rPr>
        <w:t>根据《声环境质量标准》(GB3096-2008)和《声环境功能区划分技术规范》(GB/T15190-2014)，评价区属3类声环境功能区。</w:t>
      </w:r>
    </w:p>
    <w:p>
      <w:pPr>
        <w:bidi w:val="0"/>
      </w:pPr>
      <w:r>
        <w:rPr>
          <w:rFonts w:hint="eastAsia"/>
          <w:lang w:val="en-US" w:eastAsia="zh-CN"/>
        </w:rPr>
        <w:t>根据《声环境功能区划分技术规范》(GB/T15190-2014)，工程建成后，若临街建筑以高于三层楼房以上(含三层)的建筑为主，将第一排建筑物面向道路一侧的区域划为4a类标准适用区域；若临街建筑以低于三层楼房建筑(含开阔地)为主，道路边界线外30m内执行《声环境质量标准》(GB3096-2008)中的4a类标准；30m外执行3类标准。</w:t>
      </w:r>
    </w:p>
    <w:p>
      <w:pPr>
        <w:pStyle w:val="5"/>
        <w:bidi w:val="0"/>
        <w:outlineLvl w:val="0"/>
      </w:pPr>
      <w:bookmarkStart w:id="50" w:name="_Toc294"/>
      <w:r>
        <w:t>3.3环境影响评价报告评价结论</w:t>
      </w:r>
      <w:bookmarkEnd w:id="50"/>
    </w:p>
    <w:p>
      <w:pPr>
        <w:pStyle w:val="6"/>
        <w:bidi w:val="0"/>
        <w:outlineLvl w:val="1"/>
      </w:pPr>
      <w:bookmarkStart w:id="51" w:name="_Toc27739"/>
      <w:r>
        <w:t>3.3.1工程概况</w:t>
      </w:r>
      <w:bookmarkEnd w:id="51"/>
    </w:p>
    <w:p>
      <w:pPr>
        <w:bidi w:val="0"/>
      </w:pPr>
      <w:r>
        <w:t>本工程位于奎屯—独山子经济技术开发区内，奎屯—独山子经济技术开发区位于新疆维吾尔自治区西北部、天山北麓、准噶尔盆地南缘，本工程规划新、改扩建、以及加装交通标志及标牌标线的道路分别位于园区内的北一区、南区，以及石化物流园内。</w:t>
      </w:r>
    </w:p>
    <w:p>
      <w:pPr>
        <w:bidi w:val="0"/>
      </w:pPr>
      <w:r>
        <w:t>本工程新建道路三条，新增永久占地约为75.47hm²</w:t>
      </w:r>
      <w:r>
        <w:rPr>
          <w:rFonts w:hint="eastAsia"/>
          <w:lang w:eastAsia="zh-CN"/>
        </w:rPr>
        <w:t>；</w:t>
      </w:r>
      <w:r>
        <w:t>改扩建道路三条，新增永久占地33.76hm²。本工程共新增永久占地约为109.23hm²。临时工程主要是建筑垃圾临时堆场、材料堆场、蒸发沉淀池、项目部及值班室，占地约为1470hm²</w:t>
      </w:r>
      <w:r>
        <w:rPr>
          <w:rFonts w:hint="eastAsia"/>
          <w:lang w:eastAsia="zh-CN"/>
        </w:rPr>
        <w:t>，</w:t>
      </w:r>
      <w:r>
        <w:t>道路施工及各类管线施工均在道路红线范围内敷设。</w:t>
      </w:r>
    </w:p>
    <w:p>
      <w:pPr>
        <w:pStyle w:val="6"/>
        <w:bidi w:val="0"/>
        <w:outlineLvl w:val="1"/>
      </w:pPr>
      <w:bookmarkStart w:id="52" w:name="_Toc5567"/>
      <w:r>
        <w:t>3.3.2工程合理性分析</w:t>
      </w:r>
      <w:bookmarkEnd w:id="52"/>
    </w:p>
    <w:p>
      <w:pPr>
        <w:bidi w:val="0"/>
        <w:outlineLvl w:val="2"/>
      </w:pPr>
      <w:bookmarkStart w:id="53" w:name="_Toc22017"/>
      <w:r>
        <w:fldChar w:fldCharType="begin"/>
      </w:r>
      <w:r>
        <w:instrText xml:space="preserve"> HYPERLINK "3.3.2.1" </w:instrText>
      </w:r>
      <w:r>
        <w:fldChar w:fldCharType="separate"/>
      </w:r>
      <w:r>
        <w:t>3.3.2.1</w:t>
      </w:r>
      <w:r>
        <w:fldChar w:fldCharType="end"/>
      </w:r>
      <w:r>
        <w:t>项目产业政策相符性</w:t>
      </w:r>
      <w:bookmarkEnd w:id="53"/>
    </w:p>
    <w:p>
      <w:pPr>
        <w:bidi w:val="0"/>
      </w:pPr>
      <w:r>
        <w:t>本工程是规划的奎屯—独山</w:t>
      </w:r>
      <w:r>
        <w:rPr>
          <w:rFonts w:hint="eastAsia" w:ascii="宋体" w:hAnsi="宋体" w:eastAsia="宋体" w:cs="宋体"/>
        </w:rPr>
        <w:t>子经济技术开发区交通性主干路“三横两纵”</w:t>
      </w:r>
      <w:r>
        <w:rPr>
          <w:rFonts w:hint="eastAsia" w:ascii="宋体" w:hAnsi="宋体" w:eastAsia="宋体" w:cs="宋体"/>
          <w:lang w:eastAsia="zh-CN"/>
        </w:rPr>
        <w:t>，</w:t>
      </w:r>
      <w:r>
        <w:rPr>
          <w:rFonts w:hint="eastAsia" w:ascii="宋体" w:hAnsi="宋体" w:eastAsia="宋体" w:cs="宋体"/>
        </w:rPr>
        <w:t>以及生活性主干路“两横五纵”中的重要组成部分，本次工程建设的多条道路均位于经济技术开发区北一区和南区中，工程的建设有利于交通规划发展策略中的“加强经开区南区与北一区之间的联系”等目</w:t>
      </w:r>
      <w:r>
        <w:t>标的实现，使奎屯—独山子经济技术开发区南北贯通，大大加强了开发区内各区、开发区与外界交通的联系，工程的建设符合《奎屯—独山子经济技术开发区总体规划》(2016—2030年)的相关要求。同时，本工程建成后为奎屯市发挥</w:t>
      </w:r>
      <w:r>
        <w:rPr>
          <w:rFonts w:hint="eastAsia"/>
          <w:lang w:val="en-US" w:eastAsia="zh-CN"/>
        </w:rPr>
        <w:t>区域</w:t>
      </w:r>
      <w:r>
        <w:t>和交通枢纽优势提供保障，符合《伊犁州直生态环境保护总体规划(2014—2030年)》相关要求。</w:t>
      </w:r>
    </w:p>
    <w:p>
      <w:pPr>
        <w:bidi w:val="0"/>
        <w:outlineLvl w:val="2"/>
      </w:pPr>
      <w:bookmarkStart w:id="54" w:name="_Toc10144"/>
      <w:r>
        <w:fldChar w:fldCharType="begin"/>
      </w:r>
      <w:r>
        <w:instrText xml:space="preserve"> HYPERLINK "3.3.2.2" </w:instrText>
      </w:r>
      <w:r>
        <w:fldChar w:fldCharType="separate"/>
      </w:r>
      <w:r>
        <w:t>3.3.2.2</w:t>
      </w:r>
      <w:r>
        <w:fldChar w:fldCharType="end"/>
      </w:r>
      <w:r>
        <w:rPr>
          <w:lang w:val="en-US" w:eastAsia="en-US"/>
        </w:rPr>
        <w:t>奎屯一独山子经济技术开发区</w:t>
      </w:r>
      <w:r>
        <w:t>规划相符性</w:t>
      </w:r>
      <w:bookmarkEnd w:id="54"/>
    </w:p>
    <w:p>
      <w:pPr>
        <w:bidi w:val="0"/>
      </w:pPr>
      <w:r>
        <w:rPr>
          <w:lang w:val="en-US" w:eastAsia="en-US"/>
        </w:rPr>
        <w:t>《奎屯—独山子经济技术开发区总体规划》(2016—2030年)相关内容，综合交通规划发展策略为：“加强与对外交通设施的衔接。增加与乌奎高速、312国道等衔接道路和出入口。新增引入经开区内部的铁路支线和企业专用线，降低运输成本。加强与现状城市路网的衔接，尽可能延续现状道路网络机理，保持设施的整体性和一致性。加强经开区各片区的交通联系，重点加强经开区南区与北一区之间的联系，新增跨东西向区域运输走廊的联系通道，消除运输瓶颈。”</w:t>
      </w:r>
    </w:p>
    <w:p>
      <w:pPr>
        <w:bidi w:val="0"/>
        <w:outlineLvl w:val="2"/>
      </w:pPr>
      <w:bookmarkStart w:id="55" w:name="_Toc25729"/>
      <w:r>
        <w:fldChar w:fldCharType="begin"/>
      </w:r>
      <w:r>
        <w:instrText xml:space="preserve"> HYPERLINK "3.3.2.3" </w:instrText>
      </w:r>
      <w:r>
        <w:fldChar w:fldCharType="separate"/>
      </w:r>
      <w:r>
        <w:t>3.3.2.3</w:t>
      </w:r>
      <w:r>
        <w:fldChar w:fldCharType="end"/>
      </w:r>
      <w:r>
        <w:t>项目选址可行性</w:t>
      </w:r>
      <w:bookmarkEnd w:id="55"/>
    </w:p>
    <w:p>
      <w:pPr>
        <w:bidi w:val="0"/>
      </w:pPr>
      <w:r>
        <w:rPr>
          <w:rFonts w:hint="eastAsia" w:ascii="宋体" w:hAnsi="宋体" w:eastAsia="宋体" w:cs="宋体"/>
          <w:lang w:val="en-US" w:eastAsia="en-US"/>
        </w:rPr>
        <w:t>本工程是规划的奎屯—独山子经济技术开发区交通性主干路“三横两纵”</w:t>
      </w:r>
      <w:r>
        <w:rPr>
          <w:rFonts w:hint="eastAsia" w:ascii="宋体" w:hAnsi="宋体" w:eastAsia="宋体" w:cs="宋体"/>
          <w:lang w:val="en-US" w:eastAsia="zh-CN"/>
        </w:rPr>
        <w:t>，</w:t>
      </w:r>
      <w:r>
        <w:rPr>
          <w:rFonts w:hint="eastAsia" w:ascii="宋体" w:hAnsi="宋体" w:eastAsia="宋体" w:cs="宋体"/>
          <w:lang w:val="en-US" w:eastAsia="en-US"/>
        </w:rPr>
        <w:t>以及生活性主干路“两横五纵”中的重要组成部分，本次工程建设的多条道路均位于经济技术开发区北一区和南区中，工程的建设有利于交通规划发展策略中的“加强经开区南区与北一区之间的联系”等目标的实现，使奎</w:t>
      </w:r>
      <w:r>
        <w:rPr>
          <w:lang w:val="en-US" w:eastAsia="en-US"/>
        </w:rPr>
        <w:t>屯—独山子经济技术开发区南北贯通，大大加强了开发区内各区、开发区与外界交通的联系，工程的建设符合《奎屯—独山子经济技术开发区总体规划》(2016—2030年)的相关要求。</w:t>
      </w:r>
    </w:p>
    <w:p>
      <w:pPr>
        <w:pStyle w:val="6"/>
        <w:bidi w:val="0"/>
        <w:outlineLvl w:val="1"/>
      </w:pPr>
      <w:bookmarkStart w:id="56" w:name="_Toc7631"/>
      <w:r>
        <w:t>3.3.3环境现状评价结论</w:t>
      </w:r>
      <w:bookmarkEnd w:id="56"/>
    </w:p>
    <w:p>
      <w:pPr>
        <w:bidi w:val="0"/>
        <w:outlineLvl w:val="2"/>
      </w:pPr>
      <w:bookmarkStart w:id="57" w:name="_Toc21122"/>
      <w:r>
        <w:fldChar w:fldCharType="begin"/>
      </w:r>
      <w:r>
        <w:instrText xml:space="preserve"> HYPERLINK "3.3.3.1" </w:instrText>
      </w:r>
      <w:r>
        <w:fldChar w:fldCharType="separate"/>
      </w:r>
      <w:r>
        <w:t>3.3.3.1</w:t>
      </w:r>
      <w:r>
        <w:fldChar w:fldCharType="end"/>
      </w:r>
      <w:r>
        <w:t>大气环境</w:t>
      </w:r>
      <w:bookmarkEnd w:id="57"/>
    </w:p>
    <w:p>
      <w:pPr>
        <w:bidi w:val="0"/>
      </w:pPr>
      <w:r>
        <w:t>(1)监测点</w:t>
      </w:r>
    </w:p>
    <w:p>
      <w:pPr>
        <w:bidi w:val="0"/>
      </w:pPr>
      <w:r>
        <w:t>本工程采用实测法对工程所在区域大气环境质量现状进行分析。本工程委托了新疆新环监测检测研究院(有限公司)在本工程所在区域布设了3个环境空气质量现状监测点进行现场监测，监测时间为2017年4月13日～4月19日连续七天。</w:t>
      </w:r>
    </w:p>
    <w:p>
      <w:pPr>
        <w:bidi w:val="0"/>
      </w:pPr>
      <w:r>
        <w:t>(2)监测项目及监测频率</w:t>
      </w:r>
    </w:p>
    <w:p>
      <w:pPr>
        <w:bidi w:val="0"/>
      </w:pPr>
      <w:r>
        <w:t>监测项目：SO₂、NO₂、PM</w:t>
      </w:r>
      <w:r>
        <w:rPr>
          <w:rFonts w:hint="eastAsia"/>
          <w:vertAlign w:val="subscript"/>
          <w:lang w:val="en-US" w:eastAsia="zh-CN"/>
        </w:rPr>
        <w:t>10</w:t>
      </w:r>
      <w:r>
        <w:t>。</w:t>
      </w:r>
    </w:p>
    <w:p>
      <w:pPr>
        <w:bidi w:val="0"/>
      </w:pPr>
      <w:r>
        <w:t>监测频率：SO₂、NO₂、PM</w:t>
      </w:r>
      <w:r>
        <w:rPr>
          <w:rFonts w:hint="eastAsia"/>
          <w:vertAlign w:val="subscript"/>
          <w:lang w:val="en-US" w:eastAsia="zh-CN"/>
        </w:rPr>
        <w:t>10</w:t>
      </w:r>
      <w:r>
        <w:t>每日至少有20个小时平均浓度值或采样时间。</w:t>
      </w:r>
    </w:p>
    <w:p>
      <w:pPr>
        <w:bidi w:val="0"/>
      </w:pPr>
      <w:r>
        <w:t>(3)监测、分析方法</w:t>
      </w:r>
    </w:p>
    <w:p>
      <w:pPr>
        <w:bidi w:val="0"/>
      </w:pPr>
      <w:r>
        <w:t>本工程监测项目的采样和分析方法均按《空气和废气监测分析方法》和《环境空气质量标准》(GB3095-2012)的要求进行</w:t>
      </w:r>
    </w:p>
    <w:p>
      <w:pPr>
        <w:pStyle w:val="9"/>
        <w:spacing w:before="75" w:line="220" w:lineRule="auto"/>
        <w:ind w:left="1075"/>
      </w:pPr>
      <w:r>
        <w:rPr>
          <w:spacing w:val="-6"/>
        </w:rPr>
        <w:t>(4)监测结果及分析结果</w:t>
      </w:r>
    </w:p>
    <w:p>
      <w:pPr>
        <w:pStyle w:val="9"/>
        <w:spacing w:before="245" w:line="219" w:lineRule="auto"/>
        <w:ind w:left="1075"/>
      </w:pPr>
      <w:r>
        <w:rPr>
          <w:spacing w:val="1"/>
        </w:rPr>
        <w:t>监测结果统计分析详见表4-2-3。</w:t>
      </w:r>
    </w:p>
    <w:p>
      <w:pPr>
        <w:pStyle w:val="16"/>
        <w:bidi w:val="0"/>
      </w:pPr>
      <w:r>
        <w:t>表</w:t>
      </w:r>
      <w:r>
        <w:rPr>
          <w:rFonts w:hint="eastAsia"/>
          <w:lang w:val="en-US" w:eastAsia="zh-CN"/>
        </w:rPr>
        <w:t>3-1</w:t>
      </w:r>
      <w:r>
        <w:t xml:space="preserve">      现状监测及评价结果一览表</w:t>
      </w:r>
    </w:p>
    <w:p>
      <w:pPr>
        <w:spacing w:line="22" w:lineRule="exact"/>
      </w:pPr>
    </w:p>
    <w:tbl>
      <w:tblPr>
        <w:tblStyle w:val="2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24"/>
        <w:gridCol w:w="2553"/>
        <w:gridCol w:w="1903"/>
        <w:gridCol w:w="1261"/>
        <w:gridCol w:w="1031"/>
        <w:gridCol w:w="10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3" w:hRule="atLeast"/>
          <w:jc w:val="center"/>
        </w:trPr>
        <w:tc>
          <w:tcPr>
            <w:tcW w:w="270" w:type="pct"/>
            <w:vMerge w:val="restart"/>
            <w:textDirection w:val="tbRlV"/>
            <w:vAlign w:val="center"/>
          </w:tcPr>
          <w:p>
            <w:pPr>
              <w:pStyle w:val="18"/>
              <w:bidi w:val="0"/>
            </w:pPr>
            <w:r>
              <w:t>污染物</w:t>
            </w:r>
          </w:p>
        </w:tc>
        <w:tc>
          <w:tcPr>
            <w:tcW w:w="1544" w:type="pct"/>
            <w:vMerge w:val="restart"/>
            <w:vAlign w:val="center"/>
          </w:tcPr>
          <w:p>
            <w:pPr>
              <w:pStyle w:val="18"/>
              <w:bidi w:val="0"/>
            </w:pPr>
            <w:r>
              <w:t>监测点名称</w:t>
            </w:r>
          </w:p>
        </w:tc>
        <w:tc>
          <w:tcPr>
            <w:tcW w:w="3184" w:type="pct"/>
            <w:gridSpan w:val="4"/>
            <w:vAlign w:val="center"/>
          </w:tcPr>
          <w:p>
            <w:pPr>
              <w:pStyle w:val="18"/>
              <w:bidi w:val="0"/>
            </w:pPr>
            <w:r>
              <w:t>日平均浓度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33" w:hRule="atLeast"/>
          <w:jc w:val="center"/>
        </w:trPr>
        <w:tc>
          <w:tcPr>
            <w:tcW w:w="270" w:type="pct"/>
            <w:vMerge w:val="continue"/>
            <w:textDirection w:val="tbRlV"/>
            <w:vAlign w:val="center"/>
          </w:tcPr>
          <w:p>
            <w:pPr>
              <w:pStyle w:val="18"/>
              <w:bidi w:val="0"/>
            </w:pPr>
          </w:p>
        </w:tc>
        <w:tc>
          <w:tcPr>
            <w:tcW w:w="1544" w:type="pct"/>
            <w:vMerge w:val="continue"/>
            <w:vAlign w:val="center"/>
          </w:tcPr>
          <w:p>
            <w:pPr>
              <w:pStyle w:val="18"/>
              <w:bidi w:val="0"/>
            </w:pPr>
          </w:p>
        </w:tc>
        <w:tc>
          <w:tcPr>
            <w:tcW w:w="1153" w:type="pct"/>
            <w:vAlign w:val="center"/>
          </w:tcPr>
          <w:p>
            <w:pPr>
              <w:pStyle w:val="18"/>
              <w:bidi w:val="0"/>
            </w:pPr>
            <w:r>
              <w:t>浓度范围(mg/Nm³)</w:t>
            </w:r>
          </w:p>
        </w:tc>
        <w:tc>
          <w:tcPr>
            <w:tcW w:w="767" w:type="pct"/>
            <w:vAlign w:val="center"/>
          </w:tcPr>
          <w:p>
            <w:pPr>
              <w:pStyle w:val="18"/>
              <w:bidi w:val="0"/>
            </w:pPr>
            <w:r>
              <w:t>最大占标率</w:t>
            </w:r>
          </w:p>
          <w:p>
            <w:pPr>
              <w:pStyle w:val="18"/>
              <w:bidi w:val="0"/>
            </w:pPr>
            <w:r>
              <w:t>(%)</w:t>
            </w:r>
          </w:p>
        </w:tc>
        <w:tc>
          <w:tcPr>
            <w:tcW w:w="629" w:type="pct"/>
            <w:vAlign w:val="center"/>
          </w:tcPr>
          <w:p>
            <w:pPr>
              <w:pStyle w:val="18"/>
              <w:bidi w:val="0"/>
            </w:pPr>
            <w:r>
              <w:t>超标率(%)</w:t>
            </w:r>
          </w:p>
        </w:tc>
        <w:tc>
          <w:tcPr>
            <w:tcW w:w="634" w:type="pct"/>
            <w:vAlign w:val="center"/>
          </w:tcPr>
          <w:p>
            <w:pPr>
              <w:pStyle w:val="18"/>
              <w:bidi w:val="0"/>
            </w:pPr>
            <w:r>
              <w:t>最大超标倍数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8" w:hRule="atLeast"/>
          <w:jc w:val="center"/>
        </w:trPr>
        <w:tc>
          <w:tcPr>
            <w:tcW w:w="270" w:type="pct"/>
            <w:vMerge w:val="restart"/>
            <w:vAlign w:val="center"/>
          </w:tcPr>
          <w:p>
            <w:pPr>
              <w:pStyle w:val="18"/>
              <w:bidi w:val="0"/>
            </w:pPr>
            <w:r>
              <w:t>SO₂</w:t>
            </w:r>
          </w:p>
        </w:tc>
        <w:tc>
          <w:tcPr>
            <w:tcW w:w="1544" w:type="pct"/>
            <w:vAlign w:val="center"/>
          </w:tcPr>
          <w:p>
            <w:pPr>
              <w:pStyle w:val="18"/>
              <w:bidi w:val="0"/>
            </w:pPr>
            <w:r>
              <w:t>环境空气现状点1#</w:t>
            </w:r>
          </w:p>
        </w:tc>
        <w:tc>
          <w:tcPr>
            <w:tcW w:w="1153" w:type="pct"/>
            <w:vAlign w:val="center"/>
          </w:tcPr>
          <w:p>
            <w:pPr>
              <w:pStyle w:val="18"/>
              <w:bidi w:val="0"/>
            </w:pPr>
            <w:r>
              <w:t>0.016～0.020</w:t>
            </w:r>
          </w:p>
        </w:tc>
        <w:tc>
          <w:tcPr>
            <w:tcW w:w="767" w:type="pct"/>
            <w:vAlign w:val="center"/>
          </w:tcPr>
          <w:p>
            <w:pPr>
              <w:pStyle w:val="18"/>
              <w:bidi w:val="0"/>
            </w:pPr>
            <w:r>
              <w:t>13.33</w:t>
            </w:r>
          </w:p>
        </w:tc>
        <w:tc>
          <w:tcPr>
            <w:tcW w:w="629" w:type="pct"/>
            <w:vAlign w:val="center"/>
          </w:tcPr>
          <w:p>
            <w:pPr>
              <w:pStyle w:val="18"/>
              <w:bidi w:val="0"/>
            </w:pPr>
            <w:r>
              <w:t>0</w:t>
            </w:r>
          </w:p>
        </w:tc>
        <w:tc>
          <w:tcPr>
            <w:tcW w:w="634" w:type="pct"/>
            <w:vAlign w:val="center"/>
          </w:tcPr>
          <w:p>
            <w:pPr>
              <w:pStyle w:val="18"/>
              <w:bidi w:val="0"/>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8" w:hRule="atLeast"/>
          <w:jc w:val="center"/>
        </w:trPr>
        <w:tc>
          <w:tcPr>
            <w:tcW w:w="270" w:type="pct"/>
            <w:vMerge w:val="continue"/>
            <w:vAlign w:val="center"/>
          </w:tcPr>
          <w:p>
            <w:pPr>
              <w:pStyle w:val="18"/>
              <w:bidi w:val="0"/>
            </w:pPr>
          </w:p>
        </w:tc>
        <w:tc>
          <w:tcPr>
            <w:tcW w:w="1544" w:type="pct"/>
            <w:vAlign w:val="center"/>
          </w:tcPr>
          <w:p>
            <w:pPr>
              <w:pStyle w:val="18"/>
              <w:bidi w:val="0"/>
            </w:pPr>
            <w:r>
              <w:t>环境空气现状点2#</w:t>
            </w:r>
          </w:p>
        </w:tc>
        <w:tc>
          <w:tcPr>
            <w:tcW w:w="1153" w:type="pct"/>
            <w:vAlign w:val="center"/>
          </w:tcPr>
          <w:p>
            <w:pPr>
              <w:pStyle w:val="18"/>
              <w:bidi w:val="0"/>
            </w:pPr>
            <w:r>
              <w:t>0.016～0.019</w:t>
            </w:r>
          </w:p>
        </w:tc>
        <w:tc>
          <w:tcPr>
            <w:tcW w:w="767" w:type="pct"/>
            <w:vAlign w:val="center"/>
          </w:tcPr>
          <w:p>
            <w:pPr>
              <w:pStyle w:val="18"/>
              <w:bidi w:val="0"/>
            </w:pPr>
            <w:r>
              <w:t>23.75</w:t>
            </w:r>
          </w:p>
        </w:tc>
        <w:tc>
          <w:tcPr>
            <w:tcW w:w="629" w:type="pct"/>
            <w:vAlign w:val="center"/>
          </w:tcPr>
          <w:p>
            <w:pPr>
              <w:pStyle w:val="18"/>
              <w:bidi w:val="0"/>
            </w:pPr>
            <w:r>
              <w:t>0</w:t>
            </w:r>
          </w:p>
        </w:tc>
        <w:tc>
          <w:tcPr>
            <w:tcW w:w="634" w:type="pct"/>
            <w:vAlign w:val="center"/>
          </w:tcPr>
          <w:p>
            <w:pPr>
              <w:pStyle w:val="18"/>
              <w:bidi w:val="0"/>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8" w:hRule="atLeast"/>
          <w:jc w:val="center"/>
        </w:trPr>
        <w:tc>
          <w:tcPr>
            <w:tcW w:w="270" w:type="pct"/>
            <w:vMerge w:val="continue"/>
            <w:vAlign w:val="center"/>
          </w:tcPr>
          <w:p>
            <w:pPr>
              <w:pStyle w:val="18"/>
              <w:bidi w:val="0"/>
            </w:pPr>
          </w:p>
        </w:tc>
        <w:tc>
          <w:tcPr>
            <w:tcW w:w="1544" w:type="pct"/>
            <w:vAlign w:val="center"/>
          </w:tcPr>
          <w:p>
            <w:pPr>
              <w:pStyle w:val="18"/>
              <w:bidi w:val="0"/>
            </w:pPr>
            <w:r>
              <w:t>环境空气现状点3#</w:t>
            </w:r>
          </w:p>
        </w:tc>
        <w:tc>
          <w:tcPr>
            <w:tcW w:w="1153" w:type="pct"/>
            <w:vAlign w:val="center"/>
          </w:tcPr>
          <w:p>
            <w:pPr>
              <w:pStyle w:val="18"/>
              <w:bidi w:val="0"/>
            </w:pPr>
            <w:r>
              <w:t>0.016～0.021</w:t>
            </w:r>
          </w:p>
        </w:tc>
        <w:tc>
          <w:tcPr>
            <w:tcW w:w="767" w:type="pct"/>
            <w:vAlign w:val="center"/>
          </w:tcPr>
          <w:p>
            <w:pPr>
              <w:pStyle w:val="18"/>
              <w:bidi w:val="0"/>
            </w:pPr>
            <w:r>
              <w:t>14.00</w:t>
            </w:r>
          </w:p>
        </w:tc>
        <w:tc>
          <w:tcPr>
            <w:tcW w:w="629" w:type="pct"/>
            <w:vAlign w:val="center"/>
          </w:tcPr>
          <w:p>
            <w:pPr>
              <w:pStyle w:val="18"/>
              <w:bidi w:val="0"/>
            </w:pPr>
            <w:r>
              <w:t>0</w:t>
            </w:r>
          </w:p>
        </w:tc>
        <w:tc>
          <w:tcPr>
            <w:tcW w:w="634" w:type="pct"/>
            <w:vAlign w:val="center"/>
          </w:tcPr>
          <w:p>
            <w:pPr>
              <w:pStyle w:val="18"/>
              <w:bidi w:val="0"/>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8" w:hRule="atLeast"/>
          <w:jc w:val="center"/>
        </w:trPr>
        <w:tc>
          <w:tcPr>
            <w:tcW w:w="270" w:type="pct"/>
            <w:vMerge w:val="restart"/>
            <w:vAlign w:val="center"/>
          </w:tcPr>
          <w:p>
            <w:pPr>
              <w:pStyle w:val="18"/>
              <w:bidi w:val="0"/>
            </w:pPr>
            <w:r>
              <w:t>NO₂</w:t>
            </w:r>
          </w:p>
        </w:tc>
        <w:tc>
          <w:tcPr>
            <w:tcW w:w="1544" w:type="pct"/>
            <w:vAlign w:val="center"/>
          </w:tcPr>
          <w:p>
            <w:pPr>
              <w:pStyle w:val="18"/>
              <w:bidi w:val="0"/>
            </w:pPr>
            <w:r>
              <w:t>环境空气现状点1#</w:t>
            </w:r>
          </w:p>
        </w:tc>
        <w:tc>
          <w:tcPr>
            <w:tcW w:w="1153" w:type="pct"/>
            <w:vAlign w:val="center"/>
          </w:tcPr>
          <w:p>
            <w:pPr>
              <w:pStyle w:val="18"/>
              <w:bidi w:val="0"/>
            </w:pPr>
            <w:r>
              <w:t>0.022～0.029</w:t>
            </w:r>
          </w:p>
        </w:tc>
        <w:tc>
          <w:tcPr>
            <w:tcW w:w="767" w:type="pct"/>
            <w:vAlign w:val="center"/>
          </w:tcPr>
          <w:p>
            <w:pPr>
              <w:pStyle w:val="18"/>
              <w:bidi w:val="0"/>
            </w:pPr>
            <w:r>
              <w:t>19.33</w:t>
            </w:r>
          </w:p>
        </w:tc>
        <w:tc>
          <w:tcPr>
            <w:tcW w:w="629" w:type="pct"/>
            <w:vAlign w:val="center"/>
          </w:tcPr>
          <w:p>
            <w:pPr>
              <w:pStyle w:val="18"/>
              <w:bidi w:val="0"/>
            </w:pPr>
            <w:r>
              <w:t>0</w:t>
            </w:r>
          </w:p>
        </w:tc>
        <w:tc>
          <w:tcPr>
            <w:tcW w:w="634" w:type="pct"/>
            <w:vAlign w:val="center"/>
          </w:tcPr>
          <w:p>
            <w:pPr>
              <w:pStyle w:val="18"/>
              <w:bidi w:val="0"/>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8" w:hRule="atLeast"/>
          <w:jc w:val="center"/>
        </w:trPr>
        <w:tc>
          <w:tcPr>
            <w:tcW w:w="270" w:type="pct"/>
            <w:vMerge w:val="continue"/>
            <w:vAlign w:val="center"/>
          </w:tcPr>
          <w:p>
            <w:pPr>
              <w:pStyle w:val="18"/>
              <w:bidi w:val="0"/>
            </w:pPr>
          </w:p>
        </w:tc>
        <w:tc>
          <w:tcPr>
            <w:tcW w:w="1544" w:type="pct"/>
            <w:vAlign w:val="center"/>
          </w:tcPr>
          <w:p>
            <w:pPr>
              <w:pStyle w:val="18"/>
              <w:bidi w:val="0"/>
            </w:pPr>
            <w:r>
              <w:t>环境空气现状点2#</w:t>
            </w:r>
          </w:p>
        </w:tc>
        <w:tc>
          <w:tcPr>
            <w:tcW w:w="1153" w:type="pct"/>
            <w:vAlign w:val="center"/>
          </w:tcPr>
          <w:p>
            <w:pPr>
              <w:pStyle w:val="18"/>
              <w:bidi w:val="0"/>
            </w:pPr>
            <w:r>
              <w:t>0.022～0.027</w:t>
            </w:r>
          </w:p>
        </w:tc>
        <w:tc>
          <w:tcPr>
            <w:tcW w:w="767" w:type="pct"/>
            <w:vAlign w:val="center"/>
          </w:tcPr>
          <w:p>
            <w:pPr>
              <w:pStyle w:val="18"/>
              <w:bidi w:val="0"/>
            </w:pPr>
            <w:r>
              <w:t>33.75</w:t>
            </w:r>
          </w:p>
        </w:tc>
        <w:tc>
          <w:tcPr>
            <w:tcW w:w="629" w:type="pct"/>
            <w:vAlign w:val="center"/>
          </w:tcPr>
          <w:p>
            <w:pPr>
              <w:pStyle w:val="18"/>
              <w:bidi w:val="0"/>
            </w:pPr>
            <w:r>
              <w:t>0</w:t>
            </w:r>
          </w:p>
        </w:tc>
        <w:tc>
          <w:tcPr>
            <w:tcW w:w="634" w:type="pct"/>
            <w:vAlign w:val="center"/>
          </w:tcPr>
          <w:p>
            <w:pPr>
              <w:pStyle w:val="18"/>
              <w:bidi w:val="0"/>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0" w:type="pct"/>
            <w:vMerge w:val="continue"/>
            <w:vAlign w:val="center"/>
          </w:tcPr>
          <w:p>
            <w:pPr>
              <w:pStyle w:val="18"/>
              <w:bidi w:val="0"/>
            </w:pPr>
          </w:p>
        </w:tc>
        <w:tc>
          <w:tcPr>
            <w:tcW w:w="1544" w:type="pct"/>
            <w:vAlign w:val="center"/>
          </w:tcPr>
          <w:p>
            <w:pPr>
              <w:pStyle w:val="18"/>
              <w:bidi w:val="0"/>
            </w:pPr>
            <w:r>
              <w:t>环境空气现状点3#</w:t>
            </w:r>
          </w:p>
        </w:tc>
        <w:tc>
          <w:tcPr>
            <w:tcW w:w="1153" w:type="pct"/>
            <w:vAlign w:val="center"/>
          </w:tcPr>
          <w:p>
            <w:pPr>
              <w:pStyle w:val="18"/>
              <w:bidi w:val="0"/>
            </w:pPr>
            <w:r>
              <w:t>0.024～0.027</w:t>
            </w:r>
          </w:p>
        </w:tc>
        <w:tc>
          <w:tcPr>
            <w:tcW w:w="767" w:type="pct"/>
            <w:vAlign w:val="center"/>
          </w:tcPr>
          <w:p>
            <w:pPr>
              <w:pStyle w:val="18"/>
              <w:bidi w:val="0"/>
            </w:pPr>
            <w:r>
              <w:t>18.00</w:t>
            </w:r>
          </w:p>
        </w:tc>
        <w:tc>
          <w:tcPr>
            <w:tcW w:w="629" w:type="pct"/>
            <w:vAlign w:val="center"/>
          </w:tcPr>
          <w:p>
            <w:pPr>
              <w:pStyle w:val="18"/>
              <w:bidi w:val="0"/>
            </w:pPr>
            <w:r>
              <w:t>0</w:t>
            </w:r>
          </w:p>
        </w:tc>
        <w:tc>
          <w:tcPr>
            <w:tcW w:w="634" w:type="pct"/>
            <w:vAlign w:val="center"/>
          </w:tcPr>
          <w:p>
            <w:pPr>
              <w:pStyle w:val="18"/>
              <w:bidi w:val="0"/>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0" w:type="pct"/>
            <w:vMerge w:val="restart"/>
            <w:vAlign w:val="center"/>
          </w:tcPr>
          <w:p>
            <w:pPr>
              <w:pStyle w:val="18"/>
              <w:bidi w:val="0"/>
            </w:pPr>
            <w:r>
              <w:t>PM</w:t>
            </w:r>
            <w:r>
              <w:rPr>
                <w:rFonts w:hint="eastAsia"/>
                <w:lang w:val="en-US" w:eastAsia="zh-CN"/>
              </w:rPr>
              <w:t>10</w:t>
            </w:r>
          </w:p>
        </w:tc>
        <w:tc>
          <w:tcPr>
            <w:tcW w:w="1544" w:type="pct"/>
            <w:vAlign w:val="center"/>
          </w:tcPr>
          <w:p>
            <w:pPr>
              <w:pStyle w:val="18"/>
              <w:bidi w:val="0"/>
            </w:pPr>
            <w:r>
              <w:t>环境空气现状点1#</w:t>
            </w:r>
          </w:p>
        </w:tc>
        <w:tc>
          <w:tcPr>
            <w:tcW w:w="1153" w:type="pct"/>
            <w:vAlign w:val="center"/>
          </w:tcPr>
          <w:p>
            <w:pPr>
              <w:pStyle w:val="18"/>
              <w:bidi w:val="0"/>
            </w:pPr>
            <w:r>
              <w:t>0.033～0.042</w:t>
            </w:r>
          </w:p>
        </w:tc>
        <w:tc>
          <w:tcPr>
            <w:tcW w:w="767" w:type="pct"/>
            <w:vAlign w:val="center"/>
          </w:tcPr>
          <w:p>
            <w:pPr>
              <w:pStyle w:val="18"/>
              <w:bidi w:val="0"/>
            </w:pPr>
            <w:r>
              <w:t>28.00</w:t>
            </w:r>
          </w:p>
        </w:tc>
        <w:tc>
          <w:tcPr>
            <w:tcW w:w="629" w:type="pct"/>
            <w:vAlign w:val="center"/>
          </w:tcPr>
          <w:p>
            <w:pPr>
              <w:pStyle w:val="18"/>
              <w:bidi w:val="0"/>
            </w:pPr>
            <w:r>
              <w:t>0</w:t>
            </w:r>
          </w:p>
        </w:tc>
        <w:tc>
          <w:tcPr>
            <w:tcW w:w="634" w:type="pct"/>
            <w:vAlign w:val="center"/>
          </w:tcPr>
          <w:p>
            <w:pPr>
              <w:pStyle w:val="18"/>
              <w:bidi w:val="0"/>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0" w:type="pct"/>
            <w:vMerge w:val="continue"/>
            <w:vAlign w:val="center"/>
          </w:tcPr>
          <w:p>
            <w:pPr>
              <w:pStyle w:val="18"/>
              <w:bidi w:val="0"/>
            </w:pPr>
          </w:p>
        </w:tc>
        <w:tc>
          <w:tcPr>
            <w:tcW w:w="1544" w:type="pct"/>
            <w:vAlign w:val="center"/>
          </w:tcPr>
          <w:p>
            <w:pPr>
              <w:pStyle w:val="18"/>
              <w:bidi w:val="0"/>
            </w:pPr>
            <w:r>
              <w:t>环境空气现状点2#</w:t>
            </w:r>
          </w:p>
        </w:tc>
        <w:tc>
          <w:tcPr>
            <w:tcW w:w="1153" w:type="pct"/>
            <w:vAlign w:val="center"/>
          </w:tcPr>
          <w:p>
            <w:pPr>
              <w:pStyle w:val="18"/>
              <w:bidi w:val="0"/>
            </w:pPr>
            <w:r>
              <w:t>0.036～0.041</w:t>
            </w:r>
          </w:p>
        </w:tc>
        <w:tc>
          <w:tcPr>
            <w:tcW w:w="767" w:type="pct"/>
            <w:vAlign w:val="center"/>
          </w:tcPr>
          <w:p>
            <w:pPr>
              <w:pStyle w:val="18"/>
              <w:bidi w:val="0"/>
            </w:pPr>
            <w:r>
              <w:t>51.25</w:t>
            </w:r>
          </w:p>
        </w:tc>
        <w:tc>
          <w:tcPr>
            <w:tcW w:w="629" w:type="pct"/>
            <w:vAlign w:val="center"/>
          </w:tcPr>
          <w:p>
            <w:pPr>
              <w:pStyle w:val="18"/>
              <w:bidi w:val="0"/>
            </w:pPr>
            <w:r>
              <w:t>0</w:t>
            </w:r>
          </w:p>
        </w:tc>
        <w:tc>
          <w:tcPr>
            <w:tcW w:w="634" w:type="pct"/>
            <w:vAlign w:val="center"/>
          </w:tcPr>
          <w:p>
            <w:pPr>
              <w:pStyle w:val="18"/>
              <w:bidi w:val="0"/>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0" w:type="pct"/>
            <w:vMerge w:val="continue"/>
            <w:vAlign w:val="center"/>
          </w:tcPr>
          <w:p>
            <w:pPr>
              <w:pStyle w:val="18"/>
              <w:bidi w:val="0"/>
            </w:pPr>
          </w:p>
        </w:tc>
        <w:tc>
          <w:tcPr>
            <w:tcW w:w="1544" w:type="pct"/>
            <w:vAlign w:val="center"/>
          </w:tcPr>
          <w:p>
            <w:pPr>
              <w:pStyle w:val="18"/>
              <w:bidi w:val="0"/>
            </w:pPr>
            <w:r>
              <w:t>环境空气现状点3#</w:t>
            </w:r>
          </w:p>
        </w:tc>
        <w:tc>
          <w:tcPr>
            <w:tcW w:w="1153" w:type="pct"/>
            <w:vAlign w:val="center"/>
          </w:tcPr>
          <w:p>
            <w:pPr>
              <w:pStyle w:val="18"/>
              <w:bidi w:val="0"/>
            </w:pPr>
            <w:r>
              <w:t>0.033～0.041</w:t>
            </w:r>
          </w:p>
        </w:tc>
        <w:tc>
          <w:tcPr>
            <w:tcW w:w="767" w:type="pct"/>
            <w:vAlign w:val="center"/>
          </w:tcPr>
          <w:p>
            <w:pPr>
              <w:pStyle w:val="18"/>
              <w:bidi w:val="0"/>
            </w:pPr>
            <w:r>
              <w:t>27.33</w:t>
            </w:r>
          </w:p>
        </w:tc>
        <w:tc>
          <w:tcPr>
            <w:tcW w:w="629" w:type="pct"/>
            <w:vAlign w:val="center"/>
          </w:tcPr>
          <w:p>
            <w:pPr>
              <w:pStyle w:val="18"/>
              <w:bidi w:val="0"/>
            </w:pPr>
            <w:r>
              <w:t>0</w:t>
            </w:r>
          </w:p>
        </w:tc>
        <w:tc>
          <w:tcPr>
            <w:tcW w:w="634" w:type="pct"/>
            <w:vAlign w:val="center"/>
          </w:tcPr>
          <w:p>
            <w:pPr>
              <w:pStyle w:val="18"/>
              <w:bidi w:val="0"/>
            </w:pPr>
            <w:r>
              <w:t>0</w:t>
            </w:r>
          </w:p>
        </w:tc>
      </w:tr>
    </w:tbl>
    <w:p>
      <w:pPr>
        <w:bidi w:val="0"/>
      </w:pPr>
      <w:r>
        <w:t>根据大气环境质量现状评价结果可知，各污染物均满足《环境空气质量标准》(GB3095-2012)二级标准，环境空气质量良好。</w:t>
      </w:r>
    </w:p>
    <w:p>
      <w:pPr>
        <w:bidi w:val="0"/>
        <w:outlineLvl w:val="2"/>
      </w:pPr>
      <w:bookmarkStart w:id="58" w:name="_Toc16710"/>
      <w:r>
        <w:fldChar w:fldCharType="begin"/>
      </w:r>
      <w:r>
        <w:instrText xml:space="preserve"> HYPERLINK "3.3.3.1" </w:instrText>
      </w:r>
      <w:r>
        <w:fldChar w:fldCharType="separate"/>
      </w:r>
      <w:r>
        <w:t>3.3.3.</w:t>
      </w:r>
      <w:r>
        <w:rPr>
          <w:rFonts w:hint="eastAsia"/>
          <w:lang w:val="en-US" w:eastAsia="zh-CN"/>
        </w:rPr>
        <w:t>2</w:t>
      </w:r>
      <w:r>
        <w:fldChar w:fldCharType="end"/>
      </w:r>
      <w:r>
        <w:rPr>
          <w:rFonts w:hint="eastAsia"/>
          <w:lang w:val="en-US" w:eastAsia="zh-CN"/>
        </w:rPr>
        <w:t>声</w:t>
      </w:r>
      <w:r>
        <w:t>环境</w:t>
      </w:r>
      <w:bookmarkEnd w:id="58"/>
    </w:p>
    <w:p>
      <w:pPr>
        <w:bidi w:val="0"/>
      </w:pPr>
      <w:r>
        <w:t>(1)调查方法</w:t>
      </w:r>
    </w:p>
    <w:p>
      <w:pPr>
        <w:bidi w:val="0"/>
      </w:pPr>
      <w:r>
        <w:t>本工程采用实测法对工程所在区域声环境质量现状进行分析。本工程委托了新疆新环监测检测研究院(有限公司)在本工程所在区域布设了5个环境噪声现状监测点进行现场监测，监测时间为2017年4月15日～4月16日。</w:t>
      </w:r>
    </w:p>
    <w:p>
      <w:pPr>
        <w:bidi w:val="0"/>
      </w:pPr>
      <w:r>
        <w:t>(2)监测布点</w:t>
      </w:r>
    </w:p>
    <w:p>
      <w:pPr>
        <w:bidi w:val="0"/>
      </w:pPr>
      <w:r>
        <w:t>根据《环境影响评价技术导则声环境》(HJ2.4-2009)规定，以及本工程沿线主要敏感点分布情况，在工程所在区域及声环境敏感点处进行环境噪声现状监测，共设5个监测点，即福盛路中点、米泉街与阿克苏路东延道路交汇点(新疆新路标光伏材料有限公司办公楼)、东外环路与承启路交汇点、阿克苏路东延道路终点、南环路东延道路终点(七师131团七连居民)各设一个点。</w:t>
      </w:r>
    </w:p>
    <w:p>
      <w:pPr>
        <w:pStyle w:val="16"/>
        <w:bidi w:val="0"/>
        <w:rPr>
          <w:rFonts w:hint="eastAsia"/>
          <w:lang w:val="en-US" w:eastAsia="zh-CN"/>
        </w:rPr>
      </w:pPr>
      <w:r>
        <w:rPr>
          <w:rFonts w:hint="eastAsia"/>
          <w:lang w:val="en-US" w:eastAsia="zh-CN"/>
        </w:rPr>
        <w:t>表</w:t>
      </w:r>
      <w:r>
        <w:fldChar w:fldCharType="begin"/>
      </w:r>
      <w:r>
        <w:instrText xml:space="preserve"> HYPERLINK "3.3.3.4" </w:instrText>
      </w:r>
      <w:r>
        <w:fldChar w:fldCharType="separate"/>
      </w:r>
      <w:r>
        <w:t>3</w:t>
      </w:r>
      <w:r>
        <w:rPr>
          <w:rFonts w:hint="eastAsia"/>
          <w:lang w:val="en-US" w:eastAsia="zh-CN"/>
        </w:rPr>
        <w:t>-</w:t>
      </w:r>
      <w:r>
        <w:fldChar w:fldCharType="end"/>
      </w:r>
      <w:r>
        <w:rPr>
          <w:rFonts w:hint="eastAsia"/>
          <w:lang w:val="en-US" w:eastAsia="zh-CN"/>
        </w:rPr>
        <w:t xml:space="preserve">2  </w:t>
      </w:r>
      <w:r>
        <w:t>环境</w:t>
      </w:r>
      <w:r>
        <w:rPr>
          <w:rFonts w:hint="eastAsia"/>
          <w:lang w:val="en-US" w:eastAsia="zh-CN"/>
        </w:rPr>
        <w:t>噪声及敏感点现状监测与评价结果  单位：</w:t>
      </w:r>
      <w:r>
        <w:t>dB(A</w:t>
      </w:r>
      <w:r>
        <w:rPr>
          <w:rFonts w:hint="eastAsia"/>
          <w:lang w:eastAsia="zh-CN"/>
        </w:rPr>
        <w:t>）</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54"/>
        <w:gridCol w:w="2041"/>
        <w:gridCol w:w="812"/>
        <w:gridCol w:w="853"/>
        <w:gridCol w:w="893"/>
        <w:gridCol w:w="893"/>
        <w:gridCol w:w="1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4" w:hRule="atLeast"/>
        </w:trPr>
        <w:tc>
          <w:tcPr>
            <w:tcW w:w="814" w:type="pct"/>
            <w:vMerge w:val="restart"/>
            <w:vAlign w:val="center"/>
          </w:tcPr>
          <w:p>
            <w:pPr>
              <w:pStyle w:val="18"/>
              <w:bidi w:val="0"/>
            </w:pPr>
            <w:r>
              <w:t>监测点位</w:t>
            </w:r>
          </w:p>
        </w:tc>
        <w:tc>
          <w:tcPr>
            <w:tcW w:w="1227" w:type="pct"/>
            <w:vMerge w:val="restart"/>
            <w:vAlign w:val="center"/>
          </w:tcPr>
          <w:p>
            <w:pPr>
              <w:pStyle w:val="18"/>
              <w:bidi w:val="0"/>
            </w:pPr>
            <w:r>
              <w:t>监测点位置</w:t>
            </w:r>
          </w:p>
        </w:tc>
        <w:tc>
          <w:tcPr>
            <w:tcW w:w="1001" w:type="pct"/>
            <w:gridSpan w:val="2"/>
            <w:vAlign w:val="center"/>
          </w:tcPr>
          <w:p>
            <w:pPr>
              <w:pStyle w:val="18"/>
              <w:bidi w:val="0"/>
            </w:pPr>
            <w:r>
              <w:t>监测值</w:t>
            </w:r>
          </w:p>
        </w:tc>
        <w:tc>
          <w:tcPr>
            <w:tcW w:w="1074" w:type="pct"/>
            <w:gridSpan w:val="2"/>
            <w:vAlign w:val="center"/>
          </w:tcPr>
          <w:p>
            <w:pPr>
              <w:pStyle w:val="18"/>
              <w:bidi w:val="0"/>
            </w:pPr>
            <w:r>
              <w:t>标准值</w:t>
            </w:r>
          </w:p>
        </w:tc>
        <w:tc>
          <w:tcPr>
            <w:tcW w:w="882" w:type="pct"/>
            <w:vMerge w:val="restart"/>
            <w:vAlign w:val="center"/>
          </w:tcPr>
          <w:p>
            <w:pPr>
              <w:pStyle w:val="18"/>
              <w:bidi w:val="0"/>
            </w:pPr>
            <w:r>
              <w:t>是否</w:t>
            </w:r>
          </w:p>
          <w:p>
            <w:pPr>
              <w:pStyle w:val="18"/>
              <w:bidi w:val="0"/>
            </w:pPr>
            <w:r>
              <w:t>超标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9" w:hRule="atLeast"/>
        </w:trPr>
        <w:tc>
          <w:tcPr>
            <w:tcW w:w="814" w:type="pct"/>
            <w:vMerge w:val="continue"/>
            <w:vAlign w:val="center"/>
          </w:tcPr>
          <w:p>
            <w:pPr>
              <w:pStyle w:val="18"/>
              <w:bidi w:val="0"/>
            </w:pPr>
          </w:p>
        </w:tc>
        <w:tc>
          <w:tcPr>
            <w:tcW w:w="1227" w:type="pct"/>
            <w:vMerge w:val="continue"/>
            <w:vAlign w:val="center"/>
          </w:tcPr>
          <w:p>
            <w:pPr>
              <w:pStyle w:val="18"/>
              <w:bidi w:val="0"/>
            </w:pPr>
          </w:p>
        </w:tc>
        <w:tc>
          <w:tcPr>
            <w:tcW w:w="488" w:type="pct"/>
            <w:vAlign w:val="center"/>
          </w:tcPr>
          <w:p>
            <w:pPr>
              <w:pStyle w:val="18"/>
              <w:bidi w:val="0"/>
            </w:pPr>
            <w:r>
              <w:t>昼间</w:t>
            </w:r>
          </w:p>
        </w:tc>
        <w:tc>
          <w:tcPr>
            <w:tcW w:w="513" w:type="pct"/>
            <w:vAlign w:val="center"/>
          </w:tcPr>
          <w:p>
            <w:pPr>
              <w:pStyle w:val="18"/>
              <w:bidi w:val="0"/>
            </w:pPr>
            <w:r>
              <w:t>夜间</w:t>
            </w:r>
          </w:p>
        </w:tc>
        <w:tc>
          <w:tcPr>
            <w:tcW w:w="537" w:type="pct"/>
            <w:vAlign w:val="center"/>
          </w:tcPr>
          <w:p>
            <w:pPr>
              <w:pStyle w:val="18"/>
              <w:bidi w:val="0"/>
            </w:pPr>
            <w:r>
              <w:t>昼间</w:t>
            </w:r>
          </w:p>
        </w:tc>
        <w:tc>
          <w:tcPr>
            <w:tcW w:w="537" w:type="pct"/>
            <w:vAlign w:val="center"/>
          </w:tcPr>
          <w:p>
            <w:pPr>
              <w:pStyle w:val="18"/>
              <w:bidi w:val="0"/>
            </w:pPr>
            <w:r>
              <w:t>夜间</w:t>
            </w:r>
          </w:p>
        </w:tc>
        <w:tc>
          <w:tcPr>
            <w:tcW w:w="882" w:type="pct"/>
            <w:vMerge w:val="continue"/>
            <w:vAlign w:val="center"/>
          </w:tcPr>
          <w:p>
            <w:pPr>
              <w:pStyle w:val="18"/>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58" w:hRule="atLeast"/>
        </w:trPr>
        <w:tc>
          <w:tcPr>
            <w:tcW w:w="814" w:type="pct"/>
            <w:vAlign w:val="center"/>
          </w:tcPr>
          <w:p>
            <w:pPr>
              <w:pStyle w:val="18"/>
              <w:bidi w:val="0"/>
            </w:pPr>
            <w:r>
              <w:t>声环境现状点1#</w:t>
            </w:r>
          </w:p>
        </w:tc>
        <w:tc>
          <w:tcPr>
            <w:tcW w:w="1227" w:type="pct"/>
            <w:vAlign w:val="center"/>
          </w:tcPr>
          <w:p>
            <w:pPr>
              <w:pStyle w:val="18"/>
              <w:bidi w:val="0"/>
            </w:pPr>
            <w:r>
              <w:t>福盛路中点</w:t>
            </w:r>
          </w:p>
        </w:tc>
        <w:tc>
          <w:tcPr>
            <w:tcW w:w="488" w:type="pct"/>
            <w:vAlign w:val="center"/>
          </w:tcPr>
          <w:p>
            <w:pPr>
              <w:pStyle w:val="18"/>
              <w:bidi w:val="0"/>
            </w:pPr>
            <w:r>
              <w:t>44.8</w:t>
            </w:r>
          </w:p>
        </w:tc>
        <w:tc>
          <w:tcPr>
            <w:tcW w:w="513" w:type="pct"/>
            <w:vAlign w:val="center"/>
          </w:tcPr>
          <w:p>
            <w:pPr>
              <w:pStyle w:val="18"/>
              <w:bidi w:val="0"/>
            </w:pPr>
            <w:r>
              <w:t>42.5</w:t>
            </w:r>
          </w:p>
        </w:tc>
        <w:tc>
          <w:tcPr>
            <w:tcW w:w="537" w:type="pct"/>
            <w:vMerge w:val="restart"/>
            <w:vAlign w:val="center"/>
          </w:tcPr>
          <w:p>
            <w:pPr>
              <w:pStyle w:val="18"/>
              <w:bidi w:val="0"/>
            </w:pPr>
            <w:r>
              <w:t>70</w:t>
            </w:r>
          </w:p>
        </w:tc>
        <w:tc>
          <w:tcPr>
            <w:tcW w:w="537" w:type="pct"/>
            <w:vMerge w:val="restart"/>
            <w:vAlign w:val="center"/>
          </w:tcPr>
          <w:p>
            <w:pPr>
              <w:pStyle w:val="18"/>
              <w:bidi w:val="0"/>
            </w:pPr>
            <w:r>
              <w:t>55</w:t>
            </w:r>
          </w:p>
        </w:tc>
        <w:tc>
          <w:tcPr>
            <w:tcW w:w="882" w:type="pct"/>
            <w:vAlign w:val="center"/>
          </w:tcPr>
          <w:p>
            <w:pPr>
              <w:pStyle w:val="18"/>
              <w:bidi w:val="0"/>
            </w:pPr>
            <w: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58" w:hRule="atLeast"/>
        </w:trPr>
        <w:tc>
          <w:tcPr>
            <w:tcW w:w="814" w:type="pct"/>
            <w:vAlign w:val="center"/>
          </w:tcPr>
          <w:p>
            <w:pPr>
              <w:pStyle w:val="18"/>
              <w:bidi w:val="0"/>
            </w:pPr>
            <w:r>
              <w:t>声环境现状点2#</w:t>
            </w:r>
          </w:p>
        </w:tc>
        <w:tc>
          <w:tcPr>
            <w:tcW w:w="1227" w:type="pct"/>
            <w:vAlign w:val="center"/>
          </w:tcPr>
          <w:p>
            <w:pPr>
              <w:pStyle w:val="18"/>
              <w:bidi w:val="0"/>
            </w:pPr>
            <w:r>
              <w:t>米泉街与阿克苏路东延道路交汇点(新疆新路标光伏材料有限公司办公楼)</w:t>
            </w:r>
          </w:p>
        </w:tc>
        <w:tc>
          <w:tcPr>
            <w:tcW w:w="488" w:type="pct"/>
            <w:vAlign w:val="center"/>
          </w:tcPr>
          <w:p>
            <w:pPr>
              <w:pStyle w:val="18"/>
              <w:bidi w:val="0"/>
            </w:pPr>
            <w:r>
              <w:t>42.8</w:t>
            </w:r>
          </w:p>
        </w:tc>
        <w:tc>
          <w:tcPr>
            <w:tcW w:w="513" w:type="pct"/>
            <w:vAlign w:val="center"/>
          </w:tcPr>
          <w:p>
            <w:pPr>
              <w:pStyle w:val="18"/>
              <w:bidi w:val="0"/>
            </w:pPr>
            <w:r>
              <w:t>40.1</w:t>
            </w:r>
          </w:p>
        </w:tc>
        <w:tc>
          <w:tcPr>
            <w:tcW w:w="537" w:type="pct"/>
            <w:vMerge w:val="continue"/>
            <w:vAlign w:val="center"/>
          </w:tcPr>
          <w:p>
            <w:pPr>
              <w:pStyle w:val="18"/>
              <w:bidi w:val="0"/>
            </w:pPr>
          </w:p>
        </w:tc>
        <w:tc>
          <w:tcPr>
            <w:tcW w:w="537" w:type="pct"/>
            <w:vMerge w:val="continue"/>
            <w:vAlign w:val="center"/>
          </w:tcPr>
          <w:p>
            <w:pPr>
              <w:pStyle w:val="18"/>
              <w:bidi w:val="0"/>
            </w:pPr>
          </w:p>
        </w:tc>
        <w:tc>
          <w:tcPr>
            <w:tcW w:w="882" w:type="pct"/>
            <w:vAlign w:val="center"/>
          </w:tcPr>
          <w:p>
            <w:pPr>
              <w:pStyle w:val="18"/>
              <w:bidi w:val="0"/>
            </w:pPr>
            <w: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89" w:hRule="atLeast"/>
        </w:trPr>
        <w:tc>
          <w:tcPr>
            <w:tcW w:w="814" w:type="pct"/>
            <w:vAlign w:val="center"/>
          </w:tcPr>
          <w:p>
            <w:pPr>
              <w:pStyle w:val="18"/>
              <w:bidi w:val="0"/>
            </w:pPr>
            <w:r>
              <w:t>声环境现状点3#</w:t>
            </w:r>
          </w:p>
        </w:tc>
        <w:tc>
          <w:tcPr>
            <w:tcW w:w="1227" w:type="pct"/>
            <w:vAlign w:val="center"/>
          </w:tcPr>
          <w:p>
            <w:pPr>
              <w:pStyle w:val="18"/>
              <w:bidi w:val="0"/>
            </w:pPr>
            <w:r>
              <w:t>东外环路与承启路交汇点</w:t>
            </w:r>
          </w:p>
        </w:tc>
        <w:tc>
          <w:tcPr>
            <w:tcW w:w="488" w:type="pct"/>
            <w:vAlign w:val="center"/>
          </w:tcPr>
          <w:p>
            <w:pPr>
              <w:pStyle w:val="18"/>
              <w:bidi w:val="0"/>
            </w:pPr>
            <w:r>
              <w:t>47.1</w:t>
            </w:r>
          </w:p>
        </w:tc>
        <w:tc>
          <w:tcPr>
            <w:tcW w:w="513" w:type="pct"/>
            <w:vAlign w:val="center"/>
          </w:tcPr>
          <w:p>
            <w:pPr>
              <w:pStyle w:val="18"/>
              <w:bidi w:val="0"/>
            </w:pPr>
            <w:r>
              <w:t>43.7</w:t>
            </w:r>
          </w:p>
        </w:tc>
        <w:tc>
          <w:tcPr>
            <w:tcW w:w="537" w:type="pct"/>
            <w:vMerge w:val="continue"/>
            <w:vAlign w:val="center"/>
          </w:tcPr>
          <w:p>
            <w:pPr>
              <w:pStyle w:val="18"/>
              <w:bidi w:val="0"/>
            </w:pPr>
          </w:p>
        </w:tc>
        <w:tc>
          <w:tcPr>
            <w:tcW w:w="537" w:type="pct"/>
            <w:vMerge w:val="continue"/>
            <w:vAlign w:val="center"/>
          </w:tcPr>
          <w:p>
            <w:pPr>
              <w:pStyle w:val="18"/>
              <w:bidi w:val="0"/>
            </w:pPr>
          </w:p>
        </w:tc>
        <w:tc>
          <w:tcPr>
            <w:tcW w:w="882" w:type="pct"/>
            <w:vAlign w:val="center"/>
          </w:tcPr>
          <w:p>
            <w:pPr>
              <w:pStyle w:val="18"/>
              <w:bidi w:val="0"/>
            </w:pPr>
            <w: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89" w:hRule="atLeast"/>
        </w:trPr>
        <w:tc>
          <w:tcPr>
            <w:tcW w:w="814" w:type="pct"/>
            <w:vAlign w:val="center"/>
          </w:tcPr>
          <w:p>
            <w:pPr>
              <w:pStyle w:val="18"/>
              <w:bidi w:val="0"/>
            </w:pPr>
            <w:r>
              <w:t>声环境现状点4#</w:t>
            </w:r>
          </w:p>
        </w:tc>
        <w:tc>
          <w:tcPr>
            <w:tcW w:w="1227" w:type="pct"/>
            <w:vAlign w:val="center"/>
          </w:tcPr>
          <w:p>
            <w:pPr>
              <w:pStyle w:val="18"/>
              <w:bidi w:val="0"/>
            </w:pPr>
            <w:r>
              <w:t>阿克苏路东延道路终点</w:t>
            </w:r>
          </w:p>
        </w:tc>
        <w:tc>
          <w:tcPr>
            <w:tcW w:w="488" w:type="pct"/>
            <w:vAlign w:val="center"/>
          </w:tcPr>
          <w:p>
            <w:pPr>
              <w:pStyle w:val="18"/>
              <w:bidi w:val="0"/>
            </w:pPr>
            <w:r>
              <w:t>33.6</w:t>
            </w:r>
          </w:p>
        </w:tc>
        <w:tc>
          <w:tcPr>
            <w:tcW w:w="513" w:type="pct"/>
            <w:vAlign w:val="center"/>
          </w:tcPr>
          <w:p>
            <w:pPr>
              <w:pStyle w:val="18"/>
              <w:bidi w:val="0"/>
            </w:pPr>
            <w:r>
              <w:t>31.5</w:t>
            </w:r>
          </w:p>
        </w:tc>
        <w:tc>
          <w:tcPr>
            <w:tcW w:w="537" w:type="pct"/>
            <w:vMerge w:val="continue"/>
            <w:vAlign w:val="center"/>
          </w:tcPr>
          <w:p>
            <w:pPr>
              <w:pStyle w:val="18"/>
              <w:bidi w:val="0"/>
            </w:pPr>
          </w:p>
        </w:tc>
        <w:tc>
          <w:tcPr>
            <w:tcW w:w="537" w:type="pct"/>
            <w:vMerge w:val="continue"/>
            <w:vAlign w:val="center"/>
          </w:tcPr>
          <w:p>
            <w:pPr>
              <w:pStyle w:val="18"/>
              <w:bidi w:val="0"/>
            </w:pPr>
          </w:p>
        </w:tc>
        <w:tc>
          <w:tcPr>
            <w:tcW w:w="882" w:type="pct"/>
            <w:vAlign w:val="center"/>
          </w:tcPr>
          <w:p>
            <w:pPr>
              <w:pStyle w:val="18"/>
              <w:bidi w:val="0"/>
            </w:pPr>
            <w: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13" w:hRule="atLeast"/>
        </w:trPr>
        <w:tc>
          <w:tcPr>
            <w:tcW w:w="814" w:type="pct"/>
            <w:vAlign w:val="center"/>
          </w:tcPr>
          <w:p>
            <w:pPr>
              <w:pStyle w:val="18"/>
              <w:bidi w:val="0"/>
            </w:pPr>
            <w:r>
              <w:t>声环境现状点5#</w:t>
            </w:r>
          </w:p>
        </w:tc>
        <w:tc>
          <w:tcPr>
            <w:tcW w:w="1227" w:type="pct"/>
            <w:vAlign w:val="center"/>
          </w:tcPr>
          <w:p>
            <w:pPr>
              <w:pStyle w:val="18"/>
              <w:bidi w:val="0"/>
            </w:pPr>
            <w:r>
              <w:t>南环路东延道路终点(七师131团七连居民)</w:t>
            </w:r>
          </w:p>
        </w:tc>
        <w:tc>
          <w:tcPr>
            <w:tcW w:w="488" w:type="pct"/>
            <w:vAlign w:val="center"/>
          </w:tcPr>
          <w:p>
            <w:pPr>
              <w:pStyle w:val="18"/>
              <w:bidi w:val="0"/>
            </w:pPr>
            <w:r>
              <w:t>41.6</w:t>
            </w:r>
          </w:p>
        </w:tc>
        <w:tc>
          <w:tcPr>
            <w:tcW w:w="513" w:type="pct"/>
            <w:vAlign w:val="center"/>
          </w:tcPr>
          <w:p>
            <w:pPr>
              <w:pStyle w:val="18"/>
              <w:bidi w:val="0"/>
            </w:pPr>
            <w:r>
              <w:t>39.8</w:t>
            </w:r>
          </w:p>
        </w:tc>
        <w:tc>
          <w:tcPr>
            <w:tcW w:w="537" w:type="pct"/>
            <w:vMerge w:val="continue"/>
            <w:vAlign w:val="center"/>
          </w:tcPr>
          <w:p>
            <w:pPr>
              <w:pStyle w:val="18"/>
              <w:bidi w:val="0"/>
            </w:pPr>
          </w:p>
        </w:tc>
        <w:tc>
          <w:tcPr>
            <w:tcW w:w="537" w:type="pct"/>
            <w:vMerge w:val="continue"/>
            <w:vAlign w:val="center"/>
          </w:tcPr>
          <w:p>
            <w:pPr>
              <w:pStyle w:val="18"/>
              <w:bidi w:val="0"/>
            </w:pPr>
          </w:p>
        </w:tc>
        <w:tc>
          <w:tcPr>
            <w:tcW w:w="882" w:type="pct"/>
            <w:vAlign w:val="center"/>
          </w:tcPr>
          <w:p>
            <w:pPr>
              <w:pStyle w:val="18"/>
              <w:bidi w:val="0"/>
            </w:pPr>
            <w:r>
              <w:t>否</w:t>
            </w:r>
          </w:p>
        </w:tc>
      </w:tr>
    </w:tbl>
    <w:p>
      <w:pPr>
        <w:bidi w:val="0"/>
        <w:rPr>
          <w:rFonts w:hint="eastAsia"/>
          <w:lang w:val="en-US" w:eastAsia="zh-CN"/>
        </w:rPr>
      </w:pPr>
      <w:r>
        <w:rPr>
          <w:rFonts w:hint="eastAsia"/>
          <w:lang w:val="en-US" w:eastAsia="zh-CN"/>
        </w:rPr>
        <w:t>项目规划地</w:t>
      </w:r>
      <w:r>
        <w:rPr>
          <w:lang w:val="en-US" w:eastAsia="en-US"/>
        </w:rPr>
        <w:t>满足《声环境质量标准》（GB3096-2008）4a类标准限值</w:t>
      </w:r>
      <w:r>
        <w:rPr>
          <w:rFonts w:hint="eastAsia"/>
          <w:lang w:val="en-US" w:eastAsia="zh-CN"/>
        </w:rPr>
        <w:t>要求。</w:t>
      </w:r>
    </w:p>
    <w:p>
      <w:pPr>
        <w:bidi w:val="0"/>
        <w:outlineLvl w:val="2"/>
      </w:pPr>
      <w:bookmarkStart w:id="59" w:name="_Toc597"/>
      <w:r>
        <w:fldChar w:fldCharType="begin"/>
      </w:r>
      <w:r>
        <w:instrText xml:space="preserve"> HYPERLINK "3.3.3.1" </w:instrText>
      </w:r>
      <w:r>
        <w:fldChar w:fldCharType="separate"/>
      </w:r>
      <w:r>
        <w:t>3.3.3.</w:t>
      </w:r>
      <w:r>
        <w:rPr>
          <w:rFonts w:hint="eastAsia"/>
          <w:lang w:val="en-US" w:eastAsia="zh-CN"/>
        </w:rPr>
        <w:t>3</w:t>
      </w:r>
      <w:r>
        <w:fldChar w:fldCharType="end"/>
      </w:r>
      <w:r>
        <w:rPr>
          <w:rFonts w:hint="eastAsia"/>
          <w:lang w:val="en-US" w:eastAsia="zh-CN"/>
        </w:rPr>
        <w:t>生态</w:t>
      </w:r>
      <w:r>
        <w:t>环境</w:t>
      </w:r>
      <w:bookmarkEnd w:id="59"/>
    </w:p>
    <w:p>
      <w:pPr>
        <w:bidi w:val="0"/>
      </w:pPr>
      <w:r>
        <w:rPr>
          <w:rFonts w:hint="eastAsia"/>
          <w:lang w:eastAsia="zh-CN"/>
        </w:rPr>
        <w:t>（</w:t>
      </w:r>
      <w:r>
        <w:rPr>
          <w:rFonts w:hint="eastAsia"/>
          <w:lang w:val="en-US" w:eastAsia="zh-CN"/>
        </w:rPr>
        <w:t>1</w:t>
      </w:r>
      <w:r>
        <w:rPr>
          <w:rFonts w:hint="eastAsia"/>
          <w:lang w:eastAsia="zh-CN"/>
        </w:rPr>
        <w:t>）</w:t>
      </w:r>
      <w:r>
        <w:t>土地利用现状</w:t>
      </w:r>
    </w:p>
    <w:p>
      <w:pPr>
        <w:bidi w:val="0"/>
      </w:pPr>
      <w:r>
        <w:t>参照全国土地利用现状调查技术规程、全国土地利用现状分类系统及当地土地利用资料，根据实地调查，本工程所在区域土地利用类型主要以城镇用地、低覆盖度草地及耕地为主。</w:t>
      </w:r>
    </w:p>
    <w:p>
      <w:pPr>
        <w:bidi w:val="0"/>
      </w:pPr>
      <w:r>
        <w:rPr>
          <w:rFonts w:hint="eastAsia"/>
          <w:lang w:eastAsia="zh-CN"/>
        </w:rPr>
        <w:t>（</w:t>
      </w:r>
      <w:r>
        <w:rPr>
          <w:rFonts w:hint="eastAsia"/>
          <w:lang w:val="en-US" w:eastAsia="zh-CN"/>
        </w:rPr>
        <w:t>2</w:t>
      </w:r>
      <w:r>
        <w:rPr>
          <w:rFonts w:hint="eastAsia"/>
          <w:lang w:eastAsia="zh-CN"/>
        </w:rPr>
        <w:t>）</w:t>
      </w:r>
      <w:r>
        <w:t>土壤环境调查</w:t>
      </w:r>
    </w:p>
    <w:p>
      <w:pPr>
        <w:bidi w:val="0"/>
      </w:pPr>
      <w:r>
        <w:t>本工程道路沿线土壤类型简单，主要土壤类型为灰漠土和黄土状灌耕灰漠土。</w:t>
      </w:r>
    </w:p>
    <w:p>
      <w:pPr>
        <w:bidi w:val="0"/>
      </w:pPr>
      <w:r>
        <w:t>灰漠土是在干旱荒漠气候条件下，通过微弱的生物积累过程，粘化铁质化过程和微弱淋溶过程的共同作用下形成的。灰漠土其成土母质为典型的黄土状物质，冲积相沉积层理明显，质地偏粘，常为重壤和粘土夹层。</w:t>
      </w:r>
    </w:p>
    <w:p>
      <w:pPr>
        <w:bidi w:val="0"/>
      </w:pPr>
      <w:r>
        <w:t>剖面特征：地表具多角裂缝，表土为发育良好的荒漠结皮层，呈浅灰色干面包状，此层以下为淡灰色的片层结构，约2~5cm厚；第三层为粘化、铁质化过程形成的浅棕色紧密实层，粘粒含量稍高，腐殖质层不明显，有白色斑点或菌 丝状的碳酸钙沉积；在40cm以上，有石膏晶粒出现。</w:t>
      </w:r>
    </w:p>
    <w:p>
      <w:pPr>
        <w:bidi w:val="0"/>
      </w:pPr>
      <w:r>
        <w:rPr>
          <w:rFonts w:hint="eastAsia"/>
          <w:lang w:eastAsia="zh-CN"/>
        </w:rPr>
        <w:t>（</w:t>
      </w:r>
      <w:r>
        <w:rPr>
          <w:rFonts w:hint="eastAsia"/>
          <w:lang w:val="en-US" w:eastAsia="zh-CN"/>
        </w:rPr>
        <w:t>3</w:t>
      </w:r>
      <w:r>
        <w:rPr>
          <w:rFonts w:hint="eastAsia"/>
          <w:lang w:eastAsia="zh-CN"/>
        </w:rPr>
        <w:t>）</w:t>
      </w:r>
      <w:r>
        <w:t>植被环境调查</w:t>
      </w:r>
    </w:p>
    <w:p>
      <w:pPr>
        <w:bidi w:val="0"/>
      </w:pPr>
      <w:r>
        <w:t>本工程新、改扩建道路所在区域占地类型不同，现将各条道路所在区域占地类型及植被现状分述如下：拟建阿克苏路东延道路两侧土地利用性质为工业用地、农用地及未利用地，其中工业用地占30%</w:t>
      </w:r>
      <w:r>
        <w:rPr>
          <w:rFonts w:hint="eastAsia"/>
          <w:lang w:eastAsia="zh-CN"/>
        </w:rPr>
        <w:t>，</w:t>
      </w:r>
      <w:r>
        <w:t>农用地占50%</w:t>
      </w:r>
      <w:r>
        <w:rPr>
          <w:rFonts w:hint="eastAsia"/>
          <w:lang w:eastAsia="zh-CN"/>
        </w:rPr>
        <w:t>，</w:t>
      </w:r>
      <w:r>
        <w:t>未利用地占20%</w:t>
      </w:r>
      <w:r>
        <w:rPr>
          <w:rFonts w:hint="eastAsia"/>
          <w:lang w:eastAsia="zh-CN"/>
        </w:rPr>
        <w:t>，</w:t>
      </w:r>
      <w:r>
        <w:t>沿途分布有蔬菜大棚、一般农田、化工厂，一般农田主要种植棉花等农作物，未利用地主要生长荒漠植被，植被类型主要为梭梭、琵琶柴，植被覆盖度约为20%</w:t>
      </w:r>
      <w:r>
        <w:rPr>
          <w:rFonts w:hint="eastAsia"/>
          <w:lang w:eastAsia="zh-CN"/>
        </w:rPr>
        <w:t>；</w:t>
      </w:r>
      <w:r>
        <w:t>拟建南环路东延道路两侧土地利用性质为农用，一般农田主要种植棉花等农作物；拟建淮河路道路两侧土地利用性质均为未利用地，未利用地主要生长荒漠植被，植被类型主要为短叶假木贼，植被覆盖度约为15%</w:t>
      </w:r>
      <w:r>
        <w:rPr>
          <w:rFonts w:hint="eastAsia"/>
          <w:lang w:eastAsia="zh-CN"/>
        </w:rPr>
        <w:t>；</w:t>
      </w:r>
      <w:r>
        <w:t>改扩建东外环路现状道路路面为沥青混凝土，现状道路两侧土地利用性质为工业用地、未利用地，其中工业用地占30%</w:t>
      </w:r>
      <w:r>
        <w:rPr>
          <w:rFonts w:hint="eastAsia"/>
          <w:lang w:eastAsia="zh-CN"/>
        </w:rPr>
        <w:t>，</w:t>
      </w:r>
      <w:r>
        <w:t>未利用地占70%</w:t>
      </w:r>
      <w:r>
        <w:rPr>
          <w:rFonts w:hint="eastAsia"/>
          <w:lang w:eastAsia="zh-CN"/>
        </w:rPr>
        <w:t>，</w:t>
      </w:r>
      <w:r>
        <w:t>未利用地主要生长荒漠植被，植被类型主要为短叶假木贼，植被覆盖度约为10%</w:t>
      </w:r>
      <w:r>
        <w:rPr>
          <w:rFonts w:hint="eastAsia"/>
          <w:lang w:eastAsia="zh-CN"/>
        </w:rPr>
        <w:t>；</w:t>
      </w:r>
      <w:r>
        <w:t>改扩建米泉街现状道路路面混凝土路面，道路两侧土地利用性质均为工业用地；改扩建吐鲁番街现状道路路面混凝土路面，道路两侧土地利用性质均为工业用地。</w:t>
      </w:r>
    </w:p>
    <w:p>
      <w:pPr>
        <w:bidi w:val="0"/>
      </w:pPr>
      <w:r>
        <w:t>本次主要移除现有道路吐鲁番街、米泉街两侧树木，以及拟建的阿克苏路东延、南环路东延现状乡村道路两侧的树木，现有树木主要以榆树、杨树为主，无珍稀名贵树木。由于现有设计资料中未对移除树木数量及损坏绿化数量做出说明，且尚未划线，评价单位无法明确树木数量及现有绿化面积，经初步测算，移除树木量约500棵。</w:t>
      </w:r>
    </w:p>
    <w:p>
      <w:pPr>
        <w:bidi w:val="0"/>
      </w:pPr>
      <w:r>
        <w:rPr>
          <w:rFonts w:hint="eastAsia"/>
          <w:lang w:eastAsia="zh-CN"/>
        </w:rPr>
        <w:t>（</w:t>
      </w:r>
      <w:r>
        <w:rPr>
          <w:rFonts w:hint="eastAsia"/>
          <w:lang w:val="en-US" w:eastAsia="zh-CN"/>
        </w:rPr>
        <w:t>4</w:t>
      </w:r>
      <w:r>
        <w:rPr>
          <w:rFonts w:hint="eastAsia"/>
          <w:lang w:eastAsia="zh-CN"/>
        </w:rPr>
        <w:t>）</w:t>
      </w:r>
      <w:r>
        <w:t>野生动物环境调查</w:t>
      </w:r>
    </w:p>
    <w:p>
      <w:pPr>
        <w:bidi w:val="0"/>
      </w:pPr>
      <w:r>
        <w:t>奎屯境内从山区、平原到荒漠沙丘，过去有较丰富的野生动物资源，随着大面积开荒种植，改变了生态环境和食物链，使雪豹、黄羊、野猪等濒临绝迹。野生动物禽类有麻雀、鹰、猫头鹰、乌鸦、野鸭、灰鹤、黑颈鹤等；兽类有鼠、黄鼠狼、狐狸、</w:t>
      </w:r>
      <w:r>
        <w:rPr>
          <w:rFonts w:hint="eastAsia"/>
          <w:lang w:val="en-US" w:eastAsia="zh-CN"/>
        </w:rPr>
        <w:t>鹳</w:t>
      </w:r>
      <w:r>
        <w:t>、水獭等。家禽种类主要有：马、牛、羊、毛驴、猪、鸡、鹅等。</w:t>
      </w:r>
    </w:p>
    <w:p>
      <w:pPr>
        <w:bidi w:val="0"/>
      </w:pPr>
      <w:r>
        <w:t>本工程所在区域无珍稀濒危野生动物，无国家保护的野生珍稀动物。</w:t>
      </w:r>
    </w:p>
    <w:p>
      <w:pPr>
        <w:pStyle w:val="5"/>
        <w:bidi w:val="0"/>
        <w:outlineLvl w:val="0"/>
      </w:pPr>
      <w:bookmarkStart w:id="60" w:name="_Toc15174"/>
      <w:r>
        <w:t>3.4环境影响</w:t>
      </w:r>
      <w:r>
        <w:rPr>
          <w:rFonts w:hint="eastAsia"/>
          <w:lang w:val="en-US" w:eastAsia="zh-CN"/>
        </w:rPr>
        <w:t>分析与</w:t>
      </w:r>
      <w:r>
        <w:t>评价结论</w:t>
      </w:r>
      <w:bookmarkEnd w:id="60"/>
    </w:p>
    <w:p>
      <w:pPr>
        <w:pStyle w:val="6"/>
        <w:bidi w:val="0"/>
        <w:outlineLvl w:val="1"/>
      </w:pPr>
      <w:bookmarkStart w:id="61" w:name="_Toc28551"/>
      <w:r>
        <w:t>3.4.1施工期环境影响预测及评价结论</w:t>
      </w:r>
      <w:bookmarkEnd w:id="61"/>
    </w:p>
    <w:p>
      <w:pPr>
        <w:bidi w:val="0"/>
        <w:outlineLvl w:val="2"/>
      </w:pPr>
      <w:bookmarkStart w:id="62" w:name="_Toc31539"/>
      <w:r>
        <w:t>(1)声环境</w:t>
      </w:r>
      <w:bookmarkEnd w:id="62"/>
    </w:p>
    <w:p>
      <w:pPr>
        <w:bidi w:val="0"/>
      </w:pPr>
      <w:r>
        <w:t>①影响</w:t>
      </w:r>
    </w:p>
    <w:p>
      <w:pPr>
        <w:bidi w:val="0"/>
        <w:rPr>
          <w:rFonts w:hint="eastAsia"/>
          <w:lang w:val="en-US" w:eastAsia="zh-CN"/>
        </w:rPr>
      </w:pPr>
      <w:r>
        <w:t>根据对施工期的噪声影响预测分析可知，建设项目施工期各施工机械所产生的噪声在25m范围内多数设备单一运行时噪声在场界的贡献值超过《建筑施工场界环境噪声排放标准》(GB12523-2011)昼间70dB(A)夜间55dB(A)要求，施工期场界噪声昼间、夜间超标严重。距场界50m内敏感点昼间、夜间噪声均超标；距场界50m～100m敏感点昼间不超标，夜间大多超标；100m范围外敏感点受施工期噪声影响相对较小</w:t>
      </w:r>
      <w:r>
        <w:rPr>
          <w:rFonts w:hint="eastAsia"/>
          <w:lang w:eastAsia="zh-CN"/>
        </w:rPr>
        <w:t>。</w:t>
      </w:r>
    </w:p>
    <w:p>
      <w:pPr>
        <w:bidi w:val="0"/>
      </w:pPr>
      <w:r>
        <w:t>本工程22个敏感点中有7个敏感点距离建筑施工边界在20m范围内，昼间、夜间均受施工机械影响较大。为尽量减少施工噪声对其影响，要求夜间禁止高噪声设备施工</w:t>
      </w:r>
      <w:r>
        <w:rPr>
          <w:rFonts w:hint="eastAsia"/>
          <w:lang w:eastAsia="zh-CN"/>
        </w:rPr>
        <w:t>；</w:t>
      </w:r>
      <w:r>
        <w:t>采用低噪声设备；加强设备保养维护；设置施工区围栏；一定做好民众安抚工作。</w:t>
      </w:r>
    </w:p>
    <w:p>
      <w:pPr>
        <w:bidi w:val="0"/>
      </w:pPr>
      <w:r>
        <w:t>施工期相对运营期而言，其噪声影响是短期的暂时的，一旦施工活动结束，施工噪声影响也就随之结束。经采取相关环保措施后，工程施工期噪声对周围环境的影响较小。</w:t>
      </w:r>
    </w:p>
    <w:p>
      <w:pPr>
        <w:bidi w:val="0"/>
      </w:pPr>
      <w:r>
        <w:t>②减缓措施</w:t>
      </w:r>
    </w:p>
    <w:p>
      <w:pPr>
        <w:bidi w:val="0"/>
      </w:pPr>
      <w:r>
        <w:t>选用低噪声施工机械、设备和工艺，振动较大的固定机械设备应加装减振机座，同时加强各类施工设备的维护和保养，保持其良好的运转，以便从根本上降低噪声源强。</w:t>
      </w:r>
    </w:p>
    <w:p>
      <w:pPr>
        <w:bidi w:val="0"/>
      </w:pPr>
      <w:r>
        <w:t>高噪声设备尽量远离敏感点，高噪声设备尽量不同时施工。高噪声设备运行应避开居民休息的时间(早8:00之前，中午及夜间22:00之后)</w:t>
      </w:r>
      <w:r>
        <w:rPr>
          <w:rFonts w:hint="eastAsia"/>
          <w:lang w:eastAsia="zh-CN"/>
        </w:rPr>
        <w:t>，</w:t>
      </w:r>
      <w:r>
        <w:t>夜间确需施工的安排人工施工或低噪声设备施工。</w:t>
      </w:r>
    </w:p>
    <w:p>
      <w:pPr>
        <w:bidi w:val="0"/>
      </w:pPr>
      <w:r>
        <w:t>根据施工期噪声影响分析，本工程施工噪声影响主要集中在载重汽车的运输过程中。因此为减少对环境的影响，应合理安排运输车辆路线和时间。</w:t>
      </w:r>
    </w:p>
    <w:p>
      <w:pPr>
        <w:bidi w:val="0"/>
      </w:pPr>
      <w:r>
        <w:t>使用商品混凝土，不在施工场地内设置混凝土搅拌机。</w:t>
      </w:r>
    </w:p>
    <w:p>
      <w:pPr>
        <w:bidi w:val="0"/>
      </w:pPr>
      <w:r>
        <w:t>优化施工方案，合理安排工期，将建筑施工噪声危害降到最低程度，在施工工程招标时，将降低环境噪声污染的措施列为施工组织设计内容，并在签订合同中予以明确。</w:t>
      </w:r>
    </w:p>
    <w:p>
      <w:pPr>
        <w:bidi w:val="0"/>
      </w:pPr>
      <w:r>
        <w:t>施工机械操作人员及现场施工人员按劳动卫生标准控制工作时间，并由施工单位为施工人员配置个人防护措施，如带耳塞，头盔等。</w:t>
      </w:r>
    </w:p>
    <w:p>
      <w:pPr>
        <w:bidi w:val="0"/>
      </w:pPr>
      <w:r>
        <w:t>施工边界设置围栏。</w:t>
      </w:r>
    </w:p>
    <w:p>
      <w:pPr>
        <w:bidi w:val="0"/>
      </w:pPr>
      <w:r>
        <w:t>采取以上污染控制措施后，可将施工期噪声影响降至最低程度。</w:t>
      </w:r>
    </w:p>
    <w:p>
      <w:pPr>
        <w:bidi w:val="0"/>
        <w:outlineLvl w:val="2"/>
      </w:pPr>
      <w:bookmarkStart w:id="63" w:name="_Toc19922"/>
      <w:r>
        <w:t>(2)环境空气</w:t>
      </w:r>
      <w:bookmarkEnd w:id="63"/>
    </w:p>
    <w:p>
      <w:pPr>
        <w:bidi w:val="0"/>
      </w:pPr>
      <w:r>
        <w:t>①影响</w:t>
      </w:r>
    </w:p>
    <w:p>
      <w:pPr>
        <w:bidi w:val="0"/>
      </w:pPr>
      <w:r>
        <w:t>施工期大气环境主要是土石方作业中土方开挖及临时堆放、车辆运输等过程由于土壤扰动产生的扬尘。除此之外，车辆运输过程产生少量的汽车尾气，沥青铺装过程中产生少量的沥青烟气。</w:t>
      </w:r>
    </w:p>
    <w:p>
      <w:pPr>
        <w:bidi w:val="0"/>
      </w:pPr>
      <w:r>
        <w:t>扬尘包括施工作业扬尘、车辆运输及装卸扬尘、材料临时堆场扬尘，施工扬尘无风天气影响范围为50m</w:t>
      </w:r>
      <w:r>
        <w:rPr>
          <w:rFonts w:hint="eastAsia"/>
          <w:lang w:eastAsia="zh-CN"/>
        </w:rPr>
        <w:t>，</w:t>
      </w:r>
      <w:r>
        <w:t>大风天气的影响范围为400m</w:t>
      </w:r>
      <w:r>
        <w:rPr>
          <w:rFonts w:hint="eastAsia"/>
          <w:lang w:eastAsia="zh-CN"/>
        </w:rPr>
        <w:t>；</w:t>
      </w:r>
      <w:r>
        <w:t>车辆运输扬尘影响范围为20m</w:t>
      </w:r>
      <w:r>
        <w:rPr>
          <w:rFonts w:hint="eastAsia"/>
          <w:lang w:eastAsia="zh-CN"/>
        </w:rPr>
        <w:t>；</w:t>
      </w:r>
      <w:r>
        <w:t>材料堆场扬尘为下风向近距离范围。本工程22个敏感点距离道路红线在15m-95m范围内，部分敏感点受施工扬尘影响较大，要求建设单位采取一定措施控制施工扬尘产生。</w:t>
      </w:r>
    </w:p>
    <w:p>
      <w:pPr>
        <w:bidi w:val="0"/>
      </w:pPr>
      <w:r>
        <w:t>以燃油为动力的施工机械和运输车辆在施工场地附近排放一定量的废气，由</w:t>
      </w:r>
    </w:p>
    <w:p>
      <w:pPr>
        <w:bidi w:val="0"/>
      </w:pPr>
      <w:r>
        <w:t>于排放量较小，施工期汽车尾气排放对周围环境空气影响较小。</w:t>
      </w:r>
    </w:p>
    <w:p>
      <w:pPr>
        <w:bidi w:val="0"/>
      </w:pPr>
      <w:r>
        <w:t>沥青铺浇路面时所产生的烟气，其污染物影响距离一般在50m之内，但随着沥青温度的冷却，烟气将慢慢消失，随着大气逐渐稀释和扩散，对环境敏感点和周围环境空气质量影响较小。</w:t>
      </w:r>
    </w:p>
    <w:p>
      <w:pPr>
        <w:bidi w:val="0"/>
      </w:pPr>
      <w:r>
        <w:t>②减缓措施</w:t>
      </w:r>
    </w:p>
    <w:p>
      <w:pPr>
        <w:bidi w:val="0"/>
      </w:pPr>
      <w:r>
        <w:t>在工程施工过程中，主要是防止施工扬尘的污染。</w:t>
      </w:r>
    </w:p>
    <w:p>
      <w:pPr>
        <w:bidi w:val="0"/>
      </w:pPr>
      <w:r>
        <w:t>本工程各施工工地出入口必须设立环境保护监督牌。必须注明项目名称、建设单位、施工单位、防治扬尘污染现场监督员姓名和联系电话、项目工期、环保措施、举报电话等内容。</w:t>
      </w:r>
    </w:p>
    <w:p>
      <w:pPr>
        <w:bidi w:val="0"/>
      </w:pPr>
      <w:r>
        <w:t>道路施工工地周边百分百围挡。施工工地周边必须设置1.8米以上的硬质围墙或围挡，严禁敞开式作业。围挡地段应设置防溢座，围挡之间以及围挡与防溢座之间无缝隙。对围挡落尘应当定期进行清洗，保证施工工地周围环境整洁。</w:t>
      </w:r>
    </w:p>
    <w:p>
      <w:pPr>
        <w:bidi w:val="0"/>
      </w:pPr>
      <w:r>
        <w:t>施工物料堆放应百分百覆盖。施工工地内堆放易产生扬尘污染物料的，必须密闭存放或覆盖；工程主体施工阶段必须使用密目式安全网进行封闭。</w:t>
      </w:r>
    </w:p>
    <w:p>
      <w:pPr>
        <w:bidi w:val="0"/>
      </w:pPr>
      <w:r>
        <w:t>出入工地车辆应百分之百冲洗。施工工地现场出入口地面必须硬化处理并设置车辆冲洗台以及配套的排水、泥浆沉淀设施，冲洗设施到位；车辆在驶出工地前，应将车轮、车身冲洗干净，不得带泥上路。</w:t>
      </w:r>
    </w:p>
    <w:p>
      <w:pPr>
        <w:bidi w:val="0"/>
      </w:pPr>
      <w:r>
        <w:t>每条道路施工工程竣工后30日内，施工单位必须平整施工工地，并清除积土、堆物。</w:t>
      </w:r>
    </w:p>
    <w:p>
      <w:pPr>
        <w:bidi w:val="0"/>
      </w:pPr>
      <w:r>
        <w:t>出现五级以上大风天气时，禁止进行土方施工等易产生扬尘污染的施工作业。</w:t>
      </w:r>
    </w:p>
    <w:p>
      <w:pPr>
        <w:bidi w:val="0"/>
        <w:outlineLvl w:val="2"/>
      </w:pPr>
      <w:bookmarkStart w:id="64" w:name="_Toc26685"/>
      <w:r>
        <w:t>(3)固体废物</w:t>
      </w:r>
      <w:bookmarkEnd w:id="64"/>
    </w:p>
    <w:p>
      <w:pPr>
        <w:bidi w:val="0"/>
      </w:pPr>
      <w:r>
        <w:t>①影响</w:t>
      </w:r>
    </w:p>
    <w:p>
      <w:pPr>
        <w:bidi w:val="0"/>
      </w:pPr>
      <w:r>
        <w:t>施工期产生的固废主要废弃土石方，产生量约为12.88×10</w:t>
      </w:r>
      <w:r>
        <w:rPr>
          <w:rFonts w:hint="eastAsia"/>
          <w:vertAlign w:val="superscript"/>
          <w:lang w:val="en-US" w:eastAsia="zh-CN"/>
        </w:rPr>
        <w:t>4</w:t>
      </w:r>
      <w:r>
        <w:t>m</w:t>
      </w:r>
      <w:r>
        <w:rPr>
          <w:rFonts w:hint="eastAsia"/>
          <w:vertAlign w:val="superscript"/>
          <w:lang w:val="en-US" w:eastAsia="zh-CN"/>
        </w:rPr>
        <w:t>3</w:t>
      </w:r>
      <w:r>
        <w:t>。若不及时处理弃方不仅影响道路施工现场的整体景观而且在大风干燥天气时，会产生扬尘，造成污染。</w:t>
      </w:r>
    </w:p>
    <w:p>
      <w:pPr>
        <w:bidi w:val="0"/>
      </w:pPr>
      <w:r>
        <w:t>②减缓措施</w:t>
      </w:r>
    </w:p>
    <w:p>
      <w:pPr>
        <w:bidi w:val="0"/>
      </w:pPr>
      <w:r>
        <w:t>本工程不设置弃土场。施工期填方主要集中在路基换填、路基处理工序，所需填方应根据“自身消纳、就近利用”原则，优先利用工程自身产生的挖方和附近正在施工的市政道路多余挖方，由于道路施工对路面铺设的各层土、砾石等的要求较高，对不满足利用要求的挖方，即不足填方部分，考虑从附近商品砂石料场购买拉运，在保证路基质量的前提下落实原材料货源并降低运输成本、优化运输线路，避免从环保目标密集的城区穿越。整个工程对于确实不能就近利用的土石方，应由施工单位定期统一运至开发区周边的废弃采砂坑，用于土地修复和生态治理，工程区域内不设置永久弃土场、弃渣场。要求取、弃土指定临时堆场，严格控制堆放范围，严禁随意堆放，并做到及时清运。临时堆方要求用防尘网遮盖，设置挡土墙及截排水沟，临时堆方有专人看管，设置警告标示防止发生安全事故。</w:t>
      </w:r>
    </w:p>
    <w:p>
      <w:pPr>
        <w:bidi w:val="0"/>
        <w:outlineLvl w:val="2"/>
      </w:pPr>
      <w:bookmarkStart w:id="65" w:name="_Toc18585"/>
      <w:r>
        <w:t>(4)生态环境</w:t>
      </w:r>
      <w:bookmarkEnd w:id="65"/>
    </w:p>
    <w:p>
      <w:pPr>
        <w:bidi w:val="0"/>
      </w:pPr>
      <w:r>
        <w:t>①影响</w:t>
      </w:r>
    </w:p>
    <w:p>
      <w:pPr>
        <w:bidi w:val="0"/>
      </w:pPr>
      <w:r>
        <w:t>本工程新、改建共计六条道路，设计长度共计约为17.39km</w:t>
      </w:r>
      <w:r>
        <w:rPr>
          <w:rFonts w:hint="eastAsia"/>
          <w:lang w:eastAsia="zh-CN"/>
        </w:rPr>
        <w:t>，</w:t>
      </w:r>
      <w:r>
        <w:t>红线内占地面积共计约114.97hm²</w:t>
      </w:r>
      <w:r>
        <w:rPr>
          <w:rFonts w:hint="eastAsia"/>
          <w:lang w:eastAsia="zh-CN"/>
        </w:rPr>
        <w:t>，</w:t>
      </w:r>
      <w:r>
        <w:t>其中新增占地面积约为109.237hm²</w:t>
      </w:r>
      <w:r>
        <w:rPr>
          <w:rFonts w:hint="eastAsia"/>
          <w:lang w:eastAsia="zh-CN"/>
        </w:rPr>
        <w:t>，</w:t>
      </w:r>
      <w:r>
        <w:t>占地面积该部分土地属永久占地。本工程生态影响包括对植被的破坏、对周边动物的影响。</w:t>
      </w:r>
    </w:p>
    <w:p>
      <w:pPr>
        <w:bidi w:val="0"/>
      </w:pPr>
      <w:r>
        <w:t>②减缓措施</w:t>
      </w:r>
    </w:p>
    <w:p>
      <w:pPr>
        <w:bidi w:val="0"/>
      </w:pPr>
      <w:r>
        <w:t>划定施工范围，施工范围控制在60m范围内，施工严格按照施工范围进行。施工采用半幅施工形式，施工便道及通行便道不再另占土地。</w:t>
      </w:r>
    </w:p>
    <w:p>
      <w:pPr>
        <w:bidi w:val="0"/>
      </w:pPr>
      <w:r>
        <w:t>根据道路沿线具体情况，准确计算土石方需用量，从而准确购入砂石料数量，施工结束后，应立即做好临时堆料场的平整恢复工作；确定值班室、材料堆放场的位置、范围，并在施工中严格遵守，禁止随意扩大占地范围，项目结束后做好土地的平整及绿化恢复。</w:t>
      </w:r>
    </w:p>
    <w:p>
      <w:pPr>
        <w:bidi w:val="0"/>
      </w:pPr>
      <w:r>
        <w:t>现有树木应尽量用于道路绿化，无法使用的尽量进行移栽。</w:t>
      </w:r>
    </w:p>
    <w:p>
      <w:pPr>
        <w:bidi w:val="0"/>
      </w:pPr>
      <w:r>
        <w:t>对于含腐殖质土壤(30cm)</w:t>
      </w:r>
      <w:r>
        <w:rPr>
          <w:rFonts w:hint="eastAsia"/>
          <w:lang w:eastAsia="zh-CN"/>
        </w:rPr>
        <w:t>，</w:t>
      </w:r>
      <w:r>
        <w:t>分层剥离、分层堆放、分层回填，堆放期间覆盖防尘网，可用于道路绿化。</w:t>
      </w:r>
    </w:p>
    <w:p>
      <w:pPr>
        <w:bidi w:val="0"/>
      </w:pPr>
      <w:r>
        <w:t>避免使用过多不同类别的防眩板，防止造成凌乱感觉；避免在道路附近设置垃圾堆场，防止白色污染</w:t>
      </w:r>
      <w:r>
        <w:rPr>
          <w:rFonts w:hint="eastAsia"/>
          <w:lang w:val="en-US" w:eastAsia="zh-CN"/>
        </w:rPr>
        <w:t>进入</w:t>
      </w:r>
      <w:r>
        <w:t>视野。对施工场地的隔离围墙做适当装饰，通过喷绘广告、</w:t>
      </w:r>
      <w:r>
        <w:rPr>
          <w:rFonts w:hint="eastAsia"/>
          <w:lang w:val="en-US" w:eastAsia="zh-CN"/>
        </w:rPr>
        <w:t>宣</w:t>
      </w:r>
      <w:r>
        <w:t>传画</w:t>
      </w:r>
      <w:r>
        <w:rPr>
          <w:rFonts w:hint="eastAsia"/>
          <w:lang w:val="en-US" w:eastAsia="zh-CN"/>
        </w:rPr>
        <w:t>等</w:t>
      </w:r>
      <w:r>
        <w:t>形式淡化其简陋、粗糙感。</w:t>
      </w:r>
    </w:p>
    <w:p>
      <w:pPr>
        <w:bidi w:val="0"/>
        <w:outlineLvl w:val="2"/>
      </w:pPr>
      <w:bookmarkStart w:id="66" w:name="_Toc9570"/>
      <w:r>
        <w:t>(5)社会环境</w:t>
      </w:r>
      <w:bookmarkEnd w:id="66"/>
    </w:p>
    <w:p>
      <w:pPr>
        <w:bidi w:val="0"/>
      </w:pPr>
      <w:r>
        <w:t>在施工过程中施工单位应同公安交通管理部门加强联系，合理控制施工路段的交通流量和流向，切实做好交通疏导，并在所使用的运输通道交通高峰时间停止或减少车辆运输，以减少车辆拥挤度，降低噪声；为保证沿线群众日常生活以及沿线企业日常生产的正常进行，第一阶段，南北走向的道路先东半幅施工后西半幅施工，东西走向的道路先北半幅施工后南半幅施工，施工时利用闲置半幅作为施工及通行便道，满足沿线居民及单位的出行需求。第二阶段，道路另半幅施工。待第一阶段半幅道路施工完成并满足行车标准后，进行第二阶段施工。相关企业单位门口道路预留开口，供进出车辆通行。</w:t>
      </w:r>
    </w:p>
    <w:p>
      <w:pPr>
        <w:bidi w:val="0"/>
      </w:pPr>
      <w:r>
        <w:t>在道路上、下游路段设置提示牌，建议施工期间过境车辆选择绕行，减小施工期间交通组织难度。道路两侧单位建议通过其他出入口临时通行，必须通过施工沿线出入的，现场需做好保障措施，通过标志标牌及人工现场指挥，加强现场管制，保障施工安全。</w:t>
      </w:r>
    </w:p>
    <w:p>
      <w:pPr>
        <w:pStyle w:val="6"/>
        <w:bidi w:val="0"/>
        <w:outlineLvl w:val="1"/>
      </w:pPr>
      <w:bookmarkStart w:id="67" w:name="_Toc12124"/>
      <w:r>
        <w:fldChar w:fldCharType="begin"/>
      </w:r>
      <w:r>
        <w:instrText xml:space="preserve"> HYPERLINK "10.1.4.2" </w:instrText>
      </w:r>
      <w:r>
        <w:fldChar w:fldCharType="separate"/>
      </w:r>
      <w:r>
        <w:rPr>
          <w:rFonts w:hint="eastAsia"/>
          <w:lang w:val="en-US" w:eastAsia="zh-CN"/>
        </w:rPr>
        <w:t>3</w:t>
      </w:r>
      <w:r>
        <w:t>.4.2</w:t>
      </w:r>
      <w:r>
        <w:fldChar w:fldCharType="end"/>
      </w:r>
      <w:r>
        <w:t>运营期</w:t>
      </w:r>
      <w:bookmarkEnd w:id="67"/>
    </w:p>
    <w:p>
      <w:pPr>
        <w:bidi w:val="0"/>
        <w:outlineLvl w:val="2"/>
      </w:pPr>
      <w:bookmarkStart w:id="68" w:name="_Toc8858"/>
      <w:r>
        <w:t>(1)声环境</w:t>
      </w:r>
      <w:bookmarkEnd w:id="68"/>
    </w:p>
    <w:p>
      <w:pPr>
        <w:bidi w:val="0"/>
      </w:pPr>
      <w:r>
        <w:t>①影响</w:t>
      </w:r>
    </w:p>
    <w:p>
      <w:pPr>
        <w:bidi w:val="0"/>
      </w:pPr>
      <w:r>
        <w:t>本评价噪声影响评价参照《公路建设项目环境影响评价规范》(JTGB03-2006)进行，参照有关噪声模型和算法对工程建成后的近期2018年、中期2025年、远期2033年交通噪声分昼间、夜间分别进行了预测并绘制了等声值线分布图。</w:t>
      </w:r>
    </w:p>
    <w:p>
      <w:pPr>
        <w:bidi w:val="0"/>
      </w:pPr>
      <w:r>
        <w:t>经预测：各条道路边界线30m范围内，近期、中期、远期昼、夜间道路噪声贡献值均满足4a类区[昼间70dB(A)</w:t>
      </w:r>
      <w:r>
        <w:rPr>
          <w:rFonts w:hint="eastAsia"/>
          <w:lang w:eastAsia="zh-CN"/>
        </w:rPr>
        <w:t>，</w:t>
      </w:r>
      <w:r>
        <w:t>夜间55dB(A)]的要求；道路边界线30m范围外，近期、中期、远期昼间、夜间道路噪声贡献值均满足3类区[昼间65dB(A)</w:t>
      </w:r>
      <w:r>
        <w:rPr>
          <w:rFonts w:hint="eastAsia"/>
          <w:lang w:eastAsia="zh-CN"/>
        </w:rPr>
        <w:t>，</w:t>
      </w:r>
      <w:r>
        <w:t>夜间55dB(A)]的要求。</w:t>
      </w:r>
    </w:p>
    <w:p>
      <w:pPr>
        <w:bidi w:val="0"/>
      </w:pPr>
      <w:r>
        <w:t>在叠加背景值后各声环境敏感目标分别满足《声环境功能区划分规范》(GB/T15190-2014)中3类、4a类标准限值。</w:t>
      </w:r>
    </w:p>
    <w:p>
      <w:pPr>
        <w:bidi w:val="0"/>
      </w:pPr>
      <w:r>
        <w:t>因此，本工程建成后对区域声环境的影响在可接受范围内。</w:t>
      </w:r>
    </w:p>
    <w:p>
      <w:pPr>
        <w:bidi w:val="0"/>
      </w:pPr>
      <w:r>
        <w:t>②保护措施</w:t>
      </w:r>
    </w:p>
    <w:p>
      <w:pPr>
        <w:bidi w:val="0"/>
      </w:pPr>
      <w:r>
        <w:t>为了把本工程建设带来的噪声影响降低到最低限度，做到在改善市内交通状况的同时不会同步引起交通噪声增高的目的，必须在运营期实施的减轻噪声污染的具体措施为：要求建设单位加快自身绿化带建设，绿化带应乔、灌、草结合，高、中、低密植，杜绝单一乔木或草本种植造成的噪声遮挡效果较差情况；建议采用减噪路面，根据相关资料，铺设这种减噪路面可以使单车的噪声级降低2~ 5dB(A)</w:t>
      </w:r>
      <w:r>
        <w:rPr>
          <w:rFonts w:hint="eastAsia"/>
          <w:lang w:eastAsia="zh-CN"/>
        </w:rPr>
        <w:t>；</w:t>
      </w:r>
      <w:r>
        <w:t>道路井盖安装平整减震减噪垫；定期保养、维修隔声设施，路政部门应做好对路面的维修保养，对受损路面及时修复；敏感建筑临路建筑安装通风隔声窗；道路两侧不允许新建敏感点，诸如医院、学校、居住区等。若建设，要求敏感点后退道路边界线200m。</w:t>
      </w:r>
    </w:p>
    <w:p>
      <w:pPr>
        <w:bidi w:val="0"/>
      </w:pPr>
      <w:r>
        <w:t>在采取以上措施后，道路噪声对周边环境影响可以得到最大控制。</w:t>
      </w:r>
    </w:p>
    <w:p>
      <w:pPr>
        <w:bidi w:val="0"/>
        <w:outlineLvl w:val="2"/>
      </w:pPr>
      <w:bookmarkStart w:id="69" w:name="_Toc32460"/>
      <w:r>
        <w:t>(2)环境空气</w:t>
      </w:r>
      <w:bookmarkEnd w:id="69"/>
    </w:p>
    <w:p>
      <w:pPr>
        <w:bidi w:val="0"/>
      </w:pPr>
      <w:r>
        <w:t>本评价对道路建成后2018年、2025年、2033年汽车尾气中NO₂、CO废气浓度分典型小时气象、典型日气象条件分别进行了预测。</w:t>
      </w:r>
    </w:p>
    <w:p>
      <w:pPr>
        <w:bidi w:val="0"/>
      </w:pPr>
      <w:r>
        <w:t>预测结果表明：预测结果表明：NO₂和CO的小时值、日均值最大浓度值在道路运营近、中、远期均可达到《环境空气质量标准》中二级标准限值的要求。同时，评价选取主要环境敏感目标进行了汽车尾气中NO₂、CO废气浓度的预测，预测结果表明，汽车排放的NO₂、CO对环境敏感点的影响预测值均可达到《环境空气质量标准》二级标准要求。</w:t>
      </w:r>
    </w:p>
    <w:p>
      <w:pPr>
        <w:bidi w:val="0"/>
        <w:outlineLvl w:val="2"/>
      </w:pPr>
      <w:bookmarkStart w:id="70" w:name="_Toc19487"/>
      <w:r>
        <w:t>(3)固体废物</w:t>
      </w:r>
      <w:bookmarkEnd w:id="70"/>
    </w:p>
    <w:p>
      <w:pPr>
        <w:bidi w:val="0"/>
      </w:pPr>
      <w:r>
        <w:t>运营期固体废弃物的主要影响是在道路养护过程中产生的废渣及行人产生的生活垃圾。道路养护废渣主要为沥青废渣，这些废渣在公路建成的前几年没有影响，只有在道路维修过程中才产生，对于废渣首先对上层沥青渣考虑综合利用，对于无利用价值的废渣运往建筑垃圾填埋场填埋处理。弃方建议拉运至环保主管部门指定的地点处理；生活垃圾由环卫部门每日清理</w:t>
      </w:r>
      <w:r>
        <w:rPr>
          <w:rFonts w:hint="eastAsia"/>
          <w:lang w:val="en-US" w:eastAsia="zh-CN"/>
        </w:rPr>
        <w:t>外送</w:t>
      </w:r>
      <w:r>
        <w:t>至生活垃圾填埋场填埋处理。在采取以上措施后，固废对环境影响较小。</w:t>
      </w:r>
    </w:p>
    <w:p>
      <w:pPr>
        <w:bidi w:val="0"/>
        <w:outlineLvl w:val="2"/>
      </w:pPr>
      <w:bookmarkStart w:id="71" w:name="_Toc29534"/>
      <w:r>
        <w:t>(4)生态和景观</w:t>
      </w:r>
      <w:bookmarkEnd w:id="71"/>
    </w:p>
    <w:p>
      <w:pPr>
        <w:bidi w:val="0"/>
      </w:pPr>
      <w:r>
        <w:t>本工程各条道路均设计有不同宽度的绿化带，其中阿克苏路东延长道路中部善街～哈密街段绿化带宽度为12m</w:t>
      </w:r>
      <w:r>
        <w:rPr>
          <w:rFonts w:hint="eastAsia"/>
          <w:lang w:eastAsia="zh-CN"/>
        </w:rPr>
        <w:t>，</w:t>
      </w:r>
      <w:r>
        <w:t>哈密街～长江路段绿化带宽度为14m</w:t>
      </w:r>
      <w:r>
        <w:rPr>
          <w:rFonts w:hint="eastAsia"/>
          <w:lang w:eastAsia="zh-CN"/>
        </w:rPr>
        <w:t>，</w:t>
      </w:r>
      <w:r>
        <w:t>绿化面积约为37.18hm²</w:t>
      </w:r>
      <w:r>
        <w:rPr>
          <w:rFonts w:hint="eastAsia"/>
          <w:lang w:eastAsia="zh-CN"/>
        </w:rPr>
        <w:t>；</w:t>
      </w:r>
      <w:r>
        <w:t>南环路东延绿化带宽度为15m</w:t>
      </w:r>
      <w:r>
        <w:rPr>
          <w:rFonts w:hint="eastAsia"/>
          <w:lang w:eastAsia="zh-CN"/>
        </w:rPr>
        <w:t>，</w:t>
      </w:r>
      <w:r>
        <w:t>绿化面积约为4.70hm²</w:t>
      </w:r>
      <w:r>
        <w:rPr>
          <w:rFonts w:hint="eastAsia"/>
          <w:lang w:eastAsia="zh-CN"/>
        </w:rPr>
        <w:t>；</w:t>
      </w:r>
      <w:r>
        <w:t>淮河路绿湖带宽度为12m</w:t>
      </w:r>
      <w:r>
        <w:rPr>
          <w:rFonts w:hint="eastAsia"/>
          <w:lang w:eastAsia="zh-CN"/>
        </w:rPr>
        <w:t>，</w:t>
      </w:r>
      <w:r>
        <w:t>绿化面积约为1.50hm²</w:t>
      </w:r>
      <w:r>
        <w:rPr>
          <w:rFonts w:hint="eastAsia"/>
          <w:lang w:eastAsia="zh-CN"/>
        </w:rPr>
        <w:t>；</w:t>
      </w:r>
      <w:r>
        <w:t>东外环路绿化带宽度为78m</w:t>
      </w:r>
      <w:r>
        <w:rPr>
          <w:rFonts w:hint="eastAsia"/>
          <w:lang w:eastAsia="zh-CN"/>
        </w:rPr>
        <w:t>，</w:t>
      </w:r>
      <w:r>
        <w:t>绿化面积约为21.76hm²</w:t>
      </w:r>
      <w:r>
        <w:rPr>
          <w:rFonts w:hint="eastAsia"/>
          <w:lang w:eastAsia="zh-CN"/>
        </w:rPr>
        <w:t>；</w:t>
      </w:r>
      <w:r>
        <w:t>米泉街绿化带宽度为20m</w:t>
      </w:r>
      <w:r>
        <w:rPr>
          <w:rFonts w:hint="eastAsia"/>
          <w:lang w:eastAsia="zh-CN"/>
        </w:rPr>
        <w:t>，</w:t>
      </w:r>
      <w:r>
        <w:t>绿化面积约为3.0hm²</w:t>
      </w:r>
      <w:r>
        <w:rPr>
          <w:rFonts w:hint="eastAsia"/>
          <w:lang w:eastAsia="zh-CN"/>
        </w:rPr>
        <w:t>；</w:t>
      </w:r>
      <w:r>
        <w:t>吐鲁番街绿化带宽度为12m</w:t>
      </w:r>
      <w:r>
        <w:rPr>
          <w:rFonts w:hint="eastAsia"/>
          <w:lang w:eastAsia="zh-CN"/>
        </w:rPr>
        <w:t>，</w:t>
      </w:r>
      <w:r>
        <w:t>绿化面积约为1.89hm²。运营期随着绿化带的建成，临时占用场地的植被恢复，可改善道路沿线的生态现状、美化环境，同时具有降低噪声、防止污染、美化生活的作用。</w:t>
      </w:r>
    </w:p>
    <w:p>
      <w:pPr>
        <w:bidi w:val="0"/>
      </w:pPr>
      <w:r>
        <w:t>本工程建成后，将形成干净整洁的双向4车道+绿化带。沥青混凝土路面将改变现有土路面带来的粉尘污染及降尘影响；乔灌草结合绿化带将改变目前恶劣景观，形成整洁、卫生、生机盎然、色彩斑斓的城市景观，景观状况得到较大改善。</w:t>
      </w:r>
    </w:p>
    <w:p>
      <w:pPr>
        <w:pStyle w:val="5"/>
        <w:bidi w:val="0"/>
        <w:outlineLvl w:val="0"/>
      </w:pPr>
      <w:bookmarkStart w:id="72" w:name="_Toc28972"/>
      <w:r>
        <w:rPr>
          <w:rFonts w:hint="eastAsia"/>
          <w:lang w:val="en-US" w:eastAsia="zh-CN"/>
        </w:rPr>
        <w:t>3.5</w:t>
      </w:r>
      <w:r>
        <w:t>综合评价结论</w:t>
      </w:r>
      <w:bookmarkEnd w:id="72"/>
    </w:p>
    <w:p>
      <w:pPr>
        <w:bidi w:val="0"/>
      </w:pPr>
      <w:r>
        <w:t>综上所述，本工程符合《奎屯—独山子经济技术开发区总体规划》(2016</w:t>
      </w:r>
      <w:r>
        <w:rPr>
          <w:rFonts w:hint="eastAsia"/>
          <w:lang w:val="en-US" w:eastAsia="zh-CN"/>
        </w:rPr>
        <w:t>-</w:t>
      </w:r>
      <w:r>
        <w:t>2030年)</w:t>
      </w:r>
      <w:r>
        <w:rPr>
          <w:rFonts w:hint="eastAsia"/>
          <w:lang w:eastAsia="zh-CN"/>
        </w:rPr>
        <w:t>，</w:t>
      </w:r>
      <w:r>
        <w:t>工程的建设具有较明显的社会效益。各项环境污染因素，在采取相应</w:t>
      </w:r>
      <w:r>
        <w:rPr>
          <w:rFonts w:hint="eastAsia"/>
          <w:lang w:val="en-US" w:eastAsia="zh-CN"/>
        </w:rPr>
        <w:t>，</w:t>
      </w:r>
      <w:r>
        <w:t>的治理措施后，可满足相应的国家排放标准。只要在本工程的建设中认真执行环保</w:t>
      </w:r>
      <w:r>
        <w:rPr>
          <w:rFonts w:hint="eastAsia" w:ascii="宋体" w:hAnsi="宋体" w:eastAsia="宋体" w:cs="宋体"/>
        </w:rPr>
        <w:t>“三同时”</w:t>
      </w:r>
      <w:r>
        <w:rPr>
          <w:rFonts w:hint="eastAsia" w:ascii="宋体" w:hAnsi="宋体" w:eastAsia="宋体" w:cs="宋体"/>
          <w:lang w:eastAsia="zh-CN"/>
        </w:rPr>
        <w:t>，</w:t>
      </w:r>
      <w:r>
        <w:rPr>
          <w:rFonts w:hint="eastAsia" w:ascii="宋体" w:hAnsi="宋体" w:eastAsia="宋体" w:cs="宋体"/>
        </w:rPr>
        <w:t>具体落实本</w:t>
      </w:r>
      <w:r>
        <w:t>报告中提出的各污染防治措施，从环保角度而言，工程建设是可行的。</w:t>
      </w:r>
    </w:p>
    <w:p>
      <w:pPr>
        <w:pStyle w:val="6"/>
        <w:bidi w:val="0"/>
        <w:outlineLvl w:val="1"/>
      </w:pPr>
      <w:bookmarkStart w:id="73" w:name="_Toc31117"/>
      <w:r>
        <w:rPr>
          <w:rFonts w:hint="eastAsia"/>
          <w:lang w:val="en-US" w:eastAsia="zh-CN"/>
        </w:rPr>
        <w:t>3.5.1</w:t>
      </w:r>
      <w:r>
        <w:t>建议</w:t>
      </w:r>
      <w:bookmarkEnd w:id="73"/>
    </w:p>
    <w:p>
      <w:pPr>
        <w:bidi w:val="0"/>
      </w:pPr>
      <w:r>
        <w:t>(1)建议施工组织单位成立以项目经理为负责人的环境管理机构，负责施工期环境保护方案的制定和实施，通过招标形式委托环境监理机构对施工期环境保护工作实施监督管理。</w:t>
      </w:r>
    </w:p>
    <w:p>
      <w:pPr>
        <w:bidi w:val="0"/>
      </w:pPr>
      <w:r>
        <w:t>(2)提高环境意识，加强环境管理。对交通管理人员、施工人员加强环保宣传教育，不断提高环境意识；建立健全环保机构和各项规章制度，保证各项环保政策和措施的落实，保护沿线环境。</w:t>
      </w:r>
    </w:p>
    <w:p>
      <w:pPr>
        <w:bidi w:val="0"/>
      </w:pPr>
      <w:r>
        <w:t>(3)建设单位应积极配合环保主管部门做好工程施工期和运营期的环境监测工作，以便及时发现并解决问题。</w:t>
      </w:r>
    </w:p>
    <w:p>
      <w:pPr>
        <w:bidi w:val="0"/>
      </w:pPr>
      <w:r>
        <w:t>(4)本工程的建设应严格按照设计进行，统一规划，禁止建设过程中随意改动设计。统筹考虑配套管廊的施工。</w:t>
      </w:r>
    </w:p>
    <w:p>
      <w:pPr>
        <w:pStyle w:val="5"/>
        <w:bidi w:val="0"/>
        <w:outlineLvl w:val="0"/>
      </w:pPr>
      <w:bookmarkStart w:id="74" w:name="_Toc1467"/>
      <w:r>
        <w:t>3.6环境影响报告书批复</w:t>
      </w:r>
      <w:bookmarkEnd w:id="74"/>
    </w:p>
    <w:p>
      <w:pPr>
        <w:bidi w:val="0"/>
        <w:ind w:left="0" w:leftChars="0" w:firstLine="0" w:firstLineChars="0"/>
        <w:rPr>
          <w:rFonts w:hint="eastAsia" w:eastAsia="宋体"/>
          <w:lang w:eastAsia="zh-CN"/>
        </w:rPr>
      </w:pPr>
      <w:r>
        <w:rPr>
          <w:rFonts w:hint="eastAsia"/>
        </w:rPr>
        <w:t>新疆润盛投资发展有限公司</w:t>
      </w:r>
      <w:r>
        <w:rPr>
          <w:rFonts w:hint="eastAsia"/>
          <w:lang w:eastAsia="zh-CN"/>
        </w:rPr>
        <w:t>：</w:t>
      </w:r>
    </w:p>
    <w:p>
      <w:pPr>
        <w:bidi w:val="0"/>
        <w:rPr>
          <w:rFonts w:hint="eastAsia" w:eastAsia="宋体"/>
          <w:lang w:eastAsia="zh-CN"/>
        </w:rPr>
      </w:pPr>
      <w:r>
        <w:rPr>
          <w:rFonts w:hint="eastAsia"/>
        </w:rPr>
        <w:t>你公司报批的《</w:t>
      </w:r>
      <w:r>
        <w:rPr>
          <w:rFonts w:hint="eastAsia"/>
          <w:lang w:eastAsia="zh-CN"/>
        </w:rPr>
        <w:t>开发区2017年基础设施建设项目配套道路及附属工程</w:t>
      </w:r>
      <w:r>
        <w:rPr>
          <w:rFonts w:hint="eastAsia"/>
        </w:rPr>
        <w:t>环境影响报告书》(以下简称《报告书》)，以及项目环评审批的申请报告收悉。经研究，批复如下</w:t>
      </w:r>
      <w:r>
        <w:rPr>
          <w:rFonts w:hint="eastAsia"/>
          <w:lang w:eastAsia="zh-CN"/>
        </w:rPr>
        <w:t>：</w:t>
      </w:r>
    </w:p>
    <w:p>
      <w:pPr>
        <w:bidi w:val="0"/>
        <w:rPr>
          <w:rFonts w:hint="eastAsia"/>
          <w:lang w:val="en-US" w:eastAsia="en-US"/>
        </w:rPr>
      </w:pPr>
      <w:r>
        <w:rPr>
          <w:rFonts w:hint="eastAsia"/>
          <w:lang w:val="en-US" w:eastAsia="zh-CN"/>
        </w:rPr>
        <w:t>一、开发区2017年基础设施建设项目配套道路及附属工程</w:t>
      </w:r>
      <w:r>
        <w:rPr>
          <w:rFonts w:hint="eastAsia"/>
          <w:lang w:val="en-US" w:eastAsia="en-US"/>
        </w:rPr>
        <w:t>，位于奎屯-独山子经济技术开发区。本项目建设道路总长度17.39km，属道路新建、改扩建项目</w:t>
      </w:r>
      <w:r>
        <w:rPr>
          <w:rFonts w:hint="eastAsia"/>
          <w:lang w:val="en-US" w:eastAsia="zh-CN"/>
        </w:rPr>
        <w:t>，</w:t>
      </w:r>
      <w:r>
        <w:rPr>
          <w:rFonts w:hint="eastAsia"/>
          <w:lang w:val="en-US" w:eastAsia="en-US"/>
        </w:rPr>
        <w:t>其中新建、改扩建道路各3条。各条道路位置分述如下</w:t>
      </w:r>
      <w:r>
        <w:rPr>
          <w:rFonts w:hint="eastAsia"/>
          <w:lang w:val="en-US" w:eastAsia="zh-CN"/>
        </w:rPr>
        <w:t>：</w:t>
      </w:r>
      <w:r>
        <w:rPr>
          <w:rFonts w:hint="eastAsia"/>
          <w:lang w:val="en-US" w:eastAsia="en-US"/>
        </w:rPr>
        <w:t>(1)阿克苏路东延起点与鄯善街相交，终点接长江路，道路全长7225.06m</w:t>
      </w:r>
      <w:r>
        <w:rPr>
          <w:rFonts w:hint="eastAsia"/>
          <w:lang w:val="en-US" w:eastAsia="zh-CN"/>
        </w:rPr>
        <w:t>；</w:t>
      </w:r>
      <w:r>
        <w:rPr>
          <w:rFonts w:hint="eastAsia"/>
          <w:lang w:val="en-US" w:eastAsia="en-US"/>
        </w:rPr>
        <w:t>(2)南环路东延起点为黄河路，终点为长江路，道路</w:t>
      </w:r>
      <w:r>
        <w:rPr>
          <w:rFonts w:hint="default"/>
        </w:rPr>
        <w:t>全长3127.66m</w:t>
      </w:r>
      <w:r>
        <w:rPr>
          <w:rFonts w:hint="eastAsia"/>
          <w:lang w:eastAsia="zh-CN"/>
        </w:rPr>
        <w:t>；</w:t>
      </w:r>
      <w:r>
        <w:rPr>
          <w:rFonts w:hint="default"/>
        </w:rPr>
        <w:t>(3)淮河路起点为217国道，终点为福盛路交汇点，道路全长1248.78m</w:t>
      </w:r>
      <w:r>
        <w:rPr>
          <w:rFonts w:hint="eastAsia"/>
          <w:lang w:eastAsia="zh-CN"/>
        </w:rPr>
        <w:t>；</w:t>
      </w:r>
      <w:r>
        <w:rPr>
          <w:rFonts w:hint="default"/>
        </w:rPr>
        <w:t>(4)东外环路起点为东外环路与贵阳路交叉路口，终点为与S115线交叉路口，道路全长2720.509m</w:t>
      </w:r>
      <w:r>
        <w:rPr>
          <w:rFonts w:hint="eastAsia"/>
          <w:lang w:eastAsia="zh-CN"/>
        </w:rPr>
        <w:t>；</w:t>
      </w:r>
      <w:r>
        <w:rPr>
          <w:rFonts w:hint="default"/>
        </w:rPr>
        <w:t>(5)米泉街起点为南环路南侧拟建厂区门口，道路终点为阿克苏路与米泉街交汇点，道路全长1499.722m</w:t>
      </w:r>
      <w:r>
        <w:rPr>
          <w:rFonts w:hint="eastAsia"/>
          <w:lang w:eastAsia="zh-CN"/>
        </w:rPr>
        <w:t>；</w:t>
      </w:r>
      <w:r>
        <w:rPr>
          <w:rFonts w:hint="default"/>
        </w:rPr>
        <w:t>(6)吐鲁番街起点为南环路与吐鲁番街交汇点，终点为库尔勒路与吐鲁番街交汇点，道路全长1572.724m。</w:t>
      </w:r>
      <w:r>
        <w:rPr>
          <w:rFonts w:hint="eastAsia"/>
          <w:lang w:val="en-US" w:eastAsia="en-US"/>
        </w:rPr>
        <w:t>项目总投资23300万元其中环保投资2349万元，占总投资的10.08%。</w:t>
      </w:r>
    </w:p>
    <w:p>
      <w:pPr>
        <w:bidi w:val="0"/>
        <w:rPr>
          <w:rFonts w:hint="eastAsia" w:eastAsia="宋体"/>
          <w:lang w:eastAsia="zh-CN"/>
        </w:rPr>
      </w:pPr>
      <w:r>
        <w:rPr>
          <w:rFonts w:hint="eastAsia"/>
        </w:rPr>
        <w:t>二、严格执行《报告书》所列工程建设要求，必须按规范配套建设相应的污染防治设施，确保工程施工期和运营期各类污染物达标排放。应重点做好以下工作</w:t>
      </w:r>
      <w:r>
        <w:rPr>
          <w:rFonts w:hint="eastAsia"/>
          <w:lang w:eastAsia="zh-CN"/>
        </w:rPr>
        <w:t>：</w:t>
      </w:r>
    </w:p>
    <w:p>
      <w:pPr>
        <w:bidi w:val="0"/>
      </w:pPr>
      <w:r>
        <w:rPr>
          <w:rFonts w:hint="eastAsia"/>
        </w:rPr>
        <w:t>(一)生态环境保护。施工期严格控制临时用地范围，在许可范围内施工，施工结束后首先恢复施工迹地</w:t>
      </w:r>
      <w:r>
        <w:rPr>
          <w:rFonts w:hint="eastAsia"/>
          <w:lang w:eastAsia="zh-CN"/>
        </w:rPr>
        <w:t>；</w:t>
      </w:r>
      <w:r>
        <w:rPr>
          <w:rFonts w:hint="eastAsia"/>
        </w:rPr>
        <w:t>施工期取弃土场的点位不得随意变动，施工期做到取弃土场的日常恢复和施工期完毕后的集中整治，减轻对生态环境的影响。工程结束后要对施工迹地进行全面恢复和清理，临时用地应恢复原状。</w:t>
      </w:r>
    </w:p>
    <w:p>
      <w:pPr>
        <w:bidi w:val="0"/>
        <w:rPr>
          <w:rFonts w:hint="eastAsia"/>
        </w:rPr>
      </w:pPr>
      <w:r>
        <w:t>(二)</w:t>
      </w:r>
      <w:r>
        <w:rPr>
          <w:rFonts w:hint="eastAsia"/>
        </w:rPr>
        <w:t>噪声污染防治。合理安排施工时间，加强施工期噪声控制，涉及到居民区声环境影响的区段，禁止夜间施工，防止噪声扰民，确保施工噪声满足《建筑施工场界环境噪声排放标准》(GB12523-2011)。</w:t>
      </w:r>
    </w:p>
    <w:p>
      <w:pPr>
        <w:bidi w:val="0"/>
        <w:rPr>
          <w:rFonts w:hint="eastAsia"/>
        </w:rPr>
      </w:pPr>
      <w:r>
        <w:rPr>
          <w:rFonts w:hint="eastAsia"/>
        </w:rPr>
        <w:t>(三)扬尘污染防治。采取防风、洒水等措施，按要求封闭施工作业，全封闭运输</w:t>
      </w:r>
      <w:r>
        <w:rPr>
          <w:rFonts w:hint="eastAsia"/>
          <w:lang w:eastAsia="zh-CN"/>
        </w:rPr>
        <w:t>；</w:t>
      </w:r>
      <w:r>
        <w:rPr>
          <w:rFonts w:hint="eastAsia"/>
        </w:rPr>
        <w:t>施工现场扬尘的无组织排放须满足《大气污染物综合排放标准》(GB16297-1996)二级要求。</w:t>
      </w:r>
    </w:p>
    <w:p>
      <w:pPr>
        <w:bidi w:val="0"/>
        <w:rPr>
          <w:rFonts w:hint="eastAsia"/>
        </w:rPr>
      </w:pPr>
      <w:r>
        <w:rPr>
          <w:rFonts w:hint="eastAsia"/>
        </w:rPr>
        <w:t>(四)施工人员的生活垃圾按市政的有关规定集中收集清运，不得乱丢;施工营地应就近安排在有上下水条件的地方，解决好施工期生活废水的妥善处置。</w:t>
      </w:r>
    </w:p>
    <w:p>
      <w:pPr>
        <w:bidi w:val="0"/>
        <w:rPr>
          <w:rFonts w:hint="eastAsia"/>
        </w:rPr>
      </w:pPr>
      <w:r>
        <w:rPr>
          <w:rFonts w:hint="eastAsia"/>
        </w:rPr>
        <w:t>(五)施工和运营期建立畅通的公众参与平台，及时解决公众提出的环境问题，满足公众合理的环保要求，并主动接受社会监督。</w:t>
      </w:r>
    </w:p>
    <w:p>
      <w:pPr>
        <w:bidi w:val="0"/>
        <w:rPr>
          <w:rFonts w:hint="eastAsia"/>
        </w:rPr>
      </w:pPr>
      <w:r>
        <w:rPr>
          <w:rFonts w:hint="eastAsia"/>
        </w:rPr>
        <w:t>(六)开展工程施工期的环境监理，妥善解决好施工期环境影响问题。</w:t>
      </w:r>
    </w:p>
    <w:p>
      <w:pPr>
        <w:bidi w:val="0"/>
        <w:rPr>
          <w:rFonts w:hint="eastAsia"/>
        </w:rPr>
      </w:pPr>
      <w:r>
        <w:rPr>
          <w:rFonts w:hint="eastAsia"/>
        </w:rPr>
        <w:t>(七)现有树木应尽量用于道路绿化</w:t>
      </w:r>
      <w:r>
        <w:rPr>
          <w:rFonts w:hint="eastAsia"/>
          <w:lang w:eastAsia="zh-CN"/>
        </w:rPr>
        <w:t>；</w:t>
      </w:r>
      <w:r>
        <w:rPr>
          <w:rFonts w:hint="eastAsia"/>
        </w:rPr>
        <w:t>工程结束后，尽快进行道路两侧绿化。项目建设方应在施工设计期编制工程水土保持方案。</w:t>
      </w:r>
    </w:p>
    <w:p>
      <w:pPr>
        <w:bidi w:val="0"/>
      </w:pPr>
      <w:r>
        <w:rPr>
          <w:rFonts w:hint="eastAsia"/>
        </w:rPr>
        <w:t>三、项目建设必须执行配套建设的环境保护设施与主体工程同时设计、同时施工、同时投入使用的环境保护“三同时”制度。项目竣工后，你单位须按规定程序向环保部门申请项目竣工环境保护验收，经验收合格后，方可投入运营。</w:t>
      </w:r>
    </w:p>
    <w:p>
      <w:pPr>
        <w:bidi w:val="0"/>
        <w:rPr>
          <w:rFonts w:hint="eastAsia"/>
        </w:rPr>
      </w:pPr>
      <w:r>
        <w:rPr>
          <w:rFonts w:hint="eastAsia"/>
        </w:rPr>
        <w:t>四、如项目的性质、规模、地点、采用的工艺、防治污染、防止生态破坏的措施发生重大变动，须按规定程序重新报批。</w:t>
      </w:r>
    </w:p>
    <w:p>
      <w:pPr>
        <w:bidi w:val="0"/>
        <w:rPr>
          <w:rFonts w:hint="eastAsia"/>
        </w:rPr>
      </w:pPr>
      <w:r>
        <w:rPr>
          <w:rFonts w:hint="eastAsia"/>
        </w:rPr>
        <w:t>五、本项目的环境监督管理工作由奎屯市环境监察大队负责。你公司应在接到本批复后的10个工作日内，将批准后的报告书及本批复送奎屯市环保局，并按照规定接受各级环境保护部门的监督检查。</w:t>
      </w:r>
    </w:p>
    <w:p>
      <w:pPr>
        <w:pStyle w:val="2"/>
        <w:ind w:left="0" w:leftChars="0" w:firstLine="0" w:firstLineChars="0"/>
        <w:rPr>
          <w:rFonts w:hint="eastAsia"/>
        </w:rPr>
      </w:pPr>
    </w:p>
    <w:p>
      <w:pPr>
        <w:rPr>
          <w:rFonts w:hint="eastAsia"/>
        </w:rPr>
        <w:sectPr>
          <w:pgSz w:w="11906" w:h="16838"/>
          <w:pgMar w:top="1440" w:right="1800" w:bottom="1440" w:left="1800" w:header="992"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bidi w:val="0"/>
      </w:pPr>
      <w:bookmarkStart w:id="75" w:name="_Toc16120"/>
      <w:r>
        <w:t>四 环境保护措施落实情况调查</w:t>
      </w:r>
      <w:bookmarkEnd w:id="75"/>
    </w:p>
    <w:p>
      <w:pPr>
        <w:pStyle w:val="5"/>
        <w:bidi w:val="0"/>
        <w:outlineLvl w:val="0"/>
      </w:pPr>
      <w:bookmarkStart w:id="76" w:name="_Toc9370"/>
      <w:r>
        <w:t>4.1环境影响报告书措施和建议落实情况</w:t>
      </w:r>
      <w:bookmarkEnd w:id="76"/>
    </w:p>
    <w:p>
      <w:pPr>
        <w:bidi w:val="0"/>
      </w:pPr>
      <w:r>
        <w:t>通过对工程设计文件、施工总结等资料的分析以及对工程环境现状的踏勘与调查，在本工程设计和施工过程中，建设单位根据工程环境影响报告书提出的主要环境保护措施与建议以及各级环保行政主管部门对本工程环境影响报告书的批复要求，在施工期以及试运营期采取了一系列的生态保护与环境污染防治措施，并建立了较为完善的环境保护管理机构与制度，有效地控制了工程建设对环境的影响，实现了环保设施与工程主体设施同时设计、同时施工、同时投入使用。本次竣工环境保护验收调查时针对环评报告</w:t>
      </w:r>
    </w:p>
    <w:p>
      <w:pPr>
        <w:bidi w:val="0"/>
      </w:pPr>
      <w:r>
        <w:t>提出的环保措施的落实情况见</w:t>
      </w:r>
      <w:r>
        <w:rPr>
          <w:rFonts w:hint="eastAsia"/>
          <w:lang w:val="en-US" w:eastAsia="zh-CN"/>
        </w:rPr>
        <w:t>下</w:t>
      </w:r>
      <w:r>
        <w:t>表。</w:t>
      </w:r>
    </w:p>
    <w:p>
      <w:pPr>
        <w:pStyle w:val="16"/>
        <w:bidi w:val="0"/>
      </w:pPr>
      <w:r>
        <w:rPr>
          <w:rFonts w:hint="eastAsia"/>
          <w:lang w:val="en-US" w:eastAsia="zh-CN"/>
        </w:rPr>
        <w:t>表4-1  本项目</w:t>
      </w:r>
      <w:r>
        <w:t>环境影响报告书措施的落实情况一览表</w:t>
      </w:r>
    </w:p>
    <w:tbl>
      <w:tblPr>
        <w:tblStyle w:val="20"/>
        <w:tblW w:w="505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90"/>
        <w:gridCol w:w="412"/>
        <w:gridCol w:w="4525"/>
        <w:gridCol w:w="2484"/>
        <w:gridCol w:w="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29" w:hRule="atLeast"/>
          <w:jc w:val="center"/>
        </w:trPr>
        <w:tc>
          <w:tcPr>
            <w:tcW w:w="477" w:type="pct"/>
            <w:gridSpan w:val="2"/>
            <w:vAlign w:val="center"/>
          </w:tcPr>
          <w:p>
            <w:pPr>
              <w:pStyle w:val="18"/>
              <w:bidi w:val="0"/>
            </w:pPr>
            <w:r>
              <w:t>环境因子</w:t>
            </w:r>
          </w:p>
        </w:tc>
        <w:tc>
          <w:tcPr>
            <w:tcW w:w="2689" w:type="pct"/>
            <w:vAlign w:val="center"/>
          </w:tcPr>
          <w:p>
            <w:pPr>
              <w:pStyle w:val="18"/>
              <w:bidi w:val="0"/>
            </w:pPr>
            <w:r>
              <w:t>环境影响报告书提出的环保措施</w:t>
            </w:r>
          </w:p>
        </w:tc>
        <w:tc>
          <w:tcPr>
            <w:tcW w:w="1476" w:type="pct"/>
            <w:vAlign w:val="center"/>
          </w:tcPr>
          <w:p>
            <w:pPr>
              <w:pStyle w:val="18"/>
              <w:bidi w:val="0"/>
            </w:pPr>
            <w:r>
              <w:t>工程实际采取的环保措施</w:t>
            </w:r>
          </w:p>
        </w:tc>
        <w:tc>
          <w:tcPr>
            <w:tcW w:w="356" w:type="pct"/>
            <w:vAlign w:val="center"/>
          </w:tcPr>
          <w:p>
            <w:pPr>
              <w:pStyle w:val="18"/>
              <w:bidi w:val="0"/>
            </w:pPr>
            <w: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12" w:hRule="atLeast"/>
          <w:jc w:val="center"/>
        </w:trPr>
        <w:tc>
          <w:tcPr>
            <w:tcW w:w="232" w:type="pct"/>
            <w:vMerge w:val="restart"/>
            <w:vAlign w:val="center"/>
          </w:tcPr>
          <w:p>
            <w:pPr>
              <w:pStyle w:val="18"/>
              <w:bidi w:val="0"/>
            </w:pPr>
            <w:r>
              <w:t>施工期</w:t>
            </w:r>
          </w:p>
        </w:tc>
        <w:tc>
          <w:tcPr>
            <w:tcW w:w="245" w:type="pct"/>
            <w:vAlign w:val="center"/>
          </w:tcPr>
          <w:p>
            <w:pPr>
              <w:pStyle w:val="18"/>
              <w:bidi w:val="0"/>
              <w:rPr>
                <w:rFonts w:hint="eastAsia"/>
                <w:lang w:val="en-US" w:eastAsia="zh-CN"/>
              </w:rPr>
            </w:pPr>
            <w:r>
              <w:t>环境</w:t>
            </w:r>
            <w:r>
              <w:rPr>
                <w:rFonts w:hint="eastAsia"/>
                <w:lang w:val="en-US" w:eastAsia="zh-CN"/>
              </w:rPr>
              <w:t>空气</w:t>
            </w:r>
          </w:p>
        </w:tc>
        <w:tc>
          <w:tcPr>
            <w:tcW w:w="2689" w:type="pct"/>
            <w:vAlign w:val="center"/>
          </w:tcPr>
          <w:p>
            <w:pPr>
              <w:pStyle w:val="18"/>
              <w:bidi w:val="0"/>
            </w:pPr>
            <w:r>
              <w:t>在工程施工过程中，主要是防止施工扬尘的污染。</w:t>
            </w:r>
          </w:p>
          <w:p>
            <w:pPr>
              <w:pStyle w:val="18"/>
              <w:bidi w:val="0"/>
            </w:pPr>
            <w:r>
              <w:t>本工程各施工工地出入口必须设立环境保护监督牌。必须注明项目名称、建设单位、施工单位、防治扬尘污染现场监督员姓名和联系电话、项目工期、环保措施、举报电话等内容。</w:t>
            </w:r>
          </w:p>
          <w:p>
            <w:pPr>
              <w:pStyle w:val="18"/>
              <w:bidi w:val="0"/>
            </w:pPr>
            <w:r>
              <w:t>道路施工工地周边百分百围挡。施工工地周边必须设置1.8米以上的硬质围墙或围挡，严禁敞开式作业。围挡地段应设置防溢座，围挡之间以及围挡与防溢座之间无缝隙。对围挡落尘应当定期进行清洗，保证施工工地周围环境整洁。</w:t>
            </w:r>
          </w:p>
          <w:p>
            <w:pPr>
              <w:pStyle w:val="18"/>
              <w:bidi w:val="0"/>
            </w:pPr>
            <w:r>
              <w:t>施工物料堆放应百分百覆盖。施工工地内堆放易产生扬尘污染物料的，必须密闭存放或覆盖；工程主体施工阶段必须使用密目式安全网进行封闭。</w:t>
            </w:r>
          </w:p>
          <w:p>
            <w:pPr>
              <w:pStyle w:val="18"/>
              <w:bidi w:val="0"/>
            </w:pPr>
            <w:r>
              <w:t>出入工地车辆应百分之百冲洗。施工工地现场出入口地面必须硬化处理并设置车辆冲洗台以及配套的排水、泥浆沉淀设施，冲洗设施到位；车辆在驶出工地前，应将车轮、车身冲洗干净，不得带泥上路。</w:t>
            </w:r>
          </w:p>
          <w:p>
            <w:pPr>
              <w:pStyle w:val="18"/>
              <w:bidi w:val="0"/>
            </w:pPr>
            <w:r>
              <w:t>每条道路施工工程竣工后30日内，施工单位必须平整施工工地，并清除积土、堆物。</w:t>
            </w:r>
          </w:p>
          <w:p>
            <w:pPr>
              <w:pStyle w:val="18"/>
              <w:bidi w:val="0"/>
              <w:rPr>
                <w:rFonts w:hint="eastAsia"/>
                <w:lang w:eastAsia="zh-CN"/>
              </w:rPr>
            </w:pPr>
            <w:r>
              <w:t>出现五级以上大风天气时，禁止进行土方施工等易产生扬尘污染的施工作业。</w:t>
            </w:r>
          </w:p>
        </w:tc>
        <w:tc>
          <w:tcPr>
            <w:tcW w:w="1476" w:type="pct"/>
            <w:vAlign w:val="center"/>
          </w:tcPr>
          <w:p>
            <w:pPr>
              <w:pStyle w:val="18"/>
              <w:bidi w:val="0"/>
            </w:pPr>
            <w:r>
              <w:t>施工现场周围设有围挡；施工期对作业面和土堆进行适当的喷水，对回填土、砂石等堆放材料采取遮盖措施；施工车辆和渣土运输车辆等进入施工场地内，进行清洗轮胎，凡运送土石方等材料或渣土的车辆，均已用篷布覆盖；运输车辆主要进出的道路定期洒水清扫，保持车辆进出入口路面清洁、湿润，以减少车辆轮胎与路面接触而引起的地面扬尘污染，同时控制车辆行驶速度，减少粉尘产生；洒水车不定时洒水，同时配备雾炮机进行洒水抑尘；施工单位进行沥青摊铺时选择密闭加热摊铺装置，并将路面铺设过程中在道路两侧设置挡板，将沥青废气控制在施工场地之内；加强对机械、车辆的维修保养。</w:t>
            </w:r>
          </w:p>
        </w:tc>
        <w:tc>
          <w:tcPr>
            <w:tcW w:w="356"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352" w:hRule="atLeast"/>
          <w:jc w:val="center"/>
        </w:trPr>
        <w:tc>
          <w:tcPr>
            <w:tcW w:w="232" w:type="pct"/>
            <w:vMerge w:val="continue"/>
            <w:vAlign w:val="center"/>
          </w:tcPr>
          <w:p>
            <w:pPr>
              <w:pStyle w:val="18"/>
              <w:bidi w:val="0"/>
            </w:pPr>
          </w:p>
        </w:tc>
        <w:tc>
          <w:tcPr>
            <w:tcW w:w="245" w:type="pct"/>
            <w:vAlign w:val="center"/>
          </w:tcPr>
          <w:p>
            <w:pPr>
              <w:pStyle w:val="18"/>
              <w:bidi w:val="0"/>
              <w:rPr>
                <w:rFonts w:hint="eastAsia"/>
                <w:lang w:val="en-US" w:eastAsia="zh-CN"/>
              </w:rPr>
            </w:pPr>
            <w:r>
              <w:rPr>
                <w:rFonts w:hint="eastAsia"/>
                <w:lang w:val="en-US" w:eastAsia="zh-CN"/>
              </w:rPr>
              <w:t>声环境</w:t>
            </w:r>
          </w:p>
        </w:tc>
        <w:tc>
          <w:tcPr>
            <w:tcW w:w="2689" w:type="pct"/>
            <w:vAlign w:val="center"/>
          </w:tcPr>
          <w:p>
            <w:pPr>
              <w:pStyle w:val="18"/>
              <w:bidi w:val="0"/>
            </w:pPr>
            <w:r>
              <w:t>选用低噪声施工机械、设备和工艺，振动较大的固定机械设备应加装减振机座，同时加强各类施工设备的维护和保养，保持其良好的运转，以便从根本上降低噪声源强。</w:t>
            </w:r>
          </w:p>
          <w:p>
            <w:pPr>
              <w:pStyle w:val="18"/>
              <w:bidi w:val="0"/>
            </w:pPr>
            <w:r>
              <w:t>高噪声设备尽量远离敏感点，高噪声设备尽量不同时施工。高噪声设备运行应避开居民休息的时间(早8:00之前，中午及夜间22:00之后)</w:t>
            </w:r>
            <w:r>
              <w:rPr>
                <w:rFonts w:hint="eastAsia"/>
                <w:lang w:eastAsia="zh-CN"/>
              </w:rPr>
              <w:t>，</w:t>
            </w:r>
            <w:r>
              <w:t>夜间确需施工的安排人工施工或低噪声设备施工。</w:t>
            </w:r>
          </w:p>
          <w:p>
            <w:pPr>
              <w:pStyle w:val="18"/>
              <w:bidi w:val="0"/>
            </w:pPr>
            <w:r>
              <w:t>根据施工期噪声影响分析，本工程施工噪声影响主要集中在载重汽车的运输过程中。因此为减少对环境的影响，应合理安排运输车辆路线和时间。</w:t>
            </w:r>
          </w:p>
          <w:p>
            <w:pPr>
              <w:pStyle w:val="18"/>
              <w:bidi w:val="0"/>
            </w:pPr>
            <w:r>
              <w:t>使用商品混凝土，不在施工场地内设置混凝土搅拌机。</w:t>
            </w:r>
          </w:p>
          <w:p>
            <w:pPr>
              <w:pStyle w:val="18"/>
              <w:bidi w:val="0"/>
            </w:pPr>
            <w:r>
              <w:t>优化施工方案，合理安排工期，将建筑施工噪声危害降到最低程度，在施工工程招标时，将降低环境噪声污染的措施列为施工组织设计内容，并在签订合同中予以明确。</w:t>
            </w:r>
          </w:p>
          <w:p>
            <w:pPr>
              <w:pStyle w:val="18"/>
              <w:bidi w:val="0"/>
            </w:pPr>
            <w:r>
              <w:t>施工机械操作人员及现场施工人员按劳动卫生标准控制工作时间，并由施工单位为施工人员配置个人防护措施，如带耳塞，头盔等。施工边界设置围栏。</w:t>
            </w:r>
          </w:p>
        </w:tc>
        <w:tc>
          <w:tcPr>
            <w:tcW w:w="1476" w:type="pct"/>
            <w:vAlign w:val="center"/>
          </w:tcPr>
          <w:p>
            <w:pPr>
              <w:pStyle w:val="18"/>
              <w:bidi w:val="0"/>
            </w:pPr>
            <w:r>
              <w:t>通过选用低噪声设备，对各噪声源设备采取合理布局，施工场地半封闭、设置围挡，合理安排作业时间，工程运输车辆合理选择运输路线，在经过居民集中区等敏感区域时采取减速禁鸣等措施，有效的降低噪声对周围环境的影响。</w:t>
            </w:r>
          </w:p>
        </w:tc>
        <w:tc>
          <w:tcPr>
            <w:tcW w:w="356"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82" w:hRule="atLeast"/>
          <w:jc w:val="center"/>
        </w:trPr>
        <w:tc>
          <w:tcPr>
            <w:tcW w:w="232" w:type="pct"/>
            <w:vMerge w:val="continue"/>
            <w:vAlign w:val="center"/>
          </w:tcPr>
          <w:p>
            <w:pPr>
              <w:pStyle w:val="18"/>
              <w:bidi w:val="0"/>
            </w:pPr>
          </w:p>
        </w:tc>
        <w:tc>
          <w:tcPr>
            <w:tcW w:w="245" w:type="pct"/>
            <w:vAlign w:val="center"/>
          </w:tcPr>
          <w:p>
            <w:pPr>
              <w:pStyle w:val="18"/>
              <w:bidi w:val="0"/>
              <w:rPr>
                <w:rFonts w:hint="default"/>
                <w:lang w:val="en-US" w:eastAsia="zh-CN"/>
              </w:rPr>
            </w:pPr>
            <w:r>
              <w:rPr>
                <w:rFonts w:hint="eastAsia"/>
                <w:lang w:val="en-US" w:eastAsia="zh-CN"/>
              </w:rPr>
              <w:t>生态环境</w:t>
            </w:r>
          </w:p>
        </w:tc>
        <w:tc>
          <w:tcPr>
            <w:tcW w:w="2689" w:type="pct"/>
            <w:vAlign w:val="center"/>
          </w:tcPr>
          <w:p>
            <w:pPr>
              <w:pStyle w:val="18"/>
              <w:bidi w:val="0"/>
            </w:pPr>
            <w:r>
              <w:t>划定施工范围，施工范围控制在60m范围内，施工严格按照施工范围进行。施工采用半幅施工形式，施工便道及通行便道不再另占土地。</w:t>
            </w:r>
          </w:p>
          <w:p>
            <w:pPr>
              <w:pStyle w:val="18"/>
              <w:bidi w:val="0"/>
            </w:pPr>
            <w:r>
              <w:t>根据道路沿线具体情况，准确计算土石方需用量，从而准确购入砂石料数量，施工结束后，应立即做好临时堆料场的平整恢复工作；确定值班室、材料堆放场的位置、范围，并在施工中严格遵守，禁止随意扩大占地范围，项目结束后做好土地的平整及绿化恢复。</w:t>
            </w:r>
          </w:p>
          <w:p>
            <w:pPr>
              <w:pStyle w:val="18"/>
              <w:bidi w:val="0"/>
            </w:pPr>
            <w:r>
              <w:t>现有树木应尽量用于道路绿化，无法使用的尽量进行移栽。</w:t>
            </w:r>
          </w:p>
          <w:p>
            <w:pPr>
              <w:pStyle w:val="18"/>
              <w:bidi w:val="0"/>
            </w:pPr>
            <w:r>
              <w:t>对于含腐殖质土壤(30cm)</w:t>
            </w:r>
            <w:r>
              <w:rPr>
                <w:rFonts w:hint="eastAsia"/>
                <w:lang w:eastAsia="zh-CN"/>
              </w:rPr>
              <w:t>，</w:t>
            </w:r>
            <w:r>
              <w:t>分层剥离、分层堆放、分层回填，堆放期间覆盖防尘网，可用于道路绿化。</w:t>
            </w:r>
          </w:p>
          <w:p>
            <w:pPr>
              <w:pStyle w:val="18"/>
              <w:bidi w:val="0"/>
            </w:pPr>
            <w:r>
              <w:t>避免使用过多不同类别的防眩板，防止造成凌乱感觉；避免在道路附近设置垃圾堆场，防止白色污染进</w:t>
            </w:r>
            <w:r>
              <w:rPr>
                <w:rFonts w:hint="eastAsia"/>
                <w:lang w:val="en-US" w:eastAsia="zh-CN"/>
              </w:rPr>
              <w:t>入</w:t>
            </w:r>
            <w:r>
              <w:t>视野。对施工场地的隔离围墙做适当装饰，通过喷绘广告、宜传画灯形式淡化其简陋、粗糙感。</w:t>
            </w:r>
          </w:p>
        </w:tc>
        <w:tc>
          <w:tcPr>
            <w:tcW w:w="1476" w:type="pct"/>
            <w:vAlign w:val="center"/>
          </w:tcPr>
          <w:p>
            <w:pPr>
              <w:pStyle w:val="18"/>
              <w:bidi w:val="0"/>
            </w:pPr>
            <w:r>
              <w:t>划定施工范围，施工范围控制在60m范围内，施工严格按照施工范围进行。施工采用半幅施工形式，施工便道及通行便道不再另占土地。</w:t>
            </w:r>
          </w:p>
          <w:p>
            <w:pPr>
              <w:pStyle w:val="18"/>
              <w:bidi w:val="0"/>
              <w:rPr>
                <w:rFonts w:hint="eastAsia"/>
                <w:lang w:eastAsia="zh-CN"/>
              </w:rPr>
            </w:pPr>
            <w:r>
              <w:rPr>
                <w:rFonts w:hint="eastAsia"/>
                <w:lang w:val="en-US" w:eastAsia="zh-CN"/>
              </w:rPr>
              <w:t>不</w:t>
            </w:r>
            <w:r>
              <w:t>在道路附近设置垃圾堆场，防止白色污染进</w:t>
            </w:r>
            <w:r>
              <w:rPr>
                <w:rFonts w:hint="eastAsia"/>
                <w:lang w:val="en-US" w:eastAsia="zh-CN"/>
              </w:rPr>
              <w:t>入</w:t>
            </w:r>
            <w:r>
              <w:t>视野。对施工场地的隔离围墙做适当装饰</w:t>
            </w:r>
            <w:r>
              <w:rPr>
                <w:rFonts w:hint="eastAsia"/>
                <w:lang w:eastAsia="zh-CN"/>
              </w:rPr>
              <w:t>。</w:t>
            </w:r>
          </w:p>
        </w:tc>
        <w:tc>
          <w:tcPr>
            <w:tcW w:w="356"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352" w:hRule="atLeast"/>
          <w:jc w:val="center"/>
        </w:trPr>
        <w:tc>
          <w:tcPr>
            <w:tcW w:w="232" w:type="pct"/>
            <w:vMerge w:val="continue"/>
            <w:vAlign w:val="center"/>
          </w:tcPr>
          <w:p>
            <w:pPr>
              <w:pStyle w:val="18"/>
              <w:bidi w:val="0"/>
            </w:pPr>
          </w:p>
        </w:tc>
        <w:tc>
          <w:tcPr>
            <w:tcW w:w="245" w:type="pct"/>
            <w:vAlign w:val="center"/>
          </w:tcPr>
          <w:p>
            <w:pPr>
              <w:pStyle w:val="18"/>
              <w:bidi w:val="0"/>
              <w:rPr>
                <w:rFonts w:hint="default"/>
                <w:lang w:val="en-US" w:eastAsia="zh-CN"/>
              </w:rPr>
            </w:pPr>
            <w:r>
              <w:rPr>
                <w:rFonts w:hint="eastAsia"/>
                <w:lang w:val="en-US" w:eastAsia="zh-CN"/>
              </w:rPr>
              <w:t>社会环境</w:t>
            </w:r>
          </w:p>
        </w:tc>
        <w:tc>
          <w:tcPr>
            <w:tcW w:w="2689" w:type="pct"/>
            <w:vAlign w:val="center"/>
          </w:tcPr>
          <w:p>
            <w:pPr>
              <w:pStyle w:val="18"/>
              <w:bidi w:val="0"/>
            </w:pPr>
            <w:r>
              <w:t>在施工过程中施工单位应同公安交通管理部门加强联系，合理控制施工路段的交通流量和流向，切实做好交通疏导，并在所使用的运输通道交通高峰时间停止或减少车辆运输，以减少车辆拥挤度，降低噪声；为保证沿线群众日常生活以及沿线企业日常生产的正常进行，第一阶段，南北走向的道路先东半幅施工后西半幅施工，东西走向的道路先北半幅施工后南半幅施工，施工时利用闲置半幅作为施工及通行便道，满足沿线居民及单位的出行需求。第二阶段，道路另半幅施工。待第一阶段半幅道路施工完成并满足行车标准后，进行第二阶段施工。相关企业单位门口道路预留开口，供进出车辆通行。</w:t>
            </w:r>
          </w:p>
          <w:p>
            <w:pPr>
              <w:pStyle w:val="18"/>
              <w:bidi w:val="0"/>
            </w:pPr>
            <w:r>
              <w:t>在道路上、下游路段设置提示牌，建议施工期间过境车辆选择绕行，减小施工期间交通组织难度。道路两侧单位建议通过其他出入口临时通行，必须通过施工沿线出入的，现场需做好保障措施，通过标志标牌及人工现场指挥，加强现场管制，保障施工安全。</w:t>
            </w:r>
          </w:p>
        </w:tc>
        <w:tc>
          <w:tcPr>
            <w:tcW w:w="1476" w:type="pct"/>
            <w:vAlign w:val="center"/>
          </w:tcPr>
          <w:p>
            <w:pPr>
              <w:pStyle w:val="18"/>
              <w:bidi w:val="0"/>
            </w:pPr>
            <w:r>
              <w:t>为保证沿线群众日常生活以及沿线企业日常生产的正常进行，第一阶段，南北走向的道路先东半幅施工后西半幅施工，东西走向的道路先北半幅施工后南半幅施工，施工时利用闲置半幅作为施工及通行便道，满足沿线居民及单位的出行需求。第二阶段，道路另半幅施工。待第一阶段半幅道路施工完成并满足行车标准后，进行第二阶段施工。相关企业单位门口道路预留开口，供进出车辆通行。</w:t>
            </w:r>
          </w:p>
          <w:p>
            <w:pPr>
              <w:pStyle w:val="18"/>
              <w:bidi w:val="0"/>
            </w:pPr>
            <w:r>
              <w:t>在道路上、下游路段设置提示牌，建议施工期间过境车辆选择绕行，减小施工期间交通组织难度。道路两侧单位建议通过其他出入口临时通行，必须通过施工沿线出入的，现场需做好保障措施，通过标志标牌及人工现场指挥，加强现场管制，保障施工安全。</w:t>
            </w:r>
          </w:p>
        </w:tc>
        <w:tc>
          <w:tcPr>
            <w:tcW w:w="356"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47" w:hRule="atLeast"/>
          <w:jc w:val="center"/>
        </w:trPr>
        <w:tc>
          <w:tcPr>
            <w:tcW w:w="232" w:type="pct"/>
            <w:vMerge w:val="continue"/>
            <w:vAlign w:val="center"/>
          </w:tcPr>
          <w:p>
            <w:pPr>
              <w:pStyle w:val="18"/>
              <w:bidi w:val="0"/>
            </w:pPr>
          </w:p>
        </w:tc>
        <w:tc>
          <w:tcPr>
            <w:tcW w:w="245" w:type="pct"/>
            <w:vAlign w:val="center"/>
          </w:tcPr>
          <w:p>
            <w:pPr>
              <w:pStyle w:val="18"/>
              <w:bidi w:val="0"/>
              <w:rPr>
                <w:rFonts w:hint="default"/>
                <w:lang w:val="en-US" w:eastAsia="zh-CN"/>
              </w:rPr>
            </w:pPr>
            <w:r>
              <w:rPr>
                <w:rFonts w:hint="eastAsia"/>
                <w:lang w:val="en-US" w:eastAsia="zh-CN"/>
              </w:rPr>
              <w:t>固体废物</w:t>
            </w:r>
          </w:p>
        </w:tc>
        <w:tc>
          <w:tcPr>
            <w:tcW w:w="2689" w:type="pct"/>
            <w:vAlign w:val="center"/>
          </w:tcPr>
          <w:p>
            <w:pPr>
              <w:pStyle w:val="18"/>
              <w:bidi w:val="0"/>
            </w:pPr>
            <w:r>
              <w:t>本工程不设置弃土场。施工期填方主要集中在路基换填、路基处理工序，所需填方应根据“自身消纳、就近利用”原则，优先利用工程自身产生的挖方和附近正在施工的市政道路多余挖方，由于道路施工对路面铺设的各层土、砾石等的要求较高，对不满足利用要求的挖方，即不足填方部分，考虑从附近商品砂石料场购买拉运，在保证路基质量的前提下落实原材料货源并降低运输成本、优化运输线路，避免从环保目标密集的城区穿越。整个工程对于确实不能就近利用的土石方，应由施工单位定期统一运至开发区周边的废弃采砂坑，用于土地修复和生态治理，工程区域内不设置永久弃土场、弃渣场。要求取、弃土指定临时堆场，严格控制堆放范围，严禁随意堆放，并做到及时清运。临时堆方要求用防尘网遮盖，设置挡土墙及截排水沟，临时堆方有专人看管，设置警告标示防止发生安全事故。</w:t>
            </w:r>
          </w:p>
        </w:tc>
        <w:tc>
          <w:tcPr>
            <w:tcW w:w="1476" w:type="pct"/>
            <w:vAlign w:val="center"/>
          </w:tcPr>
          <w:p>
            <w:pPr>
              <w:pStyle w:val="18"/>
              <w:bidi w:val="0"/>
            </w:pPr>
            <w:r>
              <w:t>施工期固体废物主要来自施工过程中产生的建筑垃圾、弃土和施工人员的生活垃圾。建筑垃圾主要来自公路建设过程中产生的垃圾，主要包括渣土、碎混凝土块等，经集中收集后，运至建筑垃圾填埋场处理。项目弃土运至指定弃土点处置。生活垃圾集中收集后送至各路段附近的城市垃圾处理场处理。</w:t>
            </w:r>
          </w:p>
        </w:tc>
        <w:tc>
          <w:tcPr>
            <w:tcW w:w="356"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37" w:hRule="atLeast"/>
          <w:jc w:val="center"/>
        </w:trPr>
        <w:tc>
          <w:tcPr>
            <w:tcW w:w="232" w:type="pct"/>
            <w:vMerge w:val="restart"/>
            <w:vAlign w:val="center"/>
          </w:tcPr>
          <w:p>
            <w:pPr>
              <w:pStyle w:val="18"/>
              <w:bidi w:val="0"/>
              <w:rPr>
                <w:rFonts w:hint="eastAsia"/>
                <w:lang w:val="en-US" w:eastAsia="zh-CN"/>
              </w:rPr>
            </w:pPr>
            <w:r>
              <w:rPr>
                <w:rFonts w:hint="eastAsia"/>
                <w:lang w:val="en-US" w:eastAsia="zh-CN"/>
              </w:rPr>
              <w:t>运营期</w:t>
            </w:r>
          </w:p>
        </w:tc>
        <w:tc>
          <w:tcPr>
            <w:tcW w:w="245" w:type="pct"/>
            <w:vAlign w:val="center"/>
          </w:tcPr>
          <w:p>
            <w:pPr>
              <w:pStyle w:val="18"/>
              <w:bidi w:val="0"/>
              <w:rPr>
                <w:rFonts w:hint="default"/>
                <w:lang w:val="en-US" w:eastAsia="zh-CN"/>
              </w:rPr>
            </w:pPr>
            <w:r>
              <w:rPr>
                <w:rFonts w:hint="eastAsia"/>
                <w:lang w:val="en-US" w:eastAsia="zh-CN"/>
              </w:rPr>
              <w:t>声环境</w:t>
            </w:r>
          </w:p>
        </w:tc>
        <w:tc>
          <w:tcPr>
            <w:tcW w:w="2689" w:type="pct"/>
            <w:vAlign w:val="center"/>
          </w:tcPr>
          <w:p>
            <w:pPr>
              <w:pStyle w:val="18"/>
              <w:bidi w:val="0"/>
            </w:pPr>
            <w:r>
              <w:t>为了把本工程建设带来的噪声影响降低到最低限度，做到在改善市内交通状况的同时不会同步引起交通噪声增高的目的，必须在运营期实施的减轻噪声污染的具体措施为：要求建设单位加快自身绿化带建设，绿化带应乔、灌、草结合，高、中、低密植，杜绝单一乔木或草本种植造成的噪声遮挡效果较差情况；采用减噪路面，根据相关资料，铺设这种减噪路面可以使单车的噪声级降低2~5dB(A)</w:t>
            </w:r>
            <w:r>
              <w:rPr>
                <w:rFonts w:hint="eastAsia"/>
                <w:lang w:eastAsia="zh-CN"/>
              </w:rPr>
              <w:t>；</w:t>
            </w:r>
            <w:r>
              <w:t>道路井盖安装平整减震减噪垫；定期保养、维修隔声设施，路政部门应做好对路面的维修保养，对受损路面及时修复；敏感建筑临路建筑安装通风隔声窗；道路两侧不允许新建敏感点，诸如医院、学校、居住区等。若建设，要求敏感点后退道路边界线200m。</w:t>
            </w:r>
          </w:p>
        </w:tc>
        <w:tc>
          <w:tcPr>
            <w:tcW w:w="1476" w:type="pct"/>
            <w:vAlign w:val="center"/>
          </w:tcPr>
          <w:p>
            <w:pPr>
              <w:pStyle w:val="18"/>
              <w:bidi w:val="0"/>
              <w:rPr>
                <w:rFonts w:hint="default"/>
                <w:lang w:val="en-US" w:eastAsia="zh-CN"/>
              </w:rPr>
            </w:pPr>
            <w:r>
              <w:rPr>
                <w:rFonts w:hint="eastAsia"/>
                <w:lang w:val="en-US" w:eastAsia="zh-CN"/>
              </w:rPr>
              <w:t>建设单位已进行相应绿化，</w:t>
            </w:r>
            <w:r>
              <w:t>采用减噪路面，根据相关资料，铺设这种减噪路面可以使单车的噪声级降低2~5dB(A)</w:t>
            </w:r>
            <w:r>
              <w:rPr>
                <w:rFonts w:hint="eastAsia"/>
                <w:lang w:eastAsia="zh-CN"/>
              </w:rPr>
              <w:t>；</w:t>
            </w:r>
            <w:r>
              <w:t>道路井盖安装平整减震减噪垫；定期保养、维修隔声设施，路政部门应做好对路面的维修保养，对受损路面及时修复；敏感建筑临路建筑安装通风隔声窗；道路两侧不允许新建敏感点，诸如医院、学校、居住区等。</w:t>
            </w:r>
          </w:p>
        </w:tc>
        <w:tc>
          <w:tcPr>
            <w:tcW w:w="356"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2" w:hRule="atLeast"/>
          <w:jc w:val="center"/>
        </w:trPr>
        <w:tc>
          <w:tcPr>
            <w:tcW w:w="232" w:type="pct"/>
            <w:vMerge w:val="continue"/>
            <w:vAlign w:val="center"/>
          </w:tcPr>
          <w:p>
            <w:pPr>
              <w:pStyle w:val="18"/>
              <w:bidi w:val="0"/>
              <w:rPr>
                <w:rFonts w:hint="eastAsia"/>
                <w:lang w:val="en-US" w:eastAsia="zh-CN"/>
              </w:rPr>
            </w:pPr>
          </w:p>
        </w:tc>
        <w:tc>
          <w:tcPr>
            <w:tcW w:w="245" w:type="pct"/>
            <w:vAlign w:val="center"/>
          </w:tcPr>
          <w:p>
            <w:pPr>
              <w:pStyle w:val="18"/>
              <w:bidi w:val="0"/>
              <w:rPr>
                <w:rFonts w:hint="default"/>
                <w:lang w:val="en-US" w:eastAsia="zh-CN"/>
              </w:rPr>
            </w:pPr>
            <w:r>
              <w:rPr>
                <w:rFonts w:hint="eastAsia"/>
                <w:lang w:val="en-US" w:eastAsia="zh-CN"/>
              </w:rPr>
              <w:t>环境空气</w:t>
            </w:r>
          </w:p>
        </w:tc>
        <w:tc>
          <w:tcPr>
            <w:tcW w:w="2689" w:type="pct"/>
            <w:vAlign w:val="center"/>
          </w:tcPr>
          <w:p>
            <w:pPr>
              <w:pStyle w:val="18"/>
              <w:bidi w:val="0"/>
            </w:pPr>
            <w:r>
              <w:t>预测结果表明：预测结果表明：NO₂和CO的小时值、日均值最大浓度值在道路运营近、中、远期均可达到《环境空气质量标准》中二级标准限值的要求。同时，评价选取主要环境敏感目标进行了汽车尾气中NO₂、CO废气浓度的预测，预测结果表明，汽车排放的NO₂、CO对环境敏感点的影响预测值均可达到《环境空气质量标准》二级标准要求。</w:t>
            </w:r>
          </w:p>
        </w:tc>
        <w:tc>
          <w:tcPr>
            <w:tcW w:w="1476" w:type="pct"/>
            <w:vAlign w:val="center"/>
          </w:tcPr>
          <w:p>
            <w:pPr>
              <w:pStyle w:val="18"/>
              <w:bidi w:val="0"/>
            </w:pPr>
            <w:r>
              <w:rPr>
                <w:rFonts w:hint="eastAsia"/>
                <w:lang w:val="en-US" w:eastAsia="zh-CN"/>
              </w:rPr>
              <w:t xml:space="preserve">项目运营期废气主要为汽车尾气，通过提高燃油的燃烧率，安装防污染处理设备，报废 </w:t>
            </w:r>
          </w:p>
          <w:p>
            <w:pPr>
              <w:pStyle w:val="18"/>
              <w:bidi w:val="0"/>
              <w:rPr>
                <w:rFonts w:hint="default"/>
                <w:lang w:val="en-US" w:eastAsia="zh-CN"/>
              </w:rPr>
            </w:pPr>
            <w:r>
              <w:rPr>
                <w:rFonts w:hint="eastAsia"/>
                <w:lang w:val="en-US" w:eastAsia="zh-CN"/>
              </w:rPr>
              <w:t>更新，淘汰旧车，开发新型的汽车（即无污染物排放的机动车），加大道路绿化力度。</w:t>
            </w:r>
          </w:p>
        </w:tc>
        <w:tc>
          <w:tcPr>
            <w:tcW w:w="356"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02" w:hRule="atLeast"/>
          <w:jc w:val="center"/>
        </w:trPr>
        <w:tc>
          <w:tcPr>
            <w:tcW w:w="232" w:type="pct"/>
            <w:vMerge w:val="continue"/>
            <w:vAlign w:val="center"/>
          </w:tcPr>
          <w:p>
            <w:pPr>
              <w:pStyle w:val="18"/>
              <w:bidi w:val="0"/>
              <w:rPr>
                <w:rFonts w:hint="eastAsia"/>
                <w:lang w:val="en-US" w:eastAsia="zh-CN"/>
              </w:rPr>
            </w:pPr>
          </w:p>
        </w:tc>
        <w:tc>
          <w:tcPr>
            <w:tcW w:w="245" w:type="pct"/>
            <w:vAlign w:val="center"/>
          </w:tcPr>
          <w:p>
            <w:pPr>
              <w:pStyle w:val="18"/>
              <w:bidi w:val="0"/>
              <w:rPr>
                <w:rFonts w:hint="default"/>
                <w:lang w:val="en-US" w:eastAsia="zh-CN"/>
              </w:rPr>
            </w:pPr>
            <w:r>
              <w:rPr>
                <w:rFonts w:hint="eastAsia"/>
                <w:lang w:val="en-US" w:eastAsia="zh-CN"/>
              </w:rPr>
              <w:t>固体废物</w:t>
            </w:r>
          </w:p>
        </w:tc>
        <w:tc>
          <w:tcPr>
            <w:tcW w:w="2689" w:type="pct"/>
            <w:vAlign w:val="center"/>
          </w:tcPr>
          <w:p>
            <w:pPr>
              <w:pStyle w:val="18"/>
              <w:bidi w:val="0"/>
            </w:pPr>
            <w:r>
              <w:t>运营期固体废弃物的主要影响是在道路养护过程中产生的废渣及行人产生的生活垃圾。道路养护废渣主要为沥青废渣，这些废渣在公路建成的前几年没有影响，只有在道路维修过程中才产生，对于废渣首先对上层沥青渣考虑综合利用，对于无利用价值的废渣运往建筑垃圾填埋场填埋处理。弃方建议拉运至环保主管部门指定的地点处理；生活垃圾由环卫部门每日清理</w:t>
            </w:r>
            <w:r>
              <w:rPr>
                <w:rFonts w:hint="eastAsia"/>
                <w:lang w:val="en-US" w:eastAsia="zh-CN"/>
              </w:rPr>
              <w:t>外</w:t>
            </w:r>
            <w:r>
              <w:t>送至生活垃圾填埋场填埋处理。在采取以上措施后，固废对环境影响较小。</w:t>
            </w:r>
          </w:p>
        </w:tc>
        <w:tc>
          <w:tcPr>
            <w:tcW w:w="1476" w:type="pct"/>
            <w:vAlign w:val="center"/>
          </w:tcPr>
          <w:p>
            <w:pPr>
              <w:pStyle w:val="18"/>
              <w:bidi w:val="0"/>
              <w:rPr>
                <w:rFonts w:hint="default"/>
                <w:lang w:val="en-US" w:eastAsia="zh-CN"/>
              </w:rPr>
            </w:pPr>
            <w:r>
              <w:rPr>
                <w:rFonts w:hint="eastAsia"/>
                <w:lang w:val="en-US" w:eastAsia="zh-CN"/>
              </w:rPr>
              <w:t>经调查，</w:t>
            </w:r>
            <w:r>
              <w:t>项目运营期固体废物主要来自过往车辆以及行人留下的垃圾以及车辆上散落的货物。在运营期期间，定期清扫路面垃圾，并将垃圾装车运往垃圾填埋场处置。另一方面，严禁各种泄漏、散装超载的车辆上路，防止向道 路散失货物、砂石等；严禁将垃圾倾倒在路边。</w:t>
            </w:r>
          </w:p>
        </w:tc>
        <w:tc>
          <w:tcPr>
            <w:tcW w:w="356"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47" w:hRule="atLeast"/>
          <w:jc w:val="center"/>
        </w:trPr>
        <w:tc>
          <w:tcPr>
            <w:tcW w:w="232" w:type="pct"/>
            <w:vMerge w:val="continue"/>
            <w:vAlign w:val="center"/>
          </w:tcPr>
          <w:p>
            <w:pPr>
              <w:pStyle w:val="18"/>
              <w:bidi w:val="0"/>
              <w:rPr>
                <w:rFonts w:hint="eastAsia"/>
                <w:lang w:val="en-US" w:eastAsia="zh-CN"/>
              </w:rPr>
            </w:pPr>
          </w:p>
        </w:tc>
        <w:tc>
          <w:tcPr>
            <w:tcW w:w="245" w:type="pct"/>
            <w:vAlign w:val="center"/>
          </w:tcPr>
          <w:p>
            <w:pPr>
              <w:pStyle w:val="18"/>
              <w:bidi w:val="0"/>
              <w:rPr>
                <w:rFonts w:hint="default"/>
                <w:lang w:val="en-US" w:eastAsia="zh-CN"/>
              </w:rPr>
            </w:pPr>
            <w:r>
              <w:rPr>
                <w:rFonts w:hint="eastAsia"/>
                <w:lang w:val="en-US" w:eastAsia="zh-CN"/>
              </w:rPr>
              <w:t>生态和景观</w:t>
            </w:r>
          </w:p>
        </w:tc>
        <w:tc>
          <w:tcPr>
            <w:tcW w:w="2689" w:type="pct"/>
            <w:vAlign w:val="center"/>
          </w:tcPr>
          <w:p>
            <w:pPr>
              <w:pStyle w:val="18"/>
              <w:bidi w:val="0"/>
            </w:pPr>
            <w:r>
              <w:t>本工程各条道路均设计有不同宽度的绿化带，其中阿克苏路东延长道路中部善街～哈密街段绿化带宽度为12m</w:t>
            </w:r>
            <w:r>
              <w:rPr>
                <w:rFonts w:hint="eastAsia"/>
                <w:lang w:eastAsia="zh-CN"/>
              </w:rPr>
              <w:t>，</w:t>
            </w:r>
            <w:r>
              <w:t>哈密街～长江路段绿化带宽度为14m</w:t>
            </w:r>
            <w:r>
              <w:rPr>
                <w:rFonts w:hint="eastAsia"/>
                <w:lang w:eastAsia="zh-CN"/>
              </w:rPr>
              <w:t>，</w:t>
            </w:r>
            <w:r>
              <w:t>绿化面积约为37.18hm²</w:t>
            </w:r>
            <w:r>
              <w:rPr>
                <w:rFonts w:hint="eastAsia"/>
                <w:lang w:eastAsia="zh-CN"/>
              </w:rPr>
              <w:t>；</w:t>
            </w:r>
            <w:r>
              <w:t>南环路东延绿化带宽度为15m</w:t>
            </w:r>
            <w:r>
              <w:rPr>
                <w:rFonts w:hint="eastAsia"/>
                <w:lang w:eastAsia="zh-CN"/>
              </w:rPr>
              <w:t>，</w:t>
            </w:r>
            <w:r>
              <w:t>绿化面积约为4.70hm²</w:t>
            </w:r>
            <w:r>
              <w:rPr>
                <w:rFonts w:hint="eastAsia"/>
                <w:lang w:eastAsia="zh-CN"/>
              </w:rPr>
              <w:t>；</w:t>
            </w:r>
            <w:r>
              <w:t>淮河路绿湖带宽度为12m</w:t>
            </w:r>
            <w:r>
              <w:rPr>
                <w:rFonts w:hint="eastAsia"/>
                <w:lang w:eastAsia="zh-CN"/>
              </w:rPr>
              <w:t>，</w:t>
            </w:r>
            <w:r>
              <w:t>绿化面积约为1.50hm²</w:t>
            </w:r>
            <w:r>
              <w:rPr>
                <w:rFonts w:hint="eastAsia"/>
                <w:lang w:eastAsia="zh-CN"/>
              </w:rPr>
              <w:t>；</w:t>
            </w:r>
            <w:r>
              <w:t>东外环路绿化带宽度为78m</w:t>
            </w:r>
            <w:r>
              <w:rPr>
                <w:rFonts w:hint="eastAsia"/>
                <w:lang w:eastAsia="zh-CN"/>
              </w:rPr>
              <w:t>，</w:t>
            </w:r>
            <w:r>
              <w:t>绿化面积约为21.76hm²</w:t>
            </w:r>
            <w:r>
              <w:rPr>
                <w:rFonts w:hint="eastAsia"/>
                <w:lang w:eastAsia="zh-CN"/>
              </w:rPr>
              <w:t>；</w:t>
            </w:r>
            <w:r>
              <w:t>米泉街绿化带宽度为20m</w:t>
            </w:r>
            <w:r>
              <w:rPr>
                <w:rFonts w:hint="eastAsia"/>
                <w:lang w:eastAsia="zh-CN"/>
              </w:rPr>
              <w:t>，</w:t>
            </w:r>
            <w:r>
              <w:t>绿化面积约为3.0hm²</w:t>
            </w:r>
            <w:r>
              <w:rPr>
                <w:rFonts w:hint="eastAsia"/>
                <w:lang w:eastAsia="zh-CN"/>
              </w:rPr>
              <w:t>；</w:t>
            </w:r>
            <w:r>
              <w:t>吐鲁番街绿化带宽度为12m</w:t>
            </w:r>
            <w:r>
              <w:rPr>
                <w:rFonts w:hint="eastAsia"/>
                <w:lang w:eastAsia="zh-CN"/>
              </w:rPr>
              <w:t>，</w:t>
            </w:r>
            <w:r>
              <w:t>绿化面积约为1.89hm²。运营期随着绿化带的建成，临时占用场地的植被恢复，可改善道路沿线的生态现状、美化环境，同时具有降低噪声、防止污染、美化生活的作用。</w:t>
            </w:r>
          </w:p>
          <w:p>
            <w:pPr>
              <w:pStyle w:val="18"/>
              <w:bidi w:val="0"/>
            </w:pPr>
            <w:r>
              <w:t>本工程建成后，将形成干净整洁的双向4车道+绿化带。沥青混凝土路面将改变现有土路面带来的粉尘污染及降尘影响；乔灌草结合绿化带将改变目前恶劣景观，形成整洁、卫生、生机盎然、色彩斑斓的城市景观，景观状况得到较大改善。</w:t>
            </w:r>
          </w:p>
        </w:tc>
        <w:tc>
          <w:tcPr>
            <w:tcW w:w="1476" w:type="pct"/>
            <w:vAlign w:val="center"/>
          </w:tcPr>
          <w:p>
            <w:pPr>
              <w:pStyle w:val="18"/>
              <w:bidi w:val="0"/>
            </w:pPr>
            <w:r>
              <w:t>施工结束后，已对路基表面用混凝土和片石衬砌并植草，对临时占地及时进行平整、绿化，恢复植被，恢复土壤生产力，道路两侧加强绿化。</w:t>
            </w:r>
          </w:p>
        </w:tc>
        <w:tc>
          <w:tcPr>
            <w:tcW w:w="356" w:type="pct"/>
            <w:vAlign w:val="center"/>
          </w:tcPr>
          <w:p>
            <w:pPr>
              <w:pStyle w:val="18"/>
              <w:bidi w:val="0"/>
            </w:pPr>
            <w:r>
              <w:t>已落实</w:t>
            </w:r>
          </w:p>
        </w:tc>
      </w:tr>
    </w:tbl>
    <w:p>
      <w:pPr>
        <w:pStyle w:val="5"/>
        <w:bidi w:val="0"/>
        <w:outlineLvl w:val="0"/>
      </w:pPr>
      <w:bookmarkStart w:id="77" w:name="_Toc18564"/>
      <w:r>
        <w:t>4.</w:t>
      </w:r>
      <w:r>
        <w:rPr>
          <w:rFonts w:hint="eastAsia"/>
          <w:lang w:val="en-US" w:eastAsia="zh-CN"/>
        </w:rPr>
        <w:t>2环评批复提出的环保</w:t>
      </w:r>
      <w:r>
        <w:t>措施落实情况</w:t>
      </w:r>
      <w:bookmarkEnd w:id="77"/>
    </w:p>
    <w:p>
      <w:pPr>
        <w:bidi w:val="0"/>
        <w:rPr>
          <w:rFonts w:hint="eastAsia" w:ascii="Times New Roman" w:hAnsi="Times New Roman" w:eastAsia="宋体"/>
          <w:lang w:val="en-US" w:eastAsia="zh-CN"/>
        </w:rPr>
      </w:pPr>
      <w:r>
        <w:rPr>
          <w:rFonts w:ascii="宋体" w:hAnsi="宋体" w:eastAsia="宋体" w:cs="宋体"/>
          <w:spacing w:val="-1"/>
          <w:sz w:val="24"/>
          <w:szCs w:val="24"/>
        </w:rPr>
        <w:t>本项目环评批复提出的环境保护措施落实情况见</w:t>
      </w:r>
      <w:r>
        <w:rPr>
          <w:rFonts w:hint="eastAsia" w:ascii="宋体" w:hAnsi="宋体" w:cs="宋体"/>
          <w:spacing w:val="-1"/>
          <w:sz w:val="24"/>
          <w:szCs w:val="24"/>
          <w:lang w:val="en-US" w:eastAsia="zh-CN"/>
        </w:rPr>
        <w:t>下</w:t>
      </w:r>
      <w:r>
        <w:rPr>
          <w:rFonts w:ascii="宋体" w:hAnsi="宋体" w:eastAsia="宋体" w:cs="宋体"/>
          <w:spacing w:val="-1"/>
          <w:sz w:val="24"/>
          <w:szCs w:val="24"/>
        </w:rPr>
        <w:t>表</w:t>
      </w:r>
      <w:r>
        <w:rPr>
          <w:rFonts w:hint="eastAsia" w:ascii="宋体" w:hAnsi="宋体" w:cs="宋体"/>
          <w:spacing w:val="-1"/>
          <w:sz w:val="24"/>
          <w:szCs w:val="24"/>
          <w:lang w:eastAsia="zh-CN"/>
        </w:rPr>
        <w:t>。</w:t>
      </w:r>
    </w:p>
    <w:p>
      <w:pPr>
        <w:pStyle w:val="16"/>
        <w:bidi w:val="0"/>
      </w:pPr>
      <w:r>
        <w:t>表 4-2 环评批复提出的环境保护措施落实情况</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25"/>
        <w:gridCol w:w="3390"/>
        <w:gridCol w:w="3420"/>
        <w:gridCol w:w="8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7" w:hRule="atLeast"/>
        </w:trPr>
        <w:tc>
          <w:tcPr>
            <w:tcW w:w="376" w:type="pct"/>
            <w:vAlign w:val="center"/>
          </w:tcPr>
          <w:p>
            <w:pPr>
              <w:pStyle w:val="18"/>
              <w:bidi w:val="0"/>
            </w:pPr>
            <w:r>
              <w:t>类别</w:t>
            </w:r>
          </w:p>
        </w:tc>
        <w:tc>
          <w:tcPr>
            <w:tcW w:w="2038" w:type="pct"/>
            <w:vAlign w:val="center"/>
          </w:tcPr>
          <w:p>
            <w:pPr>
              <w:pStyle w:val="18"/>
              <w:bidi w:val="0"/>
            </w:pPr>
            <w:r>
              <w:t>环评批复要求</w:t>
            </w:r>
          </w:p>
        </w:tc>
        <w:tc>
          <w:tcPr>
            <w:tcW w:w="2056" w:type="pct"/>
            <w:vAlign w:val="center"/>
          </w:tcPr>
          <w:p>
            <w:pPr>
              <w:pStyle w:val="18"/>
              <w:bidi w:val="0"/>
            </w:pPr>
            <w:r>
              <w:t>实际落实情况</w:t>
            </w:r>
          </w:p>
        </w:tc>
        <w:tc>
          <w:tcPr>
            <w:tcW w:w="528" w:type="pct"/>
            <w:vAlign w:val="center"/>
          </w:tcPr>
          <w:p>
            <w:pPr>
              <w:pStyle w:val="18"/>
              <w:bidi w:val="0"/>
            </w:pPr>
            <w:r>
              <w:t>落实情况说明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18" w:hRule="atLeast"/>
        </w:trPr>
        <w:tc>
          <w:tcPr>
            <w:tcW w:w="376" w:type="pct"/>
            <w:vAlign w:val="center"/>
          </w:tcPr>
          <w:p>
            <w:pPr>
              <w:pStyle w:val="18"/>
              <w:bidi w:val="0"/>
            </w:pPr>
            <w:r>
              <w:t>废水治理</w:t>
            </w:r>
          </w:p>
        </w:tc>
        <w:tc>
          <w:tcPr>
            <w:tcW w:w="2038" w:type="pct"/>
            <w:vAlign w:val="center"/>
          </w:tcPr>
          <w:p>
            <w:pPr>
              <w:pStyle w:val="18"/>
              <w:bidi w:val="0"/>
            </w:pPr>
            <w:r>
              <w:rPr>
                <w:rFonts w:hint="eastAsia"/>
              </w:rPr>
              <w:t>施工营地应就近安排在有上下水条件的地方，解决好施工期生活废水的妥善处置。</w:t>
            </w:r>
          </w:p>
        </w:tc>
        <w:tc>
          <w:tcPr>
            <w:tcW w:w="2056" w:type="pct"/>
            <w:vAlign w:val="center"/>
          </w:tcPr>
          <w:p>
            <w:pPr>
              <w:pStyle w:val="18"/>
              <w:bidi w:val="0"/>
            </w:pPr>
            <w:r>
              <w:t>生活污水经</w:t>
            </w:r>
            <w:r>
              <w:rPr>
                <w:rFonts w:hint="eastAsia"/>
                <w:lang w:val="en-US" w:eastAsia="zh-CN"/>
              </w:rPr>
              <w:t>附近居民点已有设施处理</w:t>
            </w:r>
            <w:r>
              <w:t>；施工废水经隔油沉淀处理后回用。</w:t>
            </w:r>
          </w:p>
        </w:tc>
        <w:tc>
          <w:tcPr>
            <w:tcW w:w="528"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19" w:hRule="atLeast"/>
        </w:trPr>
        <w:tc>
          <w:tcPr>
            <w:tcW w:w="376" w:type="pct"/>
            <w:vAlign w:val="center"/>
          </w:tcPr>
          <w:p>
            <w:pPr>
              <w:pStyle w:val="18"/>
              <w:bidi w:val="0"/>
            </w:pPr>
            <w:r>
              <w:t>噪声治理</w:t>
            </w:r>
          </w:p>
        </w:tc>
        <w:tc>
          <w:tcPr>
            <w:tcW w:w="2038" w:type="pct"/>
            <w:vAlign w:val="center"/>
          </w:tcPr>
          <w:p>
            <w:pPr>
              <w:pStyle w:val="18"/>
              <w:bidi w:val="0"/>
            </w:pPr>
            <w:r>
              <w:rPr>
                <w:rFonts w:hint="eastAsia"/>
              </w:rPr>
              <w:t>合理安排施工时间，加强施工期噪声控制，涉及到居民区声环境影响的区段，禁止夜间施工，防止噪声扰民，确保施工噪声满足《建筑施工场界环境噪声排放标准》(GB12523-2011)。</w:t>
            </w:r>
          </w:p>
        </w:tc>
        <w:tc>
          <w:tcPr>
            <w:tcW w:w="2056" w:type="pct"/>
            <w:vAlign w:val="center"/>
          </w:tcPr>
          <w:p>
            <w:pPr>
              <w:pStyle w:val="18"/>
              <w:bidi w:val="0"/>
              <w:rPr>
                <w:rFonts w:hint="eastAsia" w:eastAsia="宋体"/>
                <w:lang w:eastAsia="zh-CN"/>
              </w:rPr>
            </w:pPr>
            <w:r>
              <w:rPr>
                <w:rFonts w:hint="eastAsia"/>
              </w:rPr>
              <w:t>合理安排施工时间，加强施工期噪声控制，禁止夜间施工，防止噪声扰民，确保施工噪声满足《建筑施工场界环境噪声排放标准》(GB12523-2011)</w:t>
            </w:r>
            <w:r>
              <w:rPr>
                <w:rFonts w:hint="eastAsia"/>
                <w:lang w:eastAsia="zh-CN"/>
              </w:rPr>
              <w:t>。</w:t>
            </w:r>
          </w:p>
        </w:tc>
        <w:tc>
          <w:tcPr>
            <w:tcW w:w="528"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8" w:hRule="atLeast"/>
        </w:trPr>
        <w:tc>
          <w:tcPr>
            <w:tcW w:w="376" w:type="pct"/>
            <w:vAlign w:val="center"/>
          </w:tcPr>
          <w:p>
            <w:pPr>
              <w:pStyle w:val="18"/>
              <w:bidi w:val="0"/>
            </w:pPr>
            <w:r>
              <w:t>固废治理</w:t>
            </w:r>
          </w:p>
        </w:tc>
        <w:tc>
          <w:tcPr>
            <w:tcW w:w="2038" w:type="pct"/>
            <w:vAlign w:val="center"/>
          </w:tcPr>
          <w:p>
            <w:pPr>
              <w:pStyle w:val="18"/>
              <w:bidi w:val="0"/>
              <w:rPr>
                <w:rFonts w:hint="eastAsia" w:eastAsia="宋体"/>
                <w:lang w:eastAsia="zh-CN"/>
              </w:rPr>
            </w:pPr>
            <w:r>
              <w:rPr>
                <w:rFonts w:hint="eastAsia"/>
              </w:rPr>
              <w:t>施工人员的生活垃圾按市政的有关规定集中收集清运，不得乱丢</w:t>
            </w:r>
            <w:r>
              <w:rPr>
                <w:rFonts w:hint="eastAsia"/>
                <w:lang w:eastAsia="zh-CN"/>
              </w:rPr>
              <w:t>。</w:t>
            </w:r>
          </w:p>
        </w:tc>
        <w:tc>
          <w:tcPr>
            <w:tcW w:w="2056" w:type="pct"/>
            <w:vAlign w:val="center"/>
          </w:tcPr>
          <w:p>
            <w:pPr>
              <w:pStyle w:val="18"/>
              <w:bidi w:val="0"/>
            </w:pPr>
            <w:r>
              <w:t>项目固体废物</w:t>
            </w:r>
            <w:r>
              <w:rPr>
                <w:rFonts w:hint="eastAsia"/>
                <w:lang w:val="en-US" w:eastAsia="zh-CN"/>
              </w:rPr>
              <w:t>经</w:t>
            </w:r>
            <w:r>
              <w:t>集后统一交由环卫部门收集处置。</w:t>
            </w:r>
          </w:p>
        </w:tc>
        <w:tc>
          <w:tcPr>
            <w:tcW w:w="528"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07" w:hRule="atLeast"/>
        </w:trPr>
        <w:tc>
          <w:tcPr>
            <w:tcW w:w="376" w:type="pct"/>
            <w:vAlign w:val="center"/>
          </w:tcPr>
          <w:p>
            <w:pPr>
              <w:pStyle w:val="18"/>
              <w:bidi w:val="0"/>
            </w:pPr>
            <w:r>
              <w:t>环境空气治理</w:t>
            </w:r>
          </w:p>
        </w:tc>
        <w:tc>
          <w:tcPr>
            <w:tcW w:w="2038" w:type="pct"/>
            <w:vAlign w:val="center"/>
          </w:tcPr>
          <w:p>
            <w:pPr>
              <w:pStyle w:val="18"/>
              <w:bidi w:val="0"/>
              <w:rPr>
                <w:rFonts w:hint="eastAsia" w:eastAsia="宋体"/>
                <w:lang w:eastAsia="zh-CN"/>
              </w:rPr>
            </w:pPr>
            <w:r>
              <w:rPr>
                <w:rFonts w:hint="eastAsia"/>
              </w:rPr>
              <w:t>采取防风、洒水等措施，按要求封闭施工作业，全封闭运输</w:t>
            </w:r>
            <w:r>
              <w:rPr>
                <w:rFonts w:hint="eastAsia"/>
                <w:lang w:eastAsia="zh-CN"/>
              </w:rPr>
              <w:t>；</w:t>
            </w:r>
            <w:r>
              <w:rPr>
                <w:rFonts w:hint="eastAsia"/>
              </w:rPr>
              <w:t>施工现场扬尘的无组织排放须满足《大气污染物综合排放标准》(GB16297-1996)二级要求</w:t>
            </w:r>
            <w:r>
              <w:rPr>
                <w:rFonts w:hint="eastAsia"/>
                <w:lang w:eastAsia="zh-CN"/>
              </w:rPr>
              <w:t>。</w:t>
            </w:r>
          </w:p>
        </w:tc>
        <w:tc>
          <w:tcPr>
            <w:tcW w:w="2056" w:type="pct"/>
            <w:vAlign w:val="center"/>
          </w:tcPr>
          <w:p>
            <w:pPr>
              <w:pStyle w:val="18"/>
              <w:bidi w:val="0"/>
            </w:pPr>
            <w:r>
              <w:rPr>
                <w:rFonts w:hint="eastAsia"/>
                <w:lang w:val="en-US" w:eastAsia="zh-CN"/>
              </w:rPr>
              <w:t>已</w:t>
            </w:r>
            <w:r>
              <w:rPr>
                <w:rFonts w:hint="eastAsia"/>
              </w:rPr>
              <w:t>采取防风、洒水等措施，按要求封闭施工作业，全封闭运输</w:t>
            </w:r>
            <w:r>
              <w:rPr>
                <w:rFonts w:hint="eastAsia"/>
                <w:lang w:eastAsia="zh-CN"/>
              </w:rPr>
              <w:t>；</w:t>
            </w:r>
            <w:r>
              <w:rPr>
                <w:rFonts w:hint="eastAsia"/>
              </w:rPr>
              <w:t>施工现场扬尘的无组织排放须满足《大气污染物综合排放标准》(GB16297-1996)二级要求</w:t>
            </w:r>
            <w:r>
              <w:t>。</w:t>
            </w:r>
          </w:p>
        </w:tc>
        <w:tc>
          <w:tcPr>
            <w:tcW w:w="528" w:type="pct"/>
            <w:vAlign w:val="center"/>
          </w:tcPr>
          <w:p>
            <w:pPr>
              <w:pStyle w:val="18"/>
              <w:bidi w:val="0"/>
            </w:pPr>
            <w: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63" w:hRule="atLeast"/>
        </w:trPr>
        <w:tc>
          <w:tcPr>
            <w:tcW w:w="376" w:type="pct"/>
            <w:vAlign w:val="center"/>
          </w:tcPr>
          <w:p>
            <w:pPr>
              <w:pStyle w:val="18"/>
              <w:bidi w:val="0"/>
            </w:pPr>
            <w:r>
              <w:t>生态防护和恢复措施</w:t>
            </w:r>
          </w:p>
        </w:tc>
        <w:tc>
          <w:tcPr>
            <w:tcW w:w="2038" w:type="pct"/>
            <w:vAlign w:val="center"/>
          </w:tcPr>
          <w:p>
            <w:pPr>
              <w:pStyle w:val="18"/>
              <w:bidi w:val="0"/>
            </w:pPr>
            <w:r>
              <w:rPr>
                <w:rFonts w:hint="eastAsia"/>
              </w:rPr>
              <w:t>施工期严格控制临时用地范围，在许可范围内施工，施工结束后首先恢复施工迹地</w:t>
            </w:r>
            <w:r>
              <w:rPr>
                <w:rFonts w:hint="eastAsia"/>
                <w:lang w:eastAsia="zh-CN"/>
              </w:rPr>
              <w:t>；</w:t>
            </w:r>
            <w:r>
              <w:rPr>
                <w:rFonts w:hint="eastAsia"/>
              </w:rPr>
              <w:t>施工期取弃土场的点位不得随意变动，施工期做到取弃土场的日常恢复和施工期完毕后的集中整治，减轻对生态环境的影响。工程结束后要对施工迹地进行全面恢复和清理，临时用地应恢复原状。</w:t>
            </w:r>
          </w:p>
        </w:tc>
        <w:tc>
          <w:tcPr>
            <w:tcW w:w="2056" w:type="pct"/>
            <w:vAlign w:val="center"/>
          </w:tcPr>
          <w:p>
            <w:pPr>
              <w:pStyle w:val="18"/>
              <w:bidi w:val="0"/>
            </w:pPr>
            <w:r>
              <w:rPr>
                <w:rFonts w:hint="eastAsia"/>
                <w:lang w:val="en-US" w:eastAsia="zh-CN"/>
              </w:rPr>
              <w:t>已</w:t>
            </w:r>
            <w:r>
              <w:rPr>
                <w:rFonts w:hint="eastAsia"/>
              </w:rPr>
              <w:t>严格控制临时用地范围，在许可范围内施工，施工结束后首先恢复施工迹地</w:t>
            </w:r>
            <w:r>
              <w:rPr>
                <w:rFonts w:hint="eastAsia"/>
                <w:lang w:eastAsia="zh-CN"/>
              </w:rPr>
              <w:t>；</w:t>
            </w:r>
            <w:r>
              <w:rPr>
                <w:rFonts w:hint="eastAsia"/>
              </w:rPr>
              <w:t>施工期取弃土场的点位不得随意变动，施工期做到取弃土场的日常恢复和施工期完毕后的集中整治，减轻对生态环境的影响。工程结束后要对施工迹地进行全面恢复和清理，临时用地应恢复原状</w:t>
            </w:r>
            <w:r>
              <w:t>。</w:t>
            </w:r>
          </w:p>
        </w:tc>
        <w:tc>
          <w:tcPr>
            <w:tcW w:w="528" w:type="pct"/>
            <w:vAlign w:val="center"/>
          </w:tcPr>
          <w:p>
            <w:pPr>
              <w:pStyle w:val="18"/>
              <w:bidi w:val="0"/>
            </w:pPr>
            <w:r>
              <w:t>已落实</w:t>
            </w:r>
          </w:p>
        </w:tc>
      </w:tr>
    </w:tbl>
    <w:p>
      <w:pPr>
        <w:bidi w:val="0"/>
        <w:rPr>
          <w:rFonts w:hint="default" w:ascii="Times New Roman" w:hAnsi="Times New Roman" w:eastAsia="宋体"/>
          <w:lang w:val="en-US" w:eastAsia="zh-CN"/>
        </w:rPr>
        <w:sectPr>
          <w:pgSz w:w="11906" w:h="16838"/>
          <w:pgMar w:top="1440" w:right="1800" w:bottom="1440" w:left="1800" w:header="992"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bidi w:val="0"/>
        <w:outlineLvl w:val="1"/>
      </w:pPr>
      <w:bookmarkStart w:id="78" w:name="_Toc6465"/>
      <w:r>
        <w:t>五 环境影响调查</w:t>
      </w:r>
      <w:bookmarkEnd w:id="78"/>
    </w:p>
    <w:p>
      <w:pPr>
        <w:pStyle w:val="5"/>
        <w:bidi w:val="0"/>
        <w:outlineLvl w:val="0"/>
      </w:pPr>
      <w:bookmarkStart w:id="79" w:name="_Toc205"/>
      <w:r>
        <w:t>5.1生态环境调查</w:t>
      </w:r>
      <w:bookmarkEnd w:id="79"/>
    </w:p>
    <w:p>
      <w:pPr>
        <w:pStyle w:val="6"/>
        <w:bidi w:val="0"/>
        <w:outlineLvl w:val="1"/>
      </w:pPr>
      <w:bookmarkStart w:id="80" w:name="_Toc20306"/>
      <w:r>
        <w:t>5.1.1施工期对生态的影响</w:t>
      </w:r>
      <w:bookmarkEnd w:id="80"/>
    </w:p>
    <w:p>
      <w:pPr>
        <w:bidi w:val="0"/>
      </w:pPr>
      <w:r>
        <w:t>本项目施工期已经结束，随着水土保持措施的落实，经现场调查，本项目临时施工占地区的植物和植被现已恢复。</w:t>
      </w:r>
    </w:p>
    <w:p>
      <w:pPr>
        <w:pStyle w:val="6"/>
        <w:bidi w:val="0"/>
        <w:outlineLvl w:val="1"/>
      </w:pPr>
      <w:bookmarkStart w:id="81" w:name="_Toc23796"/>
      <w:r>
        <w:t>5.1.2运营期对生态的影响</w:t>
      </w:r>
      <w:bookmarkEnd w:id="81"/>
    </w:p>
    <w:p>
      <w:pPr>
        <w:bidi w:val="0"/>
        <w:outlineLvl w:val="2"/>
      </w:pPr>
      <w:bookmarkStart w:id="82" w:name="_Toc28267"/>
      <w:r>
        <w:t>1、陆域生态影响</w:t>
      </w:r>
      <w:bookmarkEnd w:id="82"/>
    </w:p>
    <w:p>
      <w:pPr>
        <w:bidi w:val="0"/>
      </w:pPr>
      <w:r>
        <w:t>（1）工程占地对植被的破坏</w:t>
      </w:r>
    </w:p>
    <w:p>
      <w:pPr>
        <w:bidi w:val="0"/>
      </w:pPr>
      <w:r>
        <w:t>本项目已投产运营，项目占用地会使部分植被受到破坏，一部分植物个体损失。损坏的植被以野生草本植物为主，均为当地常见种，其生长范围广，适应性强，不会因工程占地导致植物种群消失或灭绝。</w:t>
      </w:r>
    </w:p>
    <w:p>
      <w:pPr>
        <w:bidi w:val="0"/>
      </w:pPr>
      <w:r>
        <w:t>（2）水土流失影响</w:t>
      </w:r>
    </w:p>
    <w:p>
      <w:pPr>
        <w:bidi w:val="0"/>
      </w:pPr>
      <w:r>
        <w:t>由于本项目已建成运营，故不存在施工期的水土流失影响。因此，本评价不对施工期的水土流失影响进行分析。项目已投入使用，且公路沿线植被均具有很强的适应能力，根据现场勘查，工程占压的植被正在自行恢复。</w:t>
      </w:r>
    </w:p>
    <w:p>
      <w:pPr>
        <w:bidi w:val="0"/>
      </w:pPr>
      <w:r>
        <w:t>（3）对陆生动物的影响</w:t>
      </w:r>
    </w:p>
    <w:p>
      <w:pPr>
        <w:bidi w:val="0"/>
      </w:pPr>
      <w:r>
        <w:t>评价范围受人类活动干扰大，陆生野生动物资源不丰富，且多为常见种类，主要是常见鸟类、小型兽类、两栖类和爬行类等。</w:t>
      </w:r>
    </w:p>
    <w:p>
      <w:pPr>
        <w:bidi w:val="0"/>
      </w:pPr>
      <w:r>
        <w:t>工程营运期间，随着永久占地附近及临时占地区域的恢复，陆生野生动物的生境得到了一定的改善，工程运营对陆生动物不造成影响。</w:t>
      </w:r>
    </w:p>
    <w:p>
      <w:pPr>
        <w:bidi w:val="0"/>
        <w:outlineLvl w:val="2"/>
      </w:pPr>
      <w:bookmarkStart w:id="83" w:name="_Toc22815"/>
      <w:r>
        <w:t>2、</w:t>
      </w:r>
      <w:r>
        <w:rPr>
          <w:rFonts w:hint="eastAsia"/>
          <w:lang w:val="en-US" w:eastAsia="zh-CN"/>
        </w:rPr>
        <w:t>周边环境的</w:t>
      </w:r>
      <w:r>
        <w:t>影响</w:t>
      </w:r>
      <w:bookmarkEnd w:id="83"/>
    </w:p>
    <w:p>
      <w:pPr>
        <w:bidi w:val="0"/>
      </w:pPr>
      <w:r>
        <w:t>项目营运期主要污染因素包括水污染和噪声污染。水污染主要是降雨冲刷道路废水污染。噪声污染主要为汽车噪声等。</w:t>
      </w:r>
    </w:p>
    <w:p>
      <w:pPr>
        <w:bidi w:val="0"/>
        <w:outlineLvl w:val="0"/>
      </w:pPr>
      <w:bookmarkStart w:id="84" w:name="_Toc4399"/>
      <w:r>
        <w:t>污水对</w:t>
      </w:r>
      <w:r>
        <w:rPr>
          <w:rFonts w:hint="eastAsia"/>
          <w:lang w:val="en-US" w:eastAsia="zh-CN"/>
        </w:rPr>
        <w:t>周边环境</w:t>
      </w:r>
      <w:r>
        <w:t>的影响</w:t>
      </w:r>
      <w:bookmarkEnd w:id="84"/>
    </w:p>
    <w:p>
      <w:pPr>
        <w:bidi w:val="0"/>
      </w:pPr>
      <w:r>
        <w:t>运营期路面雨水径流的污染物主要有COD</w:t>
      </w:r>
      <w:r>
        <w:rPr>
          <w:vertAlign w:val="subscript"/>
        </w:rPr>
        <w:t>Cr</w:t>
      </w:r>
      <w:r>
        <w:t>、SS和石油类，路面径流污染物浓度取决于多种因素，如交通强度、降雨强度、灰尘沉降量和前期干旱时间等。因此，影响路面径流污染物浓度的因素是多种多样的，由于其影响因素变化性大、随机性强、偶然性高，很难得出一般规律。面雨水中污染物浓度大小经历由大到小的变化过程，污染物浓度在0～15min内达到最大，随后逐渐降低，在降雨后1h趋于平稳，可达到《污水综合排放标准》（GB8978-1996）一级标准，污染物含量较低，路面雨水径流经公路雨水管道收集就近排入地表水体，对</w:t>
      </w:r>
      <w:r>
        <w:rPr>
          <w:rFonts w:hint="eastAsia"/>
          <w:lang w:val="en-US" w:eastAsia="zh-CN"/>
        </w:rPr>
        <w:t>周边环境</w:t>
      </w:r>
      <w:r>
        <w:t>的影响较小。</w:t>
      </w:r>
    </w:p>
    <w:p>
      <w:pPr>
        <w:pStyle w:val="5"/>
        <w:bidi w:val="0"/>
        <w:outlineLvl w:val="0"/>
      </w:pPr>
      <w:bookmarkStart w:id="85" w:name="_Toc16425"/>
      <w:r>
        <w:t>5.2水环境调查</w:t>
      </w:r>
      <w:bookmarkEnd w:id="85"/>
    </w:p>
    <w:p>
      <w:pPr>
        <w:pStyle w:val="6"/>
        <w:bidi w:val="0"/>
        <w:outlineLvl w:val="1"/>
      </w:pPr>
      <w:bookmarkStart w:id="86" w:name="_Toc11945"/>
      <w:r>
        <w:t>5.2.1施工期对水环境的影响</w:t>
      </w:r>
      <w:bookmarkEnd w:id="86"/>
    </w:p>
    <w:p>
      <w:pPr>
        <w:bidi w:val="0"/>
        <w:rPr>
          <w:rFonts w:hint="default" w:ascii="Times New Roman" w:hAnsi="Times New Roman" w:eastAsia="宋体"/>
          <w:lang w:val="en-US" w:eastAsia="zh-CN"/>
        </w:rPr>
      </w:pPr>
      <w:r>
        <w:t>项目施工期废水主要为施工人员生活污水和施工废水。施工废水主要为车辆、机械设备冲洗废水，经沉淀池沉淀后循环用于车辆冲洗或施工场地洒水抑尘，不外排。施工期间施工人员生活采用租用当地房租方式，施工人员生活污水排入现有村庄房屋的排水系统。</w:t>
      </w:r>
    </w:p>
    <w:p>
      <w:pPr>
        <w:pStyle w:val="6"/>
        <w:bidi w:val="0"/>
        <w:outlineLvl w:val="1"/>
      </w:pPr>
      <w:bookmarkStart w:id="87" w:name="_Toc11794"/>
      <w:r>
        <w:t>5.2.2营运期对水环境的影响</w:t>
      </w:r>
      <w:bookmarkEnd w:id="87"/>
    </w:p>
    <w:p>
      <w:pPr>
        <w:bidi w:val="0"/>
      </w:pPr>
      <w:r>
        <w:t>道路通车后，污水主要来自路面产生的路面径流和桥面径流污水，本项目道路配有良好的排水系统，路面径流随雨水井进入雨水管网，在桥梁上设置桥面径流收集系统，雨水收集后排入雨水管网，排入附近河道中，基本不会对水质造成不利影响。</w:t>
      </w:r>
    </w:p>
    <w:p>
      <w:pPr>
        <w:pStyle w:val="5"/>
        <w:bidi w:val="0"/>
        <w:outlineLvl w:val="0"/>
      </w:pPr>
      <w:bookmarkStart w:id="88" w:name="_Toc22417"/>
      <w:r>
        <w:t>5.3环境空气调查</w:t>
      </w:r>
      <w:bookmarkEnd w:id="88"/>
    </w:p>
    <w:p>
      <w:pPr>
        <w:pStyle w:val="6"/>
        <w:bidi w:val="0"/>
        <w:outlineLvl w:val="1"/>
      </w:pPr>
      <w:bookmarkStart w:id="89" w:name="_Toc2709"/>
      <w:r>
        <w:t>5.3.1施工期对环境空气的影响</w:t>
      </w:r>
      <w:bookmarkEnd w:id="89"/>
    </w:p>
    <w:p>
      <w:pPr>
        <w:bidi w:val="0"/>
      </w:pPr>
      <w:r>
        <w:t>项目施工期在施工基地周围设有围挡，对作业面和土堆进行适当的喷水，对回填土、砂石等堆放材料采取遮盖措施，施工车辆及运输车辆进行轮胎清洗，凡运送土石方等材料或渣土的车辆，均已用篷布覆盖，对主要进出的道路定期洒水清扫，同时配备雾炮机进行洒水抑尘，控制车辆行驶速度，减少粉尘产生。沥青摊铺施工避开市民出行使用道路时间（如避免在上下班高峰期进行），减少对道路的行人及司乘人员的影响；同时施工单位进行沥青摊铺时选择密闭加热摊铺装置，并将路面铺设过程中在道路两侧设置挡板，将沥青废气控制在施工场地之内，从而不会对周围环境和敏感点产生明显影响。加强对机械、车辆的维护保养。施工期采取了切实可行的扬尘治理措施，施工废气对周围大气环境影响较小。</w:t>
      </w:r>
    </w:p>
    <w:p>
      <w:pPr>
        <w:pStyle w:val="6"/>
        <w:bidi w:val="0"/>
        <w:outlineLvl w:val="1"/>
      </w:pPr>
      <w:bookmarkStart w:id="90" w:name="_Toc12016"/>
      <w:r>
        <w:t>5.3.2营运期对环境空气的影响</w:t>
      </w:r>
      <w:bookmarkEnd w:id="90"/>
    </w:p>
    <w:p>
      <w:pPr>
        <w:bidi w:val="0"/>
      </w:pPr>
      <w:r>
        <w:t>项目运营期废气主要为机动车尾气，通过提高燃油的燃烧率，安装防污染处理设备和采取开发新型发动机，采取行政管理手段，报废更新，淘汰旧车，开发新型的汽车（即无污染物排放的机动车），从控制燃料使用标准入手来控制汽车尾气排放对大气环境影响。同时加强绿化措施，能有效的降低对大气环境的影响。</w:t>
      </w:r>
    </w:p>
    <w:p>
      <w:pPr>
        <w:pStyle w:val="5"/>
        <w:bidi w:val="0"/>
        <w:outlineLvl w:val="0"/>
      </w:pPr>
      <w:bookmarkStart w:id="91" w:name="_Toc26068"/>
      <w:r>
        <w:t>5.4声环境调查</w:t>
      </w:r>
      <w:bookmarkEnd w:id="91"/>
    </w:p>
    <w:p>
      <w:pPr>
        <w:pStyle w:val="6"/>
        <w:bidi w:val="0"/>
        <w:outlineLvl w:val="1"/>
      </w:pPr>
      <w:bookmarkStart w:id="92" w:name="_Toc189"/>
      <w:r>
        <w:t>5.4.1施工期对声环境的影响</w:t>
      </w:r>
      <w:bookmarkEnd w:id="92"/>
    </w:p>
    <w:p>
      <w:pPr>
        <w:bidi w:val="0"/>
      </w:pPr>
      <w:r>
        <w:t>项目施工期噪声主要来源于各类高噪声施工机械和各类运输车辆。通过选用低噪声设备，对各噪声源设备采取合理布局，施工场地半封闭、设置围挡，合理安排作业时间，工程运输车辆合理选择运输路线，在经过居民集中区等敏感区域时采取减速禁鸣等措施，能有效的降低噪声对周围环境的影响。</w:t>
      </w:r>
    </w:p>
    <w:p>
      <w:pPr>
        <w:pStyle w:val="6"/>
        <w:bidi w:val="0"/>
        <w:outlineLvl w:val="1"/>
      </w:pPr>
      <w:bookmarkStart w:id="93" w:name="_Toc12023"/>
      <w:r>
        <w:t>5.4.2营运期对声环境的影响</w:t>
      </w:r>
      <w:bookmarkEnd w:id="93"/>
    </w:p>
    <w:p>
      <w:pPr>
        <w:bidi w:val="0"/>
        <w:rPr>
          <w:rFonts w:hint="eastAsia" w:eastAsia="宋体"/>
          <w:lang w:eastAsia="zh-CN"/>
        </w:rPr>
      </w:pPr>
      <w:r>
        <w:t>项目运营期产生的噪声主要为车辆通行的交通噪声，通过加强道路车辆管理，限制速度行驶，加强道路两侧的绿化等防治措施来降低噪声</w:t>
      </w:r>
      <w:r>
        <w:rPr>
          <w:rFonts w:hint="eastAsia"/>
          <w:lang w:eastAsia="zh-CN"/>
        </w:rPr>
        <w:t>。</w:t>
      </w:r>
    </w:p>
    <w:p>
      <w:pPr>
        <w:pStyle w:val="5"/>
        <w:bidi w:val="0"/>
        <w:outlineLvl w:val="0"/>
      </w:pPr>
      <w:bookmarkStart w:id="94" w:name="_Toc11865"/>
      <w:r>
        <w:t>5.5固体废物影响调查</w:t>
      </w:r>
      <w:bookmarkEnd w:id="94"/>
    </w:p>
    <w:p>
      <w:pPr>
        <w:pStyle w:val="6"/>
        <w:bidi w:val="0"/>
        <w:outlineLvl w:val="1"/>
      </w:pPr>
      <w:bookmarkStart w:id="95" w:name="_Toc15664"/>
      <w:r>
        <w:t>5.5.1施工期对声环境的影响</w:t>
      </w:r>
      <w:bookmarkEnd w:id="95"/>
    </w:p>
    <w:p>
      <w:pPr>
        <w:bidi w:val="0"/>
      </w:pPr>
      <w:r>
        <w:t>项目施工期固体废物主要来施工过程中产生的建筑垃圾、弃土和施工人员的生活垃圾。建筑垃圾主要来自建筑物的建设过程中产生的垃圾，主要包括渣土、碎砖、碎混凝土块等，经集中收集后，运至建筑垃圾填埋场处理。项目弃土运至指定弃土点处置。生活垃圾集中收集后送至各路段附近的城市垃圾处理场处理。项目固体废弃物均得到妥善处置，对周围环境影响较小。</w:t>
      </w:r>
    </w:p>
    <w:p>
      <w:pPr>
        <w:pStyle w:val="6"/>
        <w:bidi w:val="0"/>
        <w:outlineLvl w:val="1"/>
      </w:pPr>
      <w:bookmarkStart w:id="96" w:name="_Toc10277"/>
      <w:r>
        <w:t>5.5.2营运期对声环境的影响</w:t>
      </w:r>
      <w:bookmarkEnd w:id="96"/>
    </w:p>
    <w:p>
      <w:pPr>
        <w:bidi w:val="0"/>
      </w:pPr>
      <w:r>
        <w:t>项目运营期固体废物主要来自过往车辆以及行人留下的垃圾以及车辆上散落的货物。在运营期期间，定期清扫路面垃圾，并将垃圾装车运往垃圾填埋场处置。另一方面，严禁各种泄漏、散装超载的车辆上路，防止向道路散失货物、砂石等；严禁将垃圾倾倒在路边。</w:t>
      </w:r>
    </w:p>
    <w:p>
      <w:pPr>
        <w:pStyle w:val="5"/>
        <w:bidi w:val="0"/>
        <w:outlineLvl w:val="0"/>
      </w:pPr>
      <w:bookmarkStart w:id="97" w:name="_Toc9610"/>
      <w:r>
        <w:t>5.6社会影响调查</w:t>
      </w:r>
      <w:bookmarkEnd w:id="97"/>
    </w:p>
    <w:p>
      <w:pPr>
        <w:pStyle w:val="6"/>
        <w:bidi w:val="0"/>
        <w:outlineLvl w:val="1"/>
      </w:pPr>
      <w:bookmarkStart w:id="98" w:name="_Toc9344"/>
      <w:r>
        <w:t>5.6.1施工期对社会环境的影响</w:t>
      </w:r>
      <w:bookmarkEnd w:id="98"/>
    </w:p>
    <w:p>
      <w:pPr>
        <w:bidi w:val="0"/>
      </w:pPr>
      <w:r>
        <w:t>项目施工期间采取了合理的污染防治措施，对周围环境影响较小，经调查，建设期间未接到有关本项目建设的环保投诉。</w:t>
      </w:r>
    </w:p>
    <w:p>
      <w:pPr>
        <w:pStyle w:val="6"/>
        <w:bidi w:val="0"/>
        <w:outlineLvl w:val="1"/>
      </w:pPr>
      <w:bookmarkStart w:id="99" w:name="_Toc27744"/>
      <w:r>
        <w:t>5.6.2营运期对社会环境的影响</w:t>
      </w:r>
      <w:bookmarkEnd w:id="99"/>
    </w:p>
    <w:p>
      <w:pPr>
        <w:bidi w:val="0"/>
      </w:pPr>
      <w:r>
        <w:t>项目属于基础设施，工程的建设将极大的推进彭泽市的开发建设，对沿线区域的社会经济环境必将产生较大效益。交通的便利条件可以推动区域经济布局及产业结构的优化，加强信息、物资的人员的流动；加强对优势资源开发和投资环境的改善，为城市发展提供更好的就业机会，进而增加社会劳动者人数，其构成比例也将产生有益的变化；项目的建成后，解决该区域的交通问题，促进该区域经济、社会发展，但同时也是区内主要线性污染源。工程建成后道路两侧均设有绿化带，对屏蔽沿线交通噪声、吸收往来车辆排放的有毒、有害气体，阻滞扬尘起到了积极作用，其环境效益明显，可达到经济效益与环境效益的平衡。项目投运对环境影响基本无影响，未接到有关本项目建设的环保投诉。</w:t>
      </w:r>
    </w:p>
    <w:p>
      <w:pPr>
        <w:bidi w:val="0"/>
        <w:rPr>
          <w:rFonts w:hint="default"/>
          <w:lang w:val="en-US" w:eastAsia="zh-CN"/>
        </w:rPr>
        <w:sectPr>
          <w:footerReference r:id="rId8" w:type="default"/>
          <w:pgSz w:w="11906" w:h="16838"/>
          <w:pgMar w:top="1440" w:right="1800" w:bottom="1440" w:left="1800" w:header="992"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bidi w:val="0"/>
      </w:pPr>
      <w:bookmarkStart w:id="100" w:name="_Toc2026"/>
      <w:r>
        <w:t>六 环境质量及污染源监测</w:t>
      </w:r>
      <w:bookmarkEnd w:id="100"/>
    </w:p>
    <w:p>
      <w:pPr>
        <w:pStyle w:val="5"/>
        <w:bidi w:val="0"/>
        <w:outlineLvl w:val="0"/>
      </w:pPr>
      <w:bookmarkStart w:id="101" w:name="_Toc22396"/>
      <w:r>
        <w:t>6.</w:t>
      </w:r>
      <w:r>
        <w:rPr>
          <w:rFonts w:hint="eastAsia"/>
          <w:lang w:val="en-US" w:eastAsia="zh-CN"/>
        </w:rPr>
        <w:t>1</w:t>
      </w:r>
      <w:r>
        <w:t>环境空气监测分析过程中的质量保证和质量控制</w:t>
      </w:r>
      <w:bookmarkEnd w:id="101"/>
    </w:p>
    <w:p>
      <w:pPr>
        <w:pStyle w:val="6"/>
        <w:bidi w:val="0"/>
        <w:outlineLvl w:val="1"/>
      </w:pPr>
      <w:bookmarkStart w:id="102" w:name="_Toc20265"/>
      <w:r>
        <w:t>6</w:t>
      </w:r>
      <w:r>
        <w:rPr>
          <w:rFonts w:hint="eastAsia"/>
          <w:lang w:val="en-US" w:eastAsia="zh-CN"/>
        </w:rPr>
        <w:t>.1</w:t>
      </w:r>
      <w:r>
        <w:t>.1质量保证和质量控制</w:t>
      </w:r>
      <w:bookmarkEnd w:id="102"/>
    </w:p>
    <w:p>
      <w:pPr>
        <w:bidi w:val="0"/>
      </w:pPr>
      <w:r>
        <w:t>1、环境空气采样严格按照</w:t>
      </w:r>
      <w:r>
        <w:rPr>
          <w:rFonts w:hint="eastAsia"/>
        </w:rPr>
        <w:t>《环境空气质量手工监测技术规范》HJ/T194-2017及修改单</w:t>
      </w:r>
      <w:r>
        <w:t>中规定的方法进行。</w:t>
      </w:r>
    </w:p>
    <w:p>
      <w:pPr>
        <w:bidi w:val="0"/>
        <w:outlineLvl w:val="2"/>
      </w:pPr>
      <w:bookmarkStart w:id="103" w:name="_Toc3619"/>
      <w:r>
        <w:t>2、采样器在使用前进行流量校准，并保证采样时不漏气。</w:t>
      </w:r>
      <w:bookmarkEnd w:id="103"/>
    </w:p>
    <w:p>
      <w:pPr>
        <w:bidi w:val="0"/>
      </w:pPr>
      <w:r>
        <w:t>3、监测人员及分析人员持上岗证，监测仪器经计量检定部门检定合格并在有效期内。</w:t>
      </w:r>
    </w:p>
    <w:p>
      <w:pPr>
        <w:keepNext w:val="0"/>
        <w:keepLines w:val="0"/>
        <w:widowControl/>
        <w:suppressLineNumbers w:val="0"/>
        <w:jc w:val="left"/>
        <w:outlineLvl w:val="2"/>
      </w:pPr>
      <w:bookmarkStart w:id="104" w:name="_Toc5023"/>
      <w:r>
        <w:rPr>
          <w:rFonts w:hint="default" w:ascii="Times New Roman" w:hAnsi="Times New Roman" w:eastAsia="宋体" w:cs="Times New Roman"/>
          <w:snapToGrid w:val="0"/>
          <w:color w:val="000000"/>
          <w:kern w:val="0"/>
          <w:sz w:val="24"/>
          <w:szCs w:val="24"/>
          <w:lang w:val="en-US" w:eastAsia="zh-CN" w:bidi="ar"/>
        </w:rPr>
        <w:t>4</w:t>
      </w:r>
      <w:r>
        <w:rPr>
          <w:rFonts w:hint="eastAsia" w:ascii="宋体" w:hAnsi="宋体" w:eastAsia="宋体" w:cs="宋体"/>
          <w:snapToGrid w:val="0"/>
          <w:color w:val="000000"/>
          <w:kern w:val="0"/>
          <w:sz w:val="24"/>
          <w:szCs w:val="24"/>
          <w:lang w:val="en-US" w:eastAsia="zh-CN" w:bidi="ar"/>
        </w:rPr>
        <w:t>、数据由专人处理，并经审核。</w:t>
      </w:r>
      <w:bookmarkEnd w:id="104"/>
    </w:p>
    <w:p>
      <w:pPr>
        <w:keepNext w:val="0"/>
        <w:keepLines w:val="0"/>
        <w:widowControl/>
        <w:suppressLineNumbers w:val="0"/>
        <w:jc w:val="left"/>
      </w:pPr>
      <w:r>
        <w:rPr>
          <w:rFonts w:hint="eastAsia" w:ascii="宋体" w:hAnsi="宋体" w:eastAsia="宋体" w:cs="宋体"/>
          <w:snapToGrid w:val="0"/>
          <w:color w:val="000000"/>
          <w:kern w:val="0"/>
          <w:sz w:val="24"/>
          <w:szCs w:val="24"/>
          <w:lang w:val="en-US" w:eastAsia="zh-CN" w:bidi="ar"/>
        </w:rPr>
        <w:t>本项目</w:t>
      </w:r>
      <w:r>
        <w:rPr>
          <w:rFonts w:hint="eastAsia" w:ascii="宋体" w:hAnsi="宋体" w:cs="宋体"/>
          <w:snapToGrid w:val="0"/>
          <w:color w:val="000000"/>
          <w:kern w:val="0"/>
          <w:sz w:val="24"/>
          <w:szCs w:val="24"/>
          <w:lang w:val="en-US" w:eastAsia="zh-CN" w:bidi="ar"/>
        </w:rPr>
        <w:t>分析测试方法</w:t>
      </w:r>
      <w:r>
        <w:rPr>
          <w:rFonts w:hint="eastAsia" w:ascii="宋体" w:hAnsi="宋体" w:eastAsia="宋体" w:cs="宋体"/>
          <w:snapToGrid w:val="0"/>
          <w:color w:val="000000"/>
          <w:kern w:val="0"/>
          <w:sz w:val="24"/>
          <w:szCs w:val="24"/>
          <w:lang w:val="en-US" w:eastAsia="zh-CN" w:bidi="ar"/>
        </w:rPr>
        <w:t>见下表。</w:t>
      </w:r>
    </w:p>
    <w:p>
      <w:pPr>
        <w:pStyle w:val="9"/>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cs="Times New Roman"/>
          <w:b/>
          <w:bCs/>
          <w:sz w:val="21"/>
          <w:szCs w:val="21"/>
        </w:rPr>
        <w:t>表6-</w:t>
      </w:r>
      <w:r>
        <w:rPr>
          <w:rFonts w:hint="default" w:ascii="Times New Roman" w:hAnsi="Times New Roman" w:cs="Times New Roman"/>
          <w:b/>
          <w:bCs/>
          <w:sz w:val="21"/>
          <w:szCs w:val="21"/>
          <w:lang w:val="en-US" w:eastAsia="zh-CN"/>
        </w:rPr>
        <w:t>1</w:t>
      </w:r>
      <w:r>
        <w:rPr>
          <w:rFonts w:hint="default" w:ascii="Times New Roman" w:hAnsi="Times New Roman" w:cs="Times New Roman"/>
          <w:b/>
          <w:bCs/>
          <w:sz w:val="21"/>
          <w:szCs w:val="21"/>
        </w:rPr>
        <w:t xml:space="preserve">  </w:t>
      </w:r>
      <w:r>
        <w:rPr>
          <w:rFonts w:hint="default" w:ascii="Times New Roman" w:hAnsi="Times New Roman" w:eastAsia="宋体" w:cs="Times New Roman"/>
          <w:b/>
          <w:bCs/>
          <w:sz w:val="21"/>
          <w:szCs w:val="21"/>
          <w:vertAlign w:val="baseline"/>
          <w:lang w:val="en-US" w:eastAsia="zh-CN"/>
        </w:rPr>
        <w:t>分析测试方法</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4"/>
        <w:gridCol w:w="713"/>
        <w:gridCol w:w="2531"/>
        <w:gridCol w:w="1838"/>
        <w:gridCol w:w="1300"/>
        <w:gridCol w:w="1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325"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类别</w:t>
            </w:r>
          </w:p>
        </w:tc>
        <w:tc>
          <w:tcPr>
            <w:tcW w:w="418"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检测项目</w:t>
            </w:r>
          </w:p>
        </w:tc>
        <w:tc>
          <w:tcPr>
            <w:tcW w:w="1484"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分析方法及来源</w:t>
            </w:r>
          </w:p>
        </w:tc>
        <w:tc>
          <w:tcPr>
            <w:tcW w:w="1078"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主要检测仪器</w:t>
            </w:r>
          </w:p>
        </w:tc>
        <w:tc>
          <w:tcPr>
            <w:tcW w:w="762"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仪器编号</w:t>
            </w:r>
          </w:p>
        </w:tc>
        <w:tc>
          <w:tcPr>
            <w:tcW w:w="93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环境空气</w:t>
            </w:r>
          </w:p>
        </w:tc>
        <w:tc>
          <w:tcPr>
            <w:tcW w:w="418"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PM</w:t>
            </w:r>
            <w:r>
              <w:rPr>
                <w:rFonts w:hint="default" w:ascii="Times New Roman" w:hAnsi="Times New Roman" w:eastAsia="宋体" w:cs="Times New Roman"/>
                <w:snapToGrid w:val="0"/>
                <w:color w:val="000000"/>
                <w:kern w:val="0"/>
                <w:sz w:val="21"/>
                <w:szCs w:val="21"/>
                <w:vertAlign w:val="subscript"/>
                <w:lang w:val="en-US" w:eastAsia="zh-CN" w:bidi="ar"/>
              </w:rPr>
              <w:t>10</w:t>
            </w:r>
          </w:p>
        </w:tc>
        <w:tc>
          <w:tcPr>
            <w:tcW w:w="148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环境空气PM10和PM2.5的测定重量法及修改单(HJ618-2011/XG1-2018)</w:t>
            </w:r>
          </w:p>
        </w:tc>
        <w:tc>
          <w:tcPr>
            <w:tcW w:w="1078" w:type="pct"/>
            <w:vAlign w:val="center"/>
          </w:tcPr>
          <w:p>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电子分析天平ES-E</w:t>
            </w:r>
          </w:p>
        </w:tc>
        <w:tc>
          <w:tcPr>
            <w:tcW w:w="762"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GK-A-29</w:t>
            </w:r>
          </w:p>
        </w:tc>
        <w:tc>
          <w:tcPr>
            <w:tcW w:w="930" w:type="pct"/>
            <w:vAlign w:val="center"/>
          </w:tcPr>
          <w:p>
            <w:pPr>
              <w:keepNext w:val="0"/>
              <w:keepLines w:val="0"/>
              <w:pageBreakBefore w:val="0"/>
              <w:widowControl/>
              <w:suppressLineNumbers w:val="0"/>
              <w:kinsoku/>
              <w:wordWrap/>
              <w:overflowPunct/>
              <w:topLinePunct w:val="0"/>
              <w:autoSpaceDE/>
              <w:autoSpaceDN/>
              <w:bidi w:val="0"/>
              <w:spacing w:line="240" w:lineRule="auto"/>
              <w:ind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0.007mg/m</w:t>
            </w:r>
            <w:r>
              <w:rPr>
                <w:rFonts w:hint="default" w:ascii="Times New Roman" w:hAnsi="Times New Roman" w:eastAsia="宋体" w:cs="Times New Roman"/>
                <w:snapToGrid w:val="0"/>
                <w:color w:val="000000"/>
                <w:kern w:val="0"/>
                <w:sz w:val="21"/>
                <w:szCs w:val="21"/>
                <w:vertAlign w:val="superscript"/>
                <w:lang w:val="en-US" w:eastAsia="zh-CN" w:bidi="ar"/>
              </w:rPr>
              <w:t>3</w:t>
            </w:r>
          </w:p>
        </w:tc>
      </w:tr>
    </w:tbl>
    <w:p>
      <w:pPr>
        <w:pStyle w:val="6"/>
        <w:bidi w:val="0"/>
        <w:outlineLvl w:val="1"/>
      </w:pPr>
      <w:bookmarkStart w:id="105" w:name="_Toc24225"/>
      <w:r>
        <w:t>6.</w:t>
      </w:r>
      <w:r>
        <w:rPr>
          <w:rFonts w:hint="eastAsia"/>
          <w:lang w:val="en-US" w:eastAsia="zh-CN"/>
        </w:rPr>
        <w:t>1</w:t>
      </w:r>
      <w:r>
        <w:t>.2环境空气质量监测因子及监测点</w:t>
      </w:r>
      <w:bookmarkEnd w:id="105"/>
    </w:p>
    <w:p>
      <w:pPr>
        <w:bidi w:val="0"/>
      </w:pPr>
      <w:r>
        <w:rPr>
          <w:rFonts w:hint="eastAsia"/>
          <w:lang w:val="en-US" w:eastAsia="zh-CN"/>
        </w:rPr>
        <w:t>本</w:t>
      </w:r>
      <w:r>
        <w:t>项目于</w:t>
      </w:r>
      <w:r>
        <w:rPr>
          <w:rFonts w:hint="eastAsia"/>
          <w:lang w:val="en-US" w:eastAsia="zh-CN"/>
        </w:rPr>
        <w:t>2024</w:t>
      </w:r>
      <w:r>
        <w:t>年</w:t>
      </w:r>
      <w:r>
        <w:rPr>
          <w:rFonts w:hint="eastAsia"/>
          <w:lang w:val="en-US" w:eastAsia="zh-CN"/>
        </w:rPr>
        <w:t>2</w:t>
      </w:r>
      <w:r>
        <w:t>月</w:t>
      </w:r>
      <w:r>
        <w:rPr>
          <w:rFonts w:hint="eastAsia"/>
          <w:lang w:val="en-US" w:eastAsia="zh-CN"/>
        </w:rPr>
        <w:t>29</w:t>
      </w:r>
      <w:r>
        <w:t>日至202</w:t>
      </w:r>
      <w:r>
        <w:rPr>
          <w:rFonts w:hint="eastAsia"/>
          <w:lang w:val="en-US" w:eastAsia="zh-CN"/>
        </w:rPr>
        <w:t>4</w:t>
      </w:r>
      <w:r>
        <w:t>年</w:t>
      </w:r>
      <w:r>
        <w:rPr>
          <w:rFonts w:hint="eastAsia"/>
          <w:lang w:val="en-US" w:eastAsia="zh-CN"/>
        </w:rPr>
        <w:t>3</w:t>
      </w:r>
      <w:r>
        <w:t>月</w:t>
      </w:r>
      <w:r>
        <w:rPr>
          <w:rFonts w:hint="eastAsia"/>
          <w:lang w:val="en-US" w:eastAsia="zh-CN"/>
        </w:rPr>
        <w:t>9</w:t>
      </w:r>
      <w:r>
        <w:t>日委托</w:t>
      </w:r>
      <w:r>
        <w:rPr>
          <w:rFonts w:hint="eastAsia"/>
          <w:lang w:val="en-US" w:eastAsia="zh-CN"/>
        </w:rPr>
        <w:t>新疆国科检测</w:t>
      </w:r>
      <w:r>
        <w:t>有限公司对本项目运营期环境空气质量现状进行监测，监测点位如下表所示。</w:t>
      </w:r>
    </w:p>
    <w:p>
      <w:pPr>
        <w:pStyle w:val="16"/>
        <w:bidi w:val="0"/>
        <w:rPr>
          <w:rFonts w:hint="default" w:eastAsia="宋体"/>
          <w:lang w:val="en-US" w:eastAsia="zh-CN"/>
        </w:rPr>
      </w:pPr>
      <w:r>
        <w:t>表6-</w:t>
      </w:r>
      <w:r>
        <w:rPr>
          <w:rFonts w:hint="eastAsia"/>
          <w:lang w:val="en-US" w:eastAsia="zh-CN"/>
        </w:rPr>
        <w:t>2</w:t>
      </w:r>
      <w:r>
        <w:t xml:space="preserve"> </w:t>
      </w:r>
      <w:r>
        <w:rPr>
          <w:rFonts w:hint="eastAsia"/>
          <w:lang w:val="en-US" w:eastAsia="zh-CN"/>
        </w:rPr>
        <w:t xml:space="preserve"> </w:t>
      </w:r>
      <w:r>
        <w:t>环境空气</w:t>
      </w:r>
      <w:r>
        <w:rPr>
          <w:rFonts w:hint="eastAsia"/>
          <w:lang w:val="en-US" w:eastAsia="zh-CN"/>
        </w:rPr>
        <w:t>监测点位信息</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8"/>
        <w:gridCol w:w="1753"/>
        <w:gridCol w:w="2439"/>
        <w:gridCol w:w="981"/>
        <w:gridCol w:w="1112"/>
        <w:gridCol w:w="14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474"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类别</w:t>
            </w:r>
          </w:p>
        </w:tc>
        <w:tc>
          <w:tcPr>
            <w:tcW w:w="1028"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检测点位名称</w:t>
            </w:r>
          </w:p>
        </w:tc>
        <w:tc>
          <w:tcPr>
            <w:tcW w:w="143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检测项目</w:t>
            </w:r>
          </w:p>
        </w:tc>
        <w:tc>
          <w:tcPr>
            <w:tcW w:w="575"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点位数</w:t>
            </w:r>
          </w:p>
        </w:tc>
        <w:tc>
          <w:tcPr>
            <w:tcW w:w="652"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样品状态</w:t>
            </w:r>
          </w:p>
        </w:tc>
        <w:tc>
          <w:tcPr>
            <w:tcW w:w="838"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3" w:hRule="atLeast"/>
        </w:trPr>
        <w:tc>
          <w:tcPr>
            <w:tcW w:w="474" w:type="pct"/>
            <w:vMerge w:val="restar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环境空气</w:t>
            </w:r>
          </w:p>
        </w:tc>
        <w:tc>
          <w:tcPr>
            <w:tcW w:w="1028" w:type="pct"/>
            <w:vMerge w:val="restar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项目区1#</w:t>
            </w:r>
          </w:p>
        </w:tc>
        <w:tc>
          <w:tcPr>
            <w:tcW w:w="1430"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PM</w:t>
            </w:r>
            <w:r>
              <w:rPr>
                <w:rFonts w:hint="default" w:ascii="Times New Roman" w:hAnsi="Times New Roman" w:eastAsia="宋体" w:cs="Times New Roman"/>
                <w:snapToGrid w:val="0"/>
                <w:color w:val="000000"/>
                <w:kern w:val="0"/>
                <w:sz w:val="21"/>
                <w:szCs w:val="21"/>
                <w:vertAlign w:val="subscript"/>
                <w:lang w:val="en-US" w:eastAsia="zh-CN" w:bidi="ar"/>
              </w:rPr>
              <w:t>10</w:t>
            </w:r>
          </w:p>
        </w:tc>
        <w:tc>
          <w:tcPr>
            <w:tcW w:w="575" w:type="pct"/>
            <w:vMerge w:val="restar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w:t>
            </w:r>
          </w:p>
        </w:tc>
        <w:tc>
          <w:tcPr>
            <w:tcW w:w="652"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both"/>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滤膜</w:t>
            </w:r>
          </w:p>
        </w:tc>
        <w:tc>
          <w:tcPr>
            <w:tcW w:w="838" w:type="pct"/>
            <w:vMerge w:val="restar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w:t>
            </w:r>
            <w:r>
              <w:rPr>
                <w:rFonts w:hint="default" w:ascii="Times New Roman" w:hAnsi="Times New Roman" w:eastAsia="宋体" w:cs="Times New Roman"/>
                <w:sz w:val="21"/>
                <w:szCs w:val="21"/>
                <w:vertAlign w:val="baseline"/>
                <w:lang w:val="en-US" w:eastAsia="zh-CN"/>
              </w:rPr>
              <w:t>次/天，</w:t>
            </w:r>
            <w:r>
              <w:rPr>
                <w:rFonts w:hint="eastAsia" w:ascii="Times New Roman" w:hAnsi="Times New Roman" w:eastAsia="宋体" w:cs="Times New Roman"/>
                <w:sz w:val="21"/>
                <w:szCs w:val="21"/>
                <w:vertAlign w:val="baseline"/>
                <w:lang w:val="en-US" w:eastAsia="zh-CN"/>
              </w:rPr>
              <w:t>7</w:t>
            </w:r>
            <w:r>
              <w:rPr>
                <w:rFonts w:hint="default" w:ascii="Times New Roman" w:hAnsi="Times New Roman" w:eastAsia="宋体" w:cs="Times New Roman"/>
                <w:sz w:val="21"/>
                <w:szCs w:val="21"/>
                <w:vertAlign w:val="baseline"/>
                <w:lang w:val="en-US" w:eastAsia="zh-CN"/>
              </w:rPr>
              <w:t>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trPr>
        <w:tc>
          <w:tcPr>
            <w:tcW w:w="474" w:type="pct"/>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cs="Times New Roman"/>
                <w:sz w:val="21"/>
                <w:szCs w:val="21"/>
              </w:rPr>
            </w:pPr>
          </w:p>
        </w:tc>
        <w:tc>
          <w:tcPr>
            <w:tcW w:w="1028" w:type="pct"/>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cs="Times New Roman"/>
                <w:sz w:val="21"/>
                <w:szCs w:val="21"/>
              </w:rPr>
            </w:pPr>
          </w:p>
        </w:tc>
        <w:tc>
          <w:tcPr>
            <w:tcW w:w="1430"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eastAsia" w:ascii="Times New Roman" w:hAnsi="Times New Roman" w:eastAsia="宋体" w:cs="Times New Roman"/>
                <w:snapToGrid w:val="0"/>
                <w:color w:val="000000"/>
                <w:kern w:val="0"/>
                <w:sz w:val="21"/>
                <w:szCs w:val="21"/>
                <w:lang w:val="en-US" w:eastAsia="zh-CN" w:bidi="ar"/>
              </w:rPr>
              <w:t>氮氧化物</w:t>
            </w:r>
          </w:p>
        </w:tc>
        <w:tc>
          <w:tcPr>
            <w:tcW w:w="575" w:type="pct"/>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p>
        </w:tc>
        <w:tc>
          <w:tcPr>
            <w:tcW w:w="652"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eastAsia" w:ascii="Times New Roman" w:hAnsi="Times New Roman" w:eastAsia="宋体" w:cs="Times New Roman"/>
                <w:snapToGrid w:val="0"/>
                <w:color w:val="000000"/>
                <w:kern w:val="0"/>
                <w:sz w:val="21"/>
                <w:szCs w:val="21"/>
                <w:lang w:val="en-US" w:eastAsia="zh-CN" w:bidi="ar"/>
              </w:rPr>
              <w:t>吸收液</w:t>
            </w:r>
          </w:p>
        </w:tc>
        <w:tc>
          <w:tcPr>
            <w:tcW w:w="838" w:type="pct"/>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4"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噪声</w:t>
            </w:r>
          </w:p>
        </w:tc>
        <w:tc>
          <w:tcPr>
            <w:tcW w:w="1028"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w:t>
            </w:r>
            <w:r>
              <w:rPr>
                <w:rFonts w:hint="eastAsia" w:ascii="Times New Roman" w:hAnsi="Times New Roman" w:eastAsia="宋体" w:cs="Times New Roman"/>
                <w:sz w:val="21"/>
                <w:szCs w:val="21"/>
                <w:vertAlign w:val="baseline"/>
                <w:lang w:val="en-US" w:eastAsia="zh-CN"/>
              </w:rPr>
              <w:t>5</w:t>
            </w:r>
            <w:r>
              <w:rPr>
                <w:rFonts w:hint="default" w:ascii="Times New Roman" w:hAnsi="Times New Roman" w:eastAsia="宋体" w:cs="Times New Roman"/>
                <w:sz w:val="21"/>
                <w:szCs w:val="21"/>
                <w:vertAlign w:val="baseline"/>
                <w:lang w:val="en-US" w:eastAsia="zh-CN"/>
              </w:rPr>
              <w:t>#</w:t>
            </w:r>
            <w:r>
              <w:rPr>
                <w:rFonts w:hint="eastAsia" w:ascii="Times New Roman" w:hAnsi="Times New Roman" w:eastAsia="宋体" w:cs="Times New Roman"/>
                <w:sz w:val="21"/>
                <w:szCs w:val="21"/>
                <w:vertAlign w:val="baseline"/>
                <w:lang w:val="en-US" w:eastAsia="zh-CN"/>
              </w:rPr>
              <w:t>项目区</w:t>
            </w:r>
            <w:r>
              <w:rPr>
                <w:rFonts w:hint="default" w:ascii="Times New Roman" w:hAnsi="Times New Roman" w:eastAsia="宋体" w:cs="Times New Roman"/>
                <w:sz w:val="21"/>
                <w:szCs w:val="21"/>
                <w:vertAlign w:val="baseline"/>
                <w:lang w:val="en-US" w:eastAsia="zh-CN"/>
              </w:rPr>
              <w:t>四周</w:t>
            </w:r>
          </w:p>
        </w:tc>
        <w:tc>
          <w:tcPr>
            <w:tcW w:w="1430"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噪声</w:t>
            </w:r>
          </w:p>
        </w:tc>
        <w:tc>
          <w:tcPr>
            <w:tcW w:w="575"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5</w:t>
            </w:r>
          </w:p>
        </w:tc>
        <w:tc>
          <w:tcPr>
            <w:tcW w:w="652"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现场直读</w:t>
            </w:r>
          </w:p>
        </w:tc>
        <w:tc>
          <w:tcPr>
            <w:tcW w:w="838"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昼夜各一次，</w:t>
            </w:r>
            <w:r>
              <w:rPr>
                <w:rFonts w:hint="eastAsia" w:ascii="Times New Roman" w:hAnsi="Times New Roman" w:eastAsia="宋体" w:cs="Times New Roman"/>
                <w:sz w:val="21"/>
                <w:szCs w:val="21"/>
                <w:vertAlign w:val="baseline"/>
                <w:lang w:val="en-US" w:eastAsia="zh-CN"/>
              </w:rPr>
              <w:t>3</w:t>
            </w:r>
            <w:r>
              <w:rPr>
                <w:rFonts w:hint="default" w:ascii="Times New Roman" w:hAnsi="Times New Roman" w:eastAsia="宋体" w:cs="Times New Roman"/>
                <w:sz w:val="21"/>
                <w:szCs w:val="21"/>
                <w:vertAlign w:val="baseline"/>
                <w:lang w:val="en-US" w:eastAsia="zh-CN"/>
              </w:rPr>
              <w:t>天</w:t>
            </w:r>
          </w:p>
        </w:tc>
      </w:tr>
    </w:tbl>
    <w:p>
      <w:pPr>
        <w:pStyle w:val="6"/>
        <w:bidi w:val="0"/>
        <w:outlineLvl w:val="1"/>
      </w:pPr>
      <w:bookmarkStart w:id="106" w:name="_Toc17194"/>
      <w:r>
        <w:t>6.</w:t>
      </w:r>
      <w:r>
        <w:rPr>
          <w:rFonts w:hint="eastAsia"/>
          <w:lang w:val="en-US" w:eastAsia="zh-CN"/>
        </w:rPr>
        <w:t>1</w:t>
      </w:r>
      <w:r>
        <w:t>.3环境空气监测结果</w:t>
      </w:r>
      <w:bookmarkEnd w:id="106"/>
    </w:p>
    <w:p>
      <w:pPr>
        <w:bidi w:val="0"/>
      </w:pPr>
      <w:r>
        <w:t>本次验收监测，环境空气监测结果见</w:t>
      </w:r>
      <w:r>
        <w:rPr>
          <w:rFonts w:hint="eastAsia"/>
          <w:lang w:val="en-US" w:eastAsia="zh-CN"/>
        </w:rPr>
        <w:t>下</w:t>
      </w:r>
      <w:r>
        <w:t>表。</w:t>
      </w:r>
    </w:p>
    <w:p>
      <w:pPr>
        <w:pStyle w:val="16"/>
        <w:bidi w:val="0"/>
      </w:pPr>
      <w:r>
        <w:t>表6-</w:t>
      </w:r>
      <w:r>
        <w:rPr>
          <w:rFonts w:hint="eastAsia"/>
          <w:lang w:val="en-US" w:eastAsia="zh-CN"/>
        </w:rPr>
        <w:t>3</w:t>
      </w:r>
      <w:r>
        <w:t xml:space="preserve">  环境空气监测监测结果一览表</w:t>
      </w:r>
    </w:p>
    <w:tbl>
      <w:tblPr>
        <w:tblStyle w:val="20"/>
        <w:tblW w:w="502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83"/>
        <w:gridCol w:w="2450"/>
        <w:gridCol w:w="2181"/>
        <w:gridCol w:w="2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8" w:hRule="atLeast"/>
        </w:trPr>
        <w:tc>
          <w:tcPr>
            <w:tcW w:w="732" w:type="pct"/>
            <w:vMerge w:val="restar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eastAsia" w:eastAsia="宋体"/>
                <w:sz w:val="21"/>
                <w:szCs w:val="21"/>
                <w:lang w:val="en-US" w:eastAsia="zh-CN"/>
              </w:rPr>
            </w:pPr>
            <w:r>
              <w:rPr>
                <w:sz w:val="21"/>
                <w:szCs w:val="21"/>
              </w:rPr>
              <w:t>监测</w:t>
            </w:r>
            <w:r>
              <w:rPr>
                <w:rFonts w:hint="eastAsia"/>
                <w:sz w:val="21"/>
                <w:szCs w:val="21"/>
                <w:lang w:val="en-US" w:eastAsia="zh-CN"/>
              </w:rPr>
              <w:t>点位</w:t>
            </w:r>
          </w:p>
        </w:tc>
        <w:tc>
          <w:tcPr>
            <w:tcW w:w="1395" w:type="pct"/>
            <w:vMerge w:val="restar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eastAsia" w:eastAsia="宋体"/>
                <w:sz w:val="21"/>
                <w:szCs w:val="21"/>
                <w:lang w:eastAsia="zh-CN"/>
              </w:rPr>
            </w:pPr>
            <w:r>
              <w:rPr>
                <w:sz w:val="21"/>
                <w:szCs w:val="21"/>
              </w:rPr>
              <w:t>监测</w:t>
            </w:r>
            <w:r>
              <w:rPr>
                <w:rFonts w:hint="eastAsia"/>
                <w:sz w:val="21"/>
                <w:szCs w:val="21"/>
                <w:lang w:val="en-US" w:eastAsia="zh-CN"/>
              </w:rPr>
              <w:t>时间</w:t>
            </w:r>
          </w:p>
        </w:tc>
        <w:tc>
          <w:tcPr>
            <w:tcW w:w="2872" w:type="pct"/>
            <w:gridSpan w:val="2"/>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r>
              <w:rPr>
                <w:sz w:val="21"/>
                <w:szCs w:val="21"/>
              </w:rPr>
              <w:t>监测结果（mg/m</w:t>
            </w:r>
            <w:r>
              <w:rPr>
                <w:sz w:val="21"/>
                <w:szCs w:val="21"/>
                <w:vertAlign w:val="superscript"/>
              </w:rPr>
              <w:t>3</w:t>
            </w:r>
            <w:r>
              <w:rPr>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8" w:hRule="atLeast"/>
        </w:trPr>
        <w:tc>
          <w:tcPr>
            <w:tcW w:w="732" w:type="pct"/>
            <w:vMerge w:val="continue"/>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p>
        </w:tc>
        <w:tc>
          <w:tcPr>
            <w:tcW w:w="1395" w:type="pct"/>
            <w:vMerge w:val="continue"/>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p>
        </w:tc>
        <w:tc>
          <w:tcPr>
            <w:tcW w:w="1329"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r>
              <w:rPr>
                <w:rFonts w:hint="default" w:ascii="Times New Roman" w:hAnsi="Times New Roman" w:eastAsia="宋体" w:cs="Times New Roman"/>
                <w:snapToGrid w:val="0"/>
                <w:color w:val="000000"/>
                <w:kern w:val="0"/>
                <w:sz w:val="21"/>
                <w:szCs w:val="21"/>
                <w:lang w:val="en-US" w:eastAsia="zh-CN" w:bidi="ar"/>
              </w:rPr>
              <w:t>PM</w:t>
            </w:r>
            <w:r>
              <w:rPr>
                <w:rFonts w:hint="default" w:ascii="Times New Roman" w:hAnsi="Times New Roman" w:eastAsia="宋体" w:cs="Times New Roman"/>
                <w:snapToGrid w:val="0"/>
                <w:color w:val="000000"/>
                <w:kern w:val="0"/>
                <w:sz w:val="21"/>
                <w:szCs w:val="21"/>
                <w:vertAlign w:val="subscript"/>
                <w:lang w:val="en-US" w:eastAsia="zh-CN" w:bidi="ar"/>
              </w:rPr>
              <w:t>10</w:t>
            </w:r>
          </w:p>
        </w:tc>
        <w:tc>
          <w:tcPr>
            <w:tcW w:w="1543"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r>
              <w:rPr>
                <w:rFonts w:hint="eastAsia" w:ascii="Times New Roman" w:hAnsi="Times New Roman" w:eastAsia="宋体" w:cs="Times New Roman"/>
                <w:snapToGrid w:val="0"/>
                <w:color w:val="000000"/>
                <w:kern w:val="0"/>
                <w:sz w:val="21"/>
                <w:szCs w:val="21"/>
                <w:lang w:val="en-US" w:eastAsia="zh-CN" w:bidi="ar"/>
              </w:rPr>
              <w:t>氮氧化物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8" w:hRule="atLeast"/>
        </w:trPr>
        <w:tc>
          <w:tcPr>
            <w:tcW w:w="732" w:type="pct"/>
            <w:vMerge w:val="restar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r>
              <w:rPr>
                <w:rFonts w:hint="eastAsia" w:ascii="Times New Roman" w:hAnsi="Times New Roman" w:eastAsia="宋体" w:cs="Times New Roman"/>
                <w:sz w:val="21"/>
                <w:szCs w:val="21"/>
                <w:vertAlign w:val="baseline"/>
                <w:lang w:val="en-US" w:eastAsia="zh-CN"/>
              </w:rPr>
              <w:t>项目区1#</w:t>
            </w:r>
          </w:p>
        </w:tc>
        <w:tc>
          <w:tcPr>
            <w:tcW w:w="1395"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eastAsia="宋体"/>
                <w:sz w:val="21"/>
                <w:szCs w:val="21"/>
                <w:lang w:val="en-US" w:eastAsia="zh-CN"/>
              </w:rPr>
            </w:pPr>
            <w:r>
              <w:rPr>
                <w:rFonts w:hint="eastAsia"/>
                <w:sz w:val="21"/>
                <w:szCs w:val="21"/>
                <w:lang w:val="en-US" w:eastAsia="zh-CN"/>
              </w:rPr>
              <w:t>2024.02.29-2024.03.01</w:t>
            </w:r>
          </w:p>
        </w:tc>
        <w:tc>
          <w:tcPr>
            <w:tcW w:w="1329"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eastAsia" w:eastAsia="宋体"/>
                <w:sz w:val="21"/>
                <w:szCs w:val="21"/>
                <w:lang w:eastAsia="zh-CN"/>
              </w:rPr>
            </w:pPr>
            <w:r>
              <w:rPr>
                <w:sz w:val="21"/>
                <w:szCs w:val="21"/>
              </w:rPr>
              <w:t>0.</w:t>
            </w:r>
            <w:r>
              <w:rPr>
                <w:rFonts w:hint="eastAsia"/>
                <w:sz w:val="21"/>
                <w:szCs w:val="21"/>
                <w:lang w:val="en-US" w:eastAsia="zh-CN"/>
              </w:rPr>
              <w:t>1</w:t>
            </w:r>
            <w:r>
              <w:rPr>
                <w:sz w:val="21"/>
                <w:szCs w:val="21"/>
              </w:rPr>
              <w:t>7</w:t>
            </w:r>
            <w:r>
              <w:rPr>
                <w:rFonts w:hint="eastAsia"/>
                <w:sz w:val="21"/>
                <w:szCs w:val="21"/>
                <w:lang w:val="en-US" w:eastAsia="zh-CN"/>
              </w:rPr>
              <w:t>9</w:t>
            </w:r>
          </w:p>
        </w:tc>
        <w:tc>
          <w:tcPr>
            <w:tcW w:w="1543"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eastAsia="宋体"/>
                <w:sz w:val="21"/>
                <w:szCs w:val="21"/>
                <w:lang w:val="en-US" w:eastAsia="zh-CN"/>
              </w:rPr>
            </w:pPr>
            <w:r>
              <w:rPr>
                <w:rFonts w:hint="eastAsia"/>
                <w:sz w:val="21"/>
                <w:szCs w:val="21"/>
                <w:lang w:val="en-US" w:eastAsia="zh-CN"/>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3" w:hRule="atLeast"/>
        </w:trPr>
        <w:tc>
          <w:tcPr>
            <w:tcW w:w="732" w:type="pct"/>
            <w:vMerge w:val="continue"/>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p>
        </w:tc>
        <w:tc>
          <w:tcPr>
            <w:tcW w:w="1395"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eastAsia="宋体"/>
                <w:sz w:val="21"/>
                <w:szCs w:val="21"/>
                <w:lang w:val="en-US" w:eastAsia="zh-CN"/>
              </w:rPr>
            </w:pPr>
            <w:r>
              <w:rPr>
                <w:rFonts w:hint="eastAsia"/>
                <w:sz w:val="21"/>
                <w:szCs w:val="21"/>
                <w:lang w:val="en-US" w:eastAsia="zh-CN"/>
              </w:rPr>
              <w:t>2024.03.01-2024.03.02</w:t>
            </w:r>
          </w:p>
        </w:tc>
        <w:tc>
          <w:tcPr>
            <w:tcW w:w="1329"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eastAsia="宋体"/>
                <w:sz w:val="21"/>
                <w:szCs w:val="21"/>
                <w:lang w:val="en-US" w:eastAsia="zh-CN"/>
              </w:rPr>
            </w:pPr>
            <w:r>
              <w:rPr>
                <w:sz w:val="21"/>
                <w:szCs w:val="21"/>
              </w:rPr>
              <w:t>0.</w:t>
            </w:r>
            <w:r>
              <w:rPr>
                <w:rFonts w:hint="eastAsia"/>
                <w:sz w:val="21"/>
                <w:szCs w:val="21"/>
                <w:lang w:val="en-US" w:eastAsia="zh-CN"/>
              </w:rPr>
              <w:t>176</w:t>
            </w:r>
          </w:p>
        </w:tc>
        <w:tc>
          <w:tcPr>
            <w:tcW w:w="1543"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eastAsia="宋体"/>
                <w:sz w:val="21"/>
                <w:szCs w:val="21"/>
                <w:lang w:val="en-US" w:eastAsia="zh-CN"/>
              </w:rPr>
            </w:pPr>
            <w:r>
              <w:rPr>
                <w:rFonts w:hint="eastAsia"/>
                <w:sz w:val="21"/>
                <w:szCs w:val="21"/>
                <w:lang w:val="en-US" w:eastAsia="zh-CN"/>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3" w:hRule="atLeast"/>
        </w:trPr>
        <w:tc>
          <w:tcPr>
            <w:tcW w:w="732" w:type="pct"/>
            <w:vMerge w:val="continue"/>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p>
        </w:tc>
        <w:tc>
          <w:tcPr>
            <w:tcW w:w="1395"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sz w:val="21"/>
                <w:szCs w:val="21"/>
                <w:lang w:val="en-US"/>
              </w:rPr>
            </w:pPr>
            <w:r>
              <w:rPr>
                <w:rFonts w:hint="eastAsia"/>
                <w:sz w:val="21"/>
                <w:szCs w:val="21"/>
                <w:lang w:val="en-US" w:eastAsia="zh-CN"/>
              </w:rPr>
              <w:t>2024.03.02-2024.03.03</w:t>
            </w:r>
          </w:p>
        </w:tc>
        <w:tc>
          <w:tcPr>
            <w:tcW w:w="1329"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eastAsia="宋体"/>
                <w:sz w:val="21"/>
                <w:szCs w:val="21"/>
                <w:lang w:val="en-US" w:eastAsia="zh-CN"/>
              </w:rPr>
            </w:pPr>
            <w:r>
              <w:rPr>
                <w:sz w:val="21"/>
                <w:szCs w:val="21"/>
              </w:rPr>
              <w:t>0.</w:t>
            </w:r>
            <w:r>
              <w:rPr>
                <w:rFonts w:hint="eastAsia"/>
                <w:sz w:val="21"/>
                <w:szCs w:val="21"/>
                <w:lang w:val="en-US" w:eastAsia="zh-CN"/>
              </w:rPr>
              <w:t>183</w:t>
            </w:r>
          </w:p>
        </w:tc>
        <w:tc>
          <w:tcPr>
            <w:tcW w:w="1543" w:type="pct"/>
            <w:vAlign w:val="center"/>
          </w:tcPr>
          <w:p>
            <w:pPr>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r>
              <w:rPr>
                <w:rFonts w:hint="eastAsia"/>
                <w:sz w:val="21"/>
                <w:szCs w:val="21"/>
                <w:lang w:val="en-US" w:eastAsia="zh-CN"/>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4" w:hRule="atLeast"/>
        </w:trPr>
        <w:tc>
          <w:tcPr>
            <w:tcW w:w="732" w:type="pct"/>
            <w:vMerge w:val="continue"/>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p>
        </w:tc>
        <w:tc>
          <w:tcPr>
            <w:tcW w:w="1395"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sz w:val="21"/>
                <w:szCs w:val="21"/>
                <w:lang w:val="en-US"/>
              </w:rPr>
            </w:pPr>
            <w:r>
              <w:rPr>
                <w:rFonts w:hint="eastAsia"/>
                <w:sz w:val="21"/>
                <w:szCs w:val="21"/>
                <w:lang w:val="en-US" w:eastAsia="zh-CN"/>
              </w:rPr>
              <w:t>2024.03.03-2024.03.04</w:t>
            </w:r>
          </w:p>
        </w:tc>
        <w:tc>
          <w:tcPr>
            <w:tcW w:w="1329"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eastAsia="宋体"/>
                <w:sz w:val="21"/>
                <w:szCs w:val="21"/>
                <w:lang w:val="en-US" w:eastAsia="zh-CN"/>
              </w:rPr>
            </w:pPr>
            <w:r>
              <w:rPr>
                <w:sz w:val="21"/>
                <w:szCs w:val="21"/>
              </w:rPr>
              <w:t>0.</w:t>
            </w:r>
            <w:r>
              <w:rPr>
                <w:rFonts w:hint="eastAsia"/>
                <w:sz w:val="21"/>
                <w:szCs w:val="21"/>
                <w:lang w:val="en-US" w:eastAsia="zh-CN"/>
              </w:rPr>
              <w:t>186</w:t>
            </w:r>
          </w:p>
        </w:tc>
        <w:tc>
          <w:tcPr>
            <w:tcW w:w="1543" w:type="pct"/>
            <w:vAlign w:val="center"/>
          </w:tcPr>
          <w:p>
            <w:pPr>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r>
              <w:rPr>
                <w:rFonts w:hint="eastAsia"/>
                <w:sz w:val="21"/>
                <w:szCs w:val="21"/>
                <w:lang w:val="en-US" w:eastAsia="zh-CN"/>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atLeast"/>
        </w:trPr>
        <w:tc>
          <w:tcPr>
            <w:tcW w:w="732" w:type="pct"/>
            <w:vMerge w:val="continue"/>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p>
        </w:tc>
        <w:tc>
          <w:tcPr>
            <w:tcW w:w="1395"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sz w:val="21"/>
                <w:szCs w:val="21"/>
                <w:lang w:val="en-US"/>
              </w:rPr>
            </w:pPr>
            <w:r>
              <w:rPr>
                <w:rFonts w:hint="eastAsia"/>
                <w:sz w:val="21"/>
                <w:szCs w:val="21"/>
                <w:lang w:val="en-US" w:eastAsia="zh-CN"/>
              </w:rPr>
              <w:t>2024.03.04-2024.03.05</w:t>
            </w:r>
          </w:p>
        </w:tc>
        <w:tc>
          <w:tcPr>
            <w:tcW w:w="1329"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eastAsia="宋体"/>
                <w:sz w:val="21"/>
                <w:szCs w:val="21"/>
                <w:lang w:val="en-US" w:eastAsia="zh-CN"/>
              </w:rPr>
            </w:pPr>
            <w:r>
              <w:rPr>
                <w:sz w:val="21"/>
                <w:szCs w:val="21"/>
              </w:rPr>
              <w:t>0.</w:t>
            </w:r>
            <w:r>
              <w:rPr>
                <w:rFonts w:hint="eastAsia"/>
                <w:sz w:val="21"/>
                <w:szCs w:val="21"/>
                <w:lang w:val="en-US" w:eastAsia="zh-CN"/>
              </w:rPr>
              <w:t>180</w:t>
            </w:r>
          </w:p>
        </w:tc>
        <w:tc>
          <w:tcPr>
            <w:tcW w:w="1543" w:type="pct"/>
            <w:vAlign w:val="center"/>
          </w:tcPr>
          <w:p>
            <w:pPr>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r>
              <w:rPr>
                <w:rFonts w:hint="eastAsia"/>
                <w:sz w:val="21"/>
                <w:szCs w:val="21"/>
                <w:lang w:val="en-US" w:eastAsia="zh-CN"/>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3" w:hRule="atLeast"/>
        </w:trPr>
        <w:tc>
          <w:tcPr>
            <w:tcW w:w="732" w:type="pct"/>
            <w:vMerge w:val="continue"/>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p>
        </w:tc>
        <w:tc>
          <w:tcPr>
            <w:tcW w:w="1395"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sz w:val="21"/>
                <w:szCs w:val="21"/>
                <w:lang w:val="en-US"/>
              </w:rPr>
            </w:pPr>
            <w:r>
              <w:rPr>
                <w:rFonts w:hint="eastAsia"/>
                <w:sz w:val="21"/>
                <w:szCs w:val="21"/>
                <w:lang w:val="en-US" w:eastAsia="zh-CN"/>
              </w:rPr>
              <w:t>2024.03.05-2024.03.06</w:t>
            </w:r>
          </w:p>
        </w:tc>
        <w:tc>
          <w:tcPr>
            <w:tcW w:w="1329"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eastAsia="宋体"/>
                <w:sz w:val="21"/>
                <w:szCs w:val="21"/>
                <w:lang w:val="en-US" w:eastAsia="zh-CN"/>
              </w:rPr>
            </w:pPr>
            <w:r>
              <w:rPr>
                <w:sz w:val="21"/>
                <w:szCs w:val="21"/>
              </w:rPr>
              <w:t>0.</w:t>
            </w:r>
            <w:r>
              <w:rPr>
                <w:rFonts w:hint="eastAsia"/>
                <w:sz w:val="21"/>
                <w:szCs w:val="21"/>
                <w:lang w:val="en-US" w:eastAsia="zh-CN"/>
              </w:rPr>
              <w:t>184</w:t>
            </w:r>
          </w:p>
        </w:tc>
        <w:tc>
          <w:tcPr>
            <w:tcW w:w="1543" w:type="pct"/>
            <w:vAlign w:val="center"/>
          </w:tcPr>
          <w:p>
            <w:pPr>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r>
              <w:rPr>
                <w:rFonts w:hint="eastAsia"/>
                <w:sz w:val="21"/>
                <w:szCs w:val="21"/>
                <w:lang w:val="en-US" w:eastAsia="zh-CN"/>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3" w:hRule="atLeast"/>
        </w:trPr>
        <w:tc>
          <w:tcPr>
            <w:tcW w:w="732" w:type="pct"/>
            <w:vMerge w:val="continue"/>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p>
        </w:tc>
        <w:tc>
          <w:tcPr>
            <w:tcW w:w="1395"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sz w:val="21"/>
                <w:szCs w:val="21"/>
                <w:lang w:val="en-US"/>
              </w:rPr>
            </w:pPr>
            <w:r>
              <w:rPr>
                <w:rFonts w:hint="eastAsia"/>
                <w:sz w:val="21"/>
                <w:szCs w:val="21"/>
                <w:lang w:val="en-US" w:eastAsia="zh-CN"/>
              </w:rPr>
              <w:t>2024.03.06-2024.03.07</w:t>
            </w:r>
          </w:p>
        </w:tc>
        <w:tc>
          <w:tcPr>
            <w:tcW w:w="1329" w:type="pct"/>
            <w:vAlign w:val="center"/>
          </w:tcPr>
          <w:p>
            <w:pPr>
              <w:pStyle w:val="18"/>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rFonts w:hint="default" w:eastAsia="宋体"/>
                <w:sz w:val="21"/>
                <w:szCs w:val="21"/>
                <w:lang w:val="en-US" w:eastAsia="zh-CN"/>
              </w:rPr>
            </w:pPr>
            <w:r>
              <w:rPr>
                <w:sz w:val="21"/>
                <w:szCs w:val="21"/>
              </w:rPr>
              <w:t>0.</w:t>
            </w:r>
            <w:r>
              <w:rPr>
                <w:rFonts w:hint="eastAsia"/>
                <w:sz w:val="21"/>
                <w:szCs w:val="21"/>
                <w:lang w:val="en-US" w:eastAsia="zh-CN"/>
              </w:rPr>
              <w:t>182</w:t>
            </w:r>
          </w:p>
        </w:tc>
        <w:tc>
          <w:tcPr>
            <w:tcW w:w="1543" w:type="pct"/>
            <w:vAlign w:val="center"/>
          </w:tcPr>
          <w:p>
            <w:pPr>
              <w:keepNext w:val="0"/>
              <w:keepLines w:val="0"/>
              <w:pageBreakBefore w:val="0"/>
              <w:widowControl/>
              <w:kinsoku/>
              <w:wordWrap/>
              <w:overflowPunct/>
              <w:topLinePunct w:val="0"/>
              <w:autoSpaceDE/>
              <w:autoSpaceDN/>
              <w:bidi w:val="0"/>
              <w:adjustRightInd/>
              <w:snapToGrid/>
              <w:spacing w:line="240" w:lineRule="auto"/>
              <w:ind w:firstLine="420" w:firstLineChars="200"/>
              <w:jc w:val="center"/>
              <w:textAlignment w:val="baseline"/>
              <w:rPr>
                <w:sz w:val="21"/>
                <w:szCs w:val="21"/>
              </w:rPr>
            </w:pPr>
            <w:r>
              <w:rPr>
                <w:rFonts w:hint="eastAsia"/>
                <w:sz w:val="21"/>
                <w:szCs w:val="21"/>
                <w:lang w:val="en-US" w:eastAsia="zh-CN"/>
              </w:rPr>
              <w:t>0.03</w:t>
            </w:r>
          </w:p>
        </w:tc>
      </w:tr>
    </w:tbl>
    <w:p>
      <w:pPr>
        <w:autoSpaceDE w:val="0"/>
        <w:spacing w:line="360" w:lineRule="auto"/>
        <w:ind w:firstLine="480" w:firstLineChars="200"/>
        <w:rPr>
          <w:sz w:val="24"/>
          <w:szCs w:val="24"/>
        </w:rPr>
      </w:pPr>
      <w:r>
        <w:rPr>
          <w:sz w:val="24"/>
          <w:szCs w:val="24"/>
        </w:rPr>
        <w:t>由上表结果可知，验收监测期间，项目环境空气</w:t>
      </w:r>
      <w:r>
        <w:rPr>
          <w:rFonts w:hint="default" w:ascii="Times New Roman" w:hAnsi="Times New Roman" w:eastAsia="宋体" w:cs="Times New Roman"/>
          <w:snapToGrid w:val="0"/>
          <w:color w:val="000000"/>
          <w:kern w:val="0"/>
          <w:sz w:val="24"/>
          <w:szCs w:val="24"/>
          <w:lang w:val="en-US" w:eastAsia="zh-CN" w:bidi="ar"/>
        </w:rPr>
        <w:t>PM</w:t>
      </w:r>
      <w:r>
        <w:rPr>
          <w:rFonts w:hint="default" w:ascii="Times New Roman" w:hAnsi="Times New Roman" w:eastAsia="宋体" w:cs="Times New Roman"/>
          <w:snapToGrid w:val="0"/>
          <w:color w:val="000000"/>
          <w:kern w:val="0"/>
          <w:sz w:val="24"/>
          <w:szCs w:val="24"/>
          <w:vertAlign w:val="subscript"/>
          <w:lang w:val="en-US" w:eastAsia="zh-CN" w:bidi="ar"/>
        </w:rPr>
        <w:t>10</w:t>
      </w:r>
      <w:r>
        <w:rPr>
          <w:sz w:val="24"/>
          <w:szCs w:val="24"/>
        </w:rPr>
        <w:t>浓度最大值为0.</w:t>
      </w:r>
      <w:r>
        <w:rPr>
          <w:rFonts w:hint="eastAsia"/>
          <w:sz w:val="24"/>
          <w:szCs w:val="24"/>
          <w:lang w:val="en-US" w:eastAsia="zh-CN"/>
        </w:rPr>
        <w:t>186</w:t>
      </w:r>
      <w:r>
        <w:rPr>
          <w:sz w:val="24"/>
          <w:szCs w:val="24"/>
        </w:rPr>
        <w:t>mg/m</w:t>
      </w:r>
      <w:r>
        <w:rPr>
          <w:sz w:val="24"/>
          <w:szCs w:val="24"/>
          <w:vertAlign w:val="superscript"/>
        </w:rPr>
        <w:t>3</w:t>
      </w:r>
      <w:r>
        <w:rPr>
          <w:sz w:val="24"/>
          <w:szCs w:val="24"/>
        </w:rPr>
        <w:t>，</w:t>
      </w:r>
      <w:r>
        <w:rPr>
          <w:rFonts w:hint="eastAsia"/>
          <w:sz w:val="24"/>
          <w:szCs w:val="24"/>
          <w:lang w:val="en-US" w:eastAsia="zh-CN"/>
        </w:rPr>
        <w:t>氮氧化物</w:t>
      </w:r>
      <w:r>
        <w:rPr>
          <w:sz w:val="24"/>
          <w:szCs w:val="24"/>
        </w:rPr>
        <w:t>浓度最大值为0.</w:t>
      </w:r>
      <w:r>
        <w:rPr>
          <w:rFonts w:hint="eastAsia"/>
          <w:sz w:val="24"/>
          <w:szCs w:val="24"/>
          <w:lang w:val="en-US" w:eastAsia="zh-CN"/>
        </w:rPr>
        <w:t>03</w:t>
      </w:r>
      <w:r>
        <w:rPr>
          <w:sz w:val="24"/>
          <w:szCs w:val="24"/>
        </w:rPr>
        <w:t>mg/m</w:t>
      </w:r>
      <w:r>
        <w:rPr>
          <w:sz w:val="24"/>
          <w:szCs w:val="24"/>
          <w:vertAlign w:val="superscript"/>
        </w:rPr>
        <w:t>3</w:t>
      </w:r>
      <w:r>
        <w:rPr>
          <w:sz w:val="24"/>
          <w:szCs w:val="24"/>
        </w:rPr>
        <w:t>，</w:t>
      </w:r>
      <w:r>
        <w:rPr>
          <w:rFonts w:hint="eastAsia"/>
          <w:sz w:val="24"/>
          <w:szCs w:val="24"/>
          <w:lang w:val="en-US" w:eastAsia="zh-CN"/>
        </w:rPr>
        <w:t>氮氧化物</w:t>
      </w:r>
      <w:r>
        <w:rPr>
          <w:sz w:val="24"/>
          <w:szCs w:val="24"/>
        </w:rPr>
        <w:t>满足《环境空气质量标准》（GB3095-2012）中环境空气浓度限值要求</w:t>
      </w:r>
      <w:r>
        <w:rPr>
          <w:rFonts w:hint="eastAsia"/>
          <w:sz w:val="24"/>
          <w:szCs w:val="24"/>
          <w:lang w:eastAsia="zh-CN"/>
        </w:rPr>
        <w:t>，</w:t>
      </w:r>
      <w:r>
        <w:rPr>
          <w:rFonts w:hint="default" w:ascii="Times New Roman" w:hAnsi="Times New Roman" w:eastAsia="宋体" w:cs="Times New Roman"/>
          <w:snapToGrid w:val="0"/>
          <w:color w:val="000000"/>
          <w:kern w:val="0"/>
          <w:sz w:val="24"/>
          <w:szCs w:val="24"/>
          <w:lang w:val="en-US" w:eastAsia="zh-CN" w:bidi="ar"/>
        </w:rPr>
        <w:t>PM</w:t>
      </w:r>
      <w:r>
        <w:rPr>
          <w:rFonts w:hint="default" w:ascii="Times New Roman" w:hAnsi="Times New Roman" w:eastAsia="宋体" w:cs="Times New Roman"/>
          <w:snapToGrid w:val="0"/>
          <w:color w:val="000000"/>
          <w:kern w:val="0"/>
          <w:sz w:val="24"/>
          <w:szCs w:val="24"/>
          <w:vertAlign w:val="subscript"/>
          <w:lang w:val="en-US" w:eastAsia="zh-CN" w:bidi="ar"/>
        </w:rPr>
        <w:t>10</w:t>
      </w:r>
      <w:r>
        <w:rPr>
          <w:rFonts w:hint="eastAsia" w:ascii="Times New Roman" w:hAnsi="Times New Roman" w:eastAsia="宋体" w:cs="Times New Roman"/>
          <w:snapToGrid w:val="0"/>
          <w:color w:val="000000"/>
          <w:kern w:val="0"/>
          <w:sz w:val="24"/>
          <w:szCs w:val="24"/>
          <w:vertAlign w:val="baseline"/>
          <w:lang w:val="en-US" w:eastAsia="zh-CN" w:bidi="ar"/>
        </w:rPr>
        <w:t>超过</w:t>
      </w:r>
      <w:r>
        <w:rPr>
          <w:sz w:val="24"/>
          <w:szCs w:val="24"/>
        </w:rPr>
        <w:t>《环境空气质量标准》（GB3095-2012）中环境空气浓度限值要求</w:t>
      </w:r>
      <w:r>
        <w:rPr>
          <w:rFonts w:hint="eastAsia"/>
          <w:sz w:val="24"/>
          <w:szCs w:val="24"/>
          <w:lang w:eastAsia="zh-CN"/>
        </w:rPr>
        <w:t>，</w:t>
      </w:r>
      <w:r>
        <w:rPr>
          <w:rFonts w:hint="default" w:ascii="Times New Roman" w:hAnsi="Times New Roman" w:eastAsia="宋体" w:cs="Times New Roman"/>
          <w:color w:val="auto"/>
          <w:sz w:val="24"/>
          <w:szCs w:val="24"/>
          <w:lang w:bidi="ar"/>
        </w:rPr>
        <w:t>超标原因是</w:t>
      </w:r>
      <w:r>
        <w:rPr>
          <w:rFonts w:hint="eastAsia" w:ascii="Times New Roman" w:hAnsi="Times New Roman" w:cs="Times New Roman"/>
          <w:color w:val="auto"/>
          <w:sz w:val="24"/>
          <w:szCs w:val="24"/>
          <w:lang w:val="en-US" w:eastAsia="zh-CN" w:bidi="ar"/>
        </w:rPr>
        <w:t>当地属于干旱地区</w:t>
      </w:r>
      <w:r>
        <w:rPr>
          <w:rFonts w:hint="default" w:ascii="Times New Roman" w:hAnsi="Times New Roman" w:eastAsia="宋体" w:cs="Times New Roman"/>
          <w:color w:val="auto"/>
          <w:sz w:val="24"/>
          <w:szCs w:val="24"/>
          <w:lang w:bidi="ar"/>
        </w:rPr>
        <w:t>，四季多风沙，干燥少雨，造成空气中PM</w:t>
      </w:r>
      <w:r>
        <w:rPr>
          <w:rFonts w:hint="default" w:ascii="Times New Roman" w:hAnsi="Times New Roman" w:eastAsia="宋体" w:cs="Times New Roman"/>
          <w:color w:val="auto"/>
          <w:sz w:val="24"/>
          <w:szCs w:val="24"/>
          <w:vertAlign w:val="subscript"/>
          <w:lang w:bidi="ar"/>
        </w:rPr>
        <w:t>10</w:t>
      </w:r>
      <w:r>
        <w:rPr>
          <w:rFonts w:hint="default" w:ascii="Times New Roman" w:hAnsi="Times New Roman" w:eastAsia="宋体" w:cs="Times New Roman"/>
          <w:color w:val="auto"/>
          <w:sz w:val="24"/>
          <w:szCs w:val="24"/>
          <w:lang w:bidi="ar"/>
        </w:rPr>
        <w:t>浓度较大</w:t>
      </w:r>
      <w:r>
        <w:rPr>
          <w:rFonts w:hint="eastAsia"/>
          <w:sz w:val="24"/>
          <w:szCs w:val="24"/>
          <w:lang w:eastAsia="zh-CN"/>
        </w:rPr>
        <w:t>（</w:t>
      </w:r>
      <w:r>
        <w:rPr>
          <w:rFonts w:hint="eastAsia" w:ascii="Times New Roman" w:hAnsi="Times New Roman" w:eastAsia="宋体" w:cs="Times New Roman"/>
          <w:b w:val="0"/>
          <w:bCs w:val="0"/>
          <w:color w:val="auto"/>
          <w:sz w:val="24"/>
          <w:szCs w:val="24"/>
          <w:lang w:val="en-US" w:eastAsia="zh-CN"/>
        </w:rPr>
        <w:t>PM</w:t>
      </w:r>
      <w:r>
        <w:rPr>
          <w:rFonts w:hint="eastAsia" w:ascii="Times New Roman" w:hAnsi="Times New Roman" w:eastAsia="宋体" w:cs="Times New Roman"/>
          <w:b w:val="0"/>
          <w:bCs w:val="0"/>
          <w:color w:val="auto"/>
          <w:sz w:val="24"/>
          <w:szCs w:val="24"/>
          <w:vertAlign w:val="subscript"/>
          <w:lang w:val="en-US" w:eastAsia="zh-CN"/>
        </w:rPr>
        <w:t>10</w:t>
      </w:r>
      <w:r>
        <w:rPr>
          <w:rFonts w:hint="default"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15</w:t>
      </w:r>
      <w:r>
        <w:rPr>
          <w:rFonts w:hint="default" w:ascii="Times New Roman" w:hAnsi="Times New Roman" w:eastAsia="宋体" w:cs="Times New Roman"/>
          <w:sz w:val="24"/>
          <w:szCs w:val="24"/>
        </w:rPr>
        <w:t>0</w:t>
      </w:r>
      <w:r>
        <w:rPr>
          <w:rFonts w:hint="default" w:ascii="Times New Roman" w:hAnsi="Times New Roman" w:eastAsia="宋体" w:cs="Times New Roman"/>
          <w:sz w:val="24"/>
          <w:szCs w:val="24"/>
          <w:lang w:val="en-US" w:eastAsia="zh-CN"/>
        </w:rPr>
        <w:t>μ</w:t>
      </w:r>
      <w:r>
        <w:rPr>
          <w:rFonts w:hint="default" w:ascii="Times New Roman" w:hAnsi="Times New Roman" w:eastAsia="宋体" w:cs="Times New Roman"/>
          <w:sz w:val="24"/>
          <w:szCs w:val="24"/>
        </w:rPr>
        <w:t>mg/m</w:t>
      </w:r>
      <w:r>
        <w:rPr>
          <w:rFonts w:hint="eastAsia" w:ascii="Times New Roman" w:hAnsi="Times New Roman" w:eastAsia="宋体" w:cs="Times New Roman"/>
          <w:sz w:val="24"/>
          <w:szCs w:val="24"/>
          <w:vertAlign w:val="superscript"/>
          <w:lang w:val="en-US" w:eastAsia="zh-CN"/>
        </w:rPr>
        <w:t>3</w:t>
      </w:r>
      <w:r>
        <w:rPr>
          <w:rFonts w:hint="default" w:ascii="Times New Roman" w:hAnsi="Times New Roman" w:eastAsia="宋体" w:cs="Times New Roman"/>
          <w:sz w:val="24"/>
          <w:szCs w:val="24"/>
          <w:lang w:eastAsia="zh-CN"/>
        </w:rPr>
        <w:t>；</w:t>
      </w:r>
      <w:r>
        <w:rPr>
          <w:rFonts w:hint="eastAsia" w:ascii="Times New Roman" w:hAnsi="Times New Roman" w:eastAsia="宋体" w:cs="Times New Roman"/>
          <w:b w:val="0"/>
          <w:bCs w:val="0"/>
          <w:color w:val="auto"/>
          <w:sz w:val="24"/>
          <w:szCs w:val="24"/>
          <w:lang w:val="en-US" w:eastAsia="zh-CN"/>
        </w:rPr>
        <w:t>NO</w:t>
      </w:r>
      <w:r>
        <w:rPr>
          <w:rFonts w:hint="eastAsia" w:ascii="Times New Roman" w:hAnsi="Times New Roman" w:eastAsia="宋体" w:cs="Times New Roman"/>
          <w:b w:val="0"/>
          <w:bCs w:val="0"/>
          <w:color w:val="auto"/>
          <w:sz w:val="24"/>
          <w:szCs w:val="24"/>
          <w:vertAlign w:val="subscript"/>
          <w:lang w:val="en-US" w:eastAsia="zh-CN"/>
        </w:rPr>
        <w:t>X</w:t>
      </w:r>
      <w:r>
        <w:rPr>
          <w:rFonts w:hint="default"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8</w:t>
      </w:r>
      <w:r>
        <w:rPr>
          <w:rFonts w:hint="default" w:ascii="Times New Roman" w:hAnsi="Times New Roman" w:eastAsia="宋体" w:cs="Times New Roman"/>
          <w:sz w:val="24"/>
          <w:szCs w:val="24"/>
        </w:rPr>
        <w:t>0</w:t>
      </w:r>
      <w:r>
        <w:rPr>
          <w:rFonts w:hint="default" w:ascii="Times New Roman" w:hAnsi="Times New Roman" w:eastAsia="宋体" w:cs="Times New Roman"/>
          <w:sz w:val="24"/>
          <w:szCs w:val="24"/>
          <w:lang w:val="en-US" w:eastAsia="zh-CN"/>
        </w:rPr>
        <w:t>μ</w:t>
      </w:r>
      <w:r>
        <w:rPr>
          <w:rFonts w:hint="default" w:ascii="Times New Roman" w:hAnsi="Times New Roman" w:eastAsia="宋体" w:cs="Times New Roman"/>
          <w:sz w:val="24"/>
          <w:szCs w:val="24"/>
        </w:rPr>
        <w:t>g/m</w:t>
      </w:r>
      <w:r>
        <w:rPr>
          <w:rFonts w:hint="eastAsia" w:ascii="Times New Roman" w:hAnsi="Times New Roman" w:eastAsia="宋体" w:cs="Times New Roman"/>
          <w:sz w:val="24"/>
          <w:szCs w:val="24"/>
          <w:vertAlign w:val="superscript"/>
          <w:lang w:val="en-US" w:eastAsia="zh-CN"/>
        </w:rPr>
        <w:t>3</w:t>
      </w:r>
      <w:r>
        <w:rPr>
          <w:rFonts w:hint="eastAsia"/>
          <w:sz w:val="24"/>
          <w:szCs w:val="24"/>
          <w:lang w:eastAsia="zh-CN"/>
        </w:rPr>
        <w:t>）</w:t>
      </w:r>
      <w:r>
        <w:rPr>
          <w:sz w:val="24"/>
          <w:szCs w:val="24"/>
        </w:rPr>
        <w:t>。</w:t>
      </w:r>
    </w:p>
    <w:p>
      <w:pPr>
        <w:pStyle w:val="5"/>
        <w:bidi w:val="0"/>
        <w:outlineLvl w:val="0"/>
      </w:pPr>
      <w:bookmarkStart w:id="107" w:name="_Toc32016"/>
      <w:r>
        <w:t>6.</w:t>
      </w:r>
      <w:r>
        <w:rPr>
          <w:rFonts w:hint="eastAsia"/>
          <w:lang w:val="en-US" w:eastAsia="zh-CN"/>
        </w:rPr>
        <w:t>2</w:t>
      </w:r>
      <w:r>
        <w:t>声环境影响调查</w:t>
      </w:r>
      <w:bookmarkEnd w:id="107"/>
    </w:p>
    <w:p>
      <w:pPr>
        <w:pStyle w:val="6"/>
        <w:bidi w:val="0"/>
        <w:outlineLvl w:val="1"/>
      </w:pPr>
      <w:bookmarkStart w:id="108" w:name="_Toc12368"/>
      <w:r>
        <w:t>6.</w:t>
      </w:r>
      <w:r>
        <w:rPr>
          <w:rFonts w:hint="eastAsia"/>
          <w:lang w:val="en-US" w:eastAsia="zh-CN"/>
        </w:rPr>
        <w:t>2</w:t>
      </w:r>
      <w:r>
        <w:t>.1声环境质量监测因子及监测点</w:t>
      </w:r>
      <w:bookmarkEnd w:id="108"/>
    </w:p>
    <w:p>
      <w:pPr>
        <w:bidi w:val="0"/>
      </w:pPr>
      <w:r>
        <w:rPr>
          <w:rFonts w:hint="eastAsia"/>
          <w:lang w:val="en-US" w:eastAsia="zh-CN"/>
        </w:rPr>
        <w:t>本</w:t>
      </w:r>
      <w:r>
        <w:t>项目于202</w:t>
      </w:r>
      <w:r>
        <w:rPr>
          <w:rFonts w:hint="eastAsia"/>
          <w:lang w:val="en-US" w:eastAsia="zh-CN"/>
        </w:rPr>
        <w:t>4</w:t>
      </w:r>
      <w:r>
        <w:t>年</w:t>
      </w:r>
      <w:r>
        <w:rPr>
          <w:rFonts w:hint="eastAsia"/>
          <w:lang w:val="en-US" w:eastAsia="zh-CN"/>
        </w:rPr>
        <w:t>2</w:t>
      </w:r>
      <w:r>
        <w:t>月</w:t>
      </w:r>
      <w:r>
        <w:rPr>
          <w:rFonts w:hint="eastAsia"/>
          <w:lang w:val="en-US" w:eastAsia="zh-CN"/>
        </w:rPr>
        <w:t>29</w:t>
      </w:r>
      <w:r>
        <w:t>日至202</w:t>
      </w:r>
      <w:r>
        <w:rPr>
          <w:rFonts w:hint="eastAsia"/>
          <w:lang w:val="en-US" w:eastAsia="zh-CN"/>
        </w:rPr>
        <w:t>4</w:t>
      </w:r>
      <w:r>
        <w:t>年</w:t>
      </w:r>
      <w:r>
        <w:rPr>
          <w:rFonts w:hint="eastAsia"/>
          <w:lang w:val="en-US" w:eastAsia="zh-CN"/>
        </w:rPr>
        <w:t>3</w:t>
      </w:r>
      <w:r>
        <w:t>月1日委托</w:t>
      </w:r>
      <w:r>
        <w:rPr>
          <w:rFonts w:hint="eastAsia"/>
          <w:lang w:val="en-US" w:eastAsia="zh-CN"/>
        </w:rPr>
        <w:t>新疆国科检测</w:t>
      </w:r>
      <w:r>
        <w:t>有限公司对本项目运营期噪声进行监测，监测点位为</w:t>
      </w:r>
      <w:r>
        <w:rPr>
          <w:rFonts w:hint="eastAsia"/>
          <w:lang w:val="en-US" w:eastAsia="zh-CN"/>
        </w:rPr>
        <w:t>1#福盛路中点，2#</w:t>
      </w:r>
      <w:r>
        <w:rPr>
          <w:rFonts w:hint="default"/>
        </w:rPr>
        <w:t>米泉街与阿克苏路</w:t>
      </w:r>
      <w:r>
        <w:rPr>
          <w:rFonts w:hint="eastAsia"/>
          <w:lang w:val="en-US" w:eastAsia="zh-CN"/>
        </w:rPr>
        <w:t>东延道路</w:t>
      </w:r>
      <w:r>
        <w:rPr>
          <w:rFonts w:hint="default"/>
        </w:rPr>
        <w:t>交汇点</w:t>
      </w:r>
      <w:r>
        <w:rPr>
          <w:rFonts w:hint="eastAsia"/>
          <w:lang w:eastAsia="zh-CN"/>
        </w:rPr>
        <w:t>，</w:t>
      </w:r>
      <w:r>
        <w:rPr>
          <w:rFonts w:hint="eastAsia"/>
          <w:lang w:val="en-US" w:eastAsia="zh-CN"/>
        </w:rPr>
        <w:t>3#东外环路与承启路交汇点，4#阿克苏路东延道路终点，5#南环路东延道路终点</w:t>
      </w:r>
      <w:r>
        <w:t>。</w:t>
      </w:r>
    </w:p>
    <w:p>
      <w:pPr>
        <w:pStyle w:val="16"/>
        <w:bidi w:val="0"/>
      </w:pPr>
      <w:r>
        <w:t>表6-</w:t>
      </w:r>
      <w:r>
        <w:rPr>
          <w:rFonts w:hint="eastAsia"/>
          <w:lang w:val="en-US" w:eastAsia="zh-CN"/>
        </w:rPr>
        <w:t xml:space="preserve">5 </w:t>
      </w:r>
      <w:r>
        <w:t xml:space="preserve"> 噪声监测点位</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8"/>
        <w:gridCol w:w="1753"/>
        <w:gridCol w:w="2440"/>
        <w:gridCol w:w="979"/>
        <w:gridCol w:w="1112"/>
        <w:gridCol w:w="1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trPr>
        <w:tc>
          <w:tcPr>
            <w:tcW w:w="474"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类别</w:t>
            </w:r>
          </w:p>
        </w:tc>
        <w:tc>
          <w:tcPr>
            <w:tcW w:w="1028"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检测点位名称</w:t>
            </w:r>
          </w:p>
        </w:tc>
        <w:tc>
          <w:tcPr>
            <w:tcW w:w="14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检测项目</w:t>
            </w:r>
          </w:p>
        </w:tc>
        <w:tc>
          <w:tcPr>
            <w:tcW w:w="574"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点位数</w:t>
            </w:r>
          </w:p>
        </w:tc>
        <w:tc>
          <w:tcPr>
            <w:tcW w:w="652"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样品状态</w:t>
            </w:r>
          </w:p>
        </w:tc>
        <w:tc>
          <w:tcPr>
            <w:tcW w:w="838"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4"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噪声</w:t>
            </w:r>
          </w:p>
        </w:tc>
        <w:tc>
          <w:tcPr>
            <w:tcW w:w="1028"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w:t>
            </w:r>
            <w:r>
              <w:rPr>
                <w:rFonts w:hint="eastAsia" w:ascii="Times New Roman" w:hAnsi="Times New Roman" w:eastAsia="宋体" w:cs="Times New Roman"/>
                <w:sz w:val="21"/>
                <w:szCs w:val="21"/>
                <w:vertAlign w:val="baseline"/>
                <w:lang w:val="en-US" w:eastAsia="zh-CN"/>
              </w:rPr>
              <w:t>5</w:t>
            </w:r>
            <w:r>
              <w:rPr>
                <w:rFonts w:hint="default" w:ascii="Times New Roman" w:hAnsi="Times New Roman" w:eastAsia="宋体" w:cs="Times New Roman"/>
                <w:sz w:val="21"/>
                <w:szCs w:val="21"/>
                <w:vertAlign w:val="baseline"/>
                <w:lang w:val="en-US" w:eastAsia="zh-CN"/>
              </w:rPr>
              <w:t>#</w:t>
            </w:r>
            <w:r>
              <w:rPr>
                <w:rFonts w:hint="eastAsia" w:ascii="Times New Roman" w:hAnsi="Times New Roman" w:eastAsia="宋体" w:cs="Times New Roman"/>
                <w:sz w:val="21"/>
                <w:szCs w:val="21"/>
                <w:vertAlign w:val="baseline"/>
                <w:lang w:val="en-US" w:eastAsia="zh-CN"/>
              </w:rPr>
              <w:t>项目区</w:t>
            </w:r>
            <w:r>
              <w:rPr>
                <w:rFonts w:hint="default" w:ascii="Times New Roman" w:hAnsi="Times New Roman" w:eastAsia="宋体" w:cs="Times New Roman"/>
                <w:sz w:val="21"/>
                <w:szCs w:val="21"/>
                <w:vertAlign w:val="baseline"/>
                <w:lang w:val="en-US" w:eastAsia="zh-CN"/>
              </w:rPr>
              <w:t>四周</w:t>
            </w:r>
          </w:p>
        </w:tc>
        <w:tc>
          <w:tcPr>
            <w:tcW w:w="1431"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噪声</w:t>
            </w:r>
          </w:p>
        </w:tc>
        <w:tc>
          <w:tcPr>
            <w:tcW w:w="574"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5</w:t>
            </w:r>
          </w:p>
        </w:tc>
        <w:tc>
          <w:tcPr>
            <w:tcW w:w="652"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现场直读</w:t>
            </w:r>
          </w:p>
        </w:tc>
        <w:tc>
          <w:tcPr>
            <w:tcW w:w="838"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昼夜各一次，</w:t>
            </w:r>
            <w:r>
              <w:rPr>
                <w:rFonts w:hint="eastAsia" w:ascii="Times New Roman" w:hAnsi="Times New Roman" w:eastAsia="宋体" w:cs="Times New Roman"/>
                <w:sz w:val="21"/>
                <w:szCs w:val="21"/>
                <w:vertAlign w:val="baseline"/>
                <w:lang w:val="en-US" w:eastAsia="zh-CN"/>
              </w:rPr>
              <w:t>3</w:t>
            </w:r>
            <w:r>
              <w:rPr>
                <w:rFonts w:hint="default" w:ascii="Times New Roman" w:hAnsi="Times New Roman" w:eastAsia="宋体" w:cs="Times New Roman"/>
                <w:sz w:val="21"/>
                <w:szCs w:val="21"/>
                <w:vertAlign w:val="baseline"/>
                <w:lang w:val="en-US" w:eastAsia="zh-CN"/>
              </w:rPr>
              <w:t>天</w:t>
            </w:r>
          </w:p>
        </w:tc>
      </w:tr>
    </w:tbl>
    <w:p>
      <w:pPr>
        <w:pStyle w:val="6"/>
        <w:bidi w:val="0"/>
        <w:outlineLvl w:val="1"/>
        <w:rPr>
          <w:rFonts w:hint="default"/>
          <w:lang w:val="en-US" w:eastAsia="zh-CN"/>
        </w:rPr>
      </w:pPr>
      <w:bookmarkStart w:id="109" w:name="_Toc28009"/>
      <w:r>
        <w:t>6.</w:t>
      </w:r>
      <w:r>
        <w:rPr>
          <w:rFonts w:hint="eastAsia"/>
          <w:lang w:val="en-US" w:eastAsia="zh-CN"/>
        </w:rPr>
        <w:t>2</w:t>
      </w:r>
      <w:r>
        <w:t>.</w:t>
      </w:r>
      <w:r>
        <w:rPr>
          <w:rFonts w:hint="eastAsia"/>
          <w:lang w:val="en-US" w:eastAsia="zh-CN"/>
        </w:rPr>
        <w:t>2气象参数</w:t>
      </w:r>
      <w:bookmarkEnd w:id="109"/>
    </w:p>
    <w:p>
      <w:pPr>
        <w:bidi w:val="0"/>
        <w:rPr>
          <w:rFonts w:hint="eastAsia"/>
          <w:lang w:val="en-US" w:eastAsia="zh-CN"/>
        </w:rPr>
      </w:pPr>
      <w:r>
        <w:rPr>
          <w:rFonts w:hint="eastAsia"/>
          <w:lang w:val="en-US" w:eastAsia="zh-CN"/>
        </w:rPr>
        <w:t>气象参数见下表。</w:t>
      </w:r>
    </w:p>
    <w:p>
      <w:pPr>
        <w:pStyle w:val="16"/>
        <w:bidi w:val="0"/>
        <w:rPr>
          <w:rFonts w:hint="default" w:eastAsia="宋体"/>
          <w:lang w:val="en-US" w:eastAsia="zh-CN"/>
        </w:rPr>
      </w:pPr>
      <w:r>
        <w:t>表6-</w:t>
      </w:r>
      <w:r>
        <w:rPr>
          <w:rFonts w:hint="eastAsia"/>
          <w:lang w:val="en-US" w:eastAsia="zh-CN"/>
        </w:rPr>
        <w:t xml:space="preserve">6 </w:t>
      </w:r>
      <w:r>
        <w:t xml:space="preserve"> </w:t>
      </w:r>
      <w:r>
        <w:rPr>
          <w:rFonts w:hint="eastAsia"/>
          <w:lang w:val="en-US" w:eastAsia="zh-CN"/>
        </w:rPr>
        <w:t>气象参数表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3"/>
        <w:gridCol w:w="1703"/>
        <w:gridCol w:w="1703"/>
        <w:gridCol w:w="1705"/>
        <w:gridCol w:w="17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trPr>
        <w:tc>
          <w:tcPr>
            <w:tcW w:w="999" w:type="pct"/>
            <w:vMerge w:val="restar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采样日期</w:t>
            </w:r>
          </w:p>
        </w:tc>
        <w:tc>
          <w:tcPr>
            <w:tcW w:w="4000" w:type="pct"/>
            <w:gridSpan w:val="4"/>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气象参数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trPr>
        <w:tc>
          <w:tcPr>
            <w:tcW w:w="99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气温（℃）</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气压（KPa）</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风向</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风速（m/s）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2024.02.29</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-12.3</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96.5</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西风</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0.7-1.8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2024.03.01</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-12.4</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96.5</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西风</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0.6-1.5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2024.03.02</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-11.7</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96.4</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西风</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2024.03.03</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-12.7</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96.5</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西风</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2024.03.04</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-12.5</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96.5</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西风</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2024.03.05</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-11.3</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96.4</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西风</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0.6-1.3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2024.03.06</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-12.1</w:t>
            </w:r>
          </w:p>
        </w:tc>
        <w:tc>
          <w:tcPr>
            <w:tcW w:w="999"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96.5</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西风</w:t>
            </w:r>
          </w:p>
        </w:tc>
        <w:tc>
          <w:tcPr>
            <w:tcW w:w="1000"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0.5-1.4</w:t>
            </w:r>
          </w:p>
        </w:tc>
      </w:tr>
    </w:tbl>
    <w:p>
      <w:pPr>
        <w:bidi w:val="0"/>
        <w:rPr>
          <w:rFonts w:hint="eastAsia"/>
          <w:lang w:val="en-US" w:eastAsia="zh-CN"/>
        </w:rPr>
      </w:pPr>
      <w:r>
        <w:rPr>
          <w:rFonts w:hint="eastAsia"/>
          <w:lang w:val="en-US" w:eastAsia="zh-CN"/>
        </w:rPr>
        <w:t>监测布点图：</w:t>
      </w:r>
    </w:p>
    <w:p>
      <w:pPr>
        <w:pStyle w:val="9"/>
      </w:pPr>
      <w:r>
        <w:drawing>
          <wp:inline distT="0" distB="0" distL="114300" distR="114300">
            <wp:extent cx="5267960" cy="4137025"/>
            <wp:effectExtent l="0" t="0" r="8890" b="1587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3"/>
                    <a:stretch>
                      <a:fillRect/>
                    </a:stretch>
                  </pic:blipFill>
                  <pic:spPr>
                    <a:xfrm>
                      <a:off x="0" y="0"/>
                      <a:ext cx="5267960" cy="4137025"/>
                    </a:xfrm>
                    <a:prstGeom prst="rect">
                      <a:avLst/>
                    </a:prstGeom>
                    <a:noFill/>
                    <a:ln>
                      <a:noFill/>
                    </a:ln>
                  </pic:spPr>
                </pic:pic>
              </a:graphicData>
            </a:graphic>
          </wp:inline>
        </w:drawing>
      </w:r>
    </w:p>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cs="Times New Roman"/>
          <w:sz w:val="21"/>
          <w:szCs w:val="21"/>
          <w:lang w:val="en-US" w:eastAsia="zh-CN"/>
        </w:rPr>
      </w:pPr>
      <w:r>
        <w:rPr>
          <w:rFonts w:hint="default" w:ascii="Times New Roman" w:hAnsi="Times New Roman" w:eastAsia="宋体" w:cs="Times New Roman"/>
          <w:b/>
          <w:bCs/>
          <w:sz w:val="21"/>
          <w:szCs w:val="21"/>
          <w:lang w:val="en-US" w:eastAsia="zh-CN"/>
        </w:rPr>
        <w:t>图6-1  监测点位图</w:t>
      </w:r>
    </w:p>
    <w:p>
      <w:pPr>
        <w:pStyle w:val="6"/>
        <w:bidi w:val="0"/>
        <w:outlineLvl w:val="1"/>
      </w:pPr>
      <w:bookmarkStart w:id="110" w:name="_Toc1157"/>
      <w:r>
        <w:rPr>
          <w:rFonts w:hint="eastAsia"/>
          <w:lang w:val="en-US" w:eastAsia="zh-CN"/>
        </w:rPr>
        <w:t>6.2.3</w:t>
      </w:r>
      <w:r>
        <w:t>声环境监测数据</w:t>
      </w:r>
      <w:bookmarkEnd w:id="110"/>
    </w:p>
    <w:p>
      <w:pPr>
        <w:bidi w:val="0"/>
        <w:rPr>
          <w:rFonts w:hint="eastAsia" w:eastAsia="宋体"/>
          <w:lang w:val="en-US" w:eastAsia="zh-CN"/>
        </w:rPr>
      </w:pPr>
      <w:r>
        <w:rPr>
          <w:rFonts w:ascii="宋体" w:hAnsi="宋体" w:eastAsia="宋体" w:cs="宋体"/>
          <w:spacing w:val="-2"/>
          <w:sz w:val="24"/>
          <w:szCs w:val="24"/>
        </w:rPr>
        <w:t>本次验收监测，</w:t>
      </w:r>
      <w:r>
        <w:rPr>
          <w:rFonts w:hint="eastAsia" w:ascii="宋体" w:hAnsi="宋体" w:cs="宋体"/>
          <w:spacing w:val="-2"/>
          <w:sz w:val="24"/>
          <w:szCs w:val="24"/>
          <w:lang w:val="en-US" w:eastAsia="zh-CN"/>
        </w:rPr>
        <w:t>项目区</w:t>
      </w:r>
      <w:r>
        <w:rPr>
          <w:rFonts w:ascii="宋体" w:hAnsi="宋体" w:eastAsia="宋体" w:cs="宋体"/>
          <w:spacing w:val="-2"/>
          <w:sz w:val="24"/>
          <w:szCs w:val="24"/>
        </w:rPr>
        <w:t>噪声监测结果见</w:t>
      </w:r>
      <w:r>
        <w:rPr>
          <w:rFonts w:hint="eastAsia" w:ascii="宋体" w:hAnsi="宋体" w:cs="宋体"/>
          <w:spacing w:val="-2"/>
          <w:sz w:val="24"/>
          <w:szCs w:val="24"/>
          <w:lang w:val="en-US" w:eastAsia="zh-CN"/>
        </w:rPr>
        <w:t>下</w:t>
      </w:r>
      <w:r>
        <w:rPr>
          <w:rFonts w:ascii="宋体" w:hAnsi="宋体" w:eastAsia="宋体" w:cs="宋体"/>
          <w:spacing w:val="-2"/>
          <w:sz w:val="24"/>
          <w:szCs w:val="24"/>
        </w:rPr>
        <w:t>表</w:t>
      </w:r>
      <w:r>
        <w:rPr>
          <w:rFonts w:hint="eastAsia" w:ascii="宋体" w:hAnsi="宋体" w:cs="宋体"/>
          <w:spacing w:val="-2"/>
          <w:sz w:val="24"/>
          <w:szCs w:val="24"/>
          <w:lang w:eastAsia="zh-CN"/>
        </w:rPr>
        <w:t>。</w:t>
      </w:r>
    </w:p>
    <w:p>
      <w:pPr>
        <w:pStyle w:val="16"/>
        <w:bidi w:val="0"/>
      </w:pPr>
      <w:r>
        <w:t>表6-</w:t>
      </w:r>
      <w:r>
        <w:rPr>
          <w:rFonts w:hint="eastAsia"/>
          <w:lang w:val="en-US" w:eastAsia="zh-CN"/>
        </w:rPr>
        <w:t>7</w:t>
      </w:r>
      <w:r>
        <w:t xml:space="preserve">  噪声测量结果表</w:t>
      </w:r>
    </w:p>
    <w:tbl>
      <w:tblPr>
        <w:tblStyle w:val="1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8"/>
        <w:gridCol w:w="2823"/>
        <w:gridCol w:w="2099"/>
        <w:gridCol w:w="20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879" w:type="pct"/>
            <w:vMerge w:val="restar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检测日期</w:t>
            </w:r>
          </w:p>
        </w:tc>
        <w:tc>
          <w:tcPr>
            <w:tcW w:w="1656"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点位编号及测点位置</w:t>
            </w:r>
          </w:p>
        </w:tc>
        <w:tc>
          <w:tcPr>
            <w:tcW w:w="1231"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检测时间</w:t>
            </w:r>
          </w:p>
        </w:tc>
        <w:tc>
          <w:tcPr>
            <w:tcW w:w="1231"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检测项目及结果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1656"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1231"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1231"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噪声LeqdB（A）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restar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2024.2.29</w:t>
            </w: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1#福盛路中点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13:08</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2#</w:t>
            </w:r>
            <w:r>
              <w:rPr>
                <w:rFonts w:hint="default" w:ascii="Times New Roman" w:hAnsi="Times New Roman" w:cs="Times New Roman"/>
                <w:sz w:val="21"/>
                <w:szCs w:val="21"/>
              </w:rPr>
              <w:t>米泉街阿克苏路交汇点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13:37</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3#东外环路与承启路交汇点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14:07</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4#阿克苏路东延道路终点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14:43</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5#南环路东延道路终点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15:15</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64.9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1#福盛路中点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00:32</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2#</w:t>
            </w:r>
            <w:r>
              <w:rPr>
                <w:rFonts w:hint="default" w:ascii="Times New Roman" w:hAnsi="Times New Roman" w:cs="Times New Roman"/>
                <w:sz w:val="21"/>
                <w:szCs w:val="21"/>
              </w:rPr>
              <w:t>米泉街阿克苏路交汇点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00:58</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3#东外环路与承启路交汇点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01:31</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4#阿克苏路东延道路终点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02:00</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5#南环路东延道路终点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02:32</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restar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2024.3.1</w:t>
            </w: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1#福盛路中点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19:14</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2#</w:t>
            </w:r>
            <w:r>
              <w:rPr>
                <w:rFonts w:hint="default" w:ascii="Times New Roman" w:hAnsi="Times New Roman" w:cs="Times New Roman"/>
                <w:sz w:val="21"/>
                <w:szCs w:val="21"/>
              </w:rPr>
              <w:t>米泉街阿克苏路交汇点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19:41</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3#东外环路与承启路交汇点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20:10</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4#阿克苏路东延道路终点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20:39</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5#南环路东延道路终点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21:07</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63.8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1#福盛路中点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00:35</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49.8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2#</w:t>
            </w:r>
            <w:r>
              <w:rPr>
                <w:rFonts w:hint="default" w:ascii="Times New Roman" w:hAnsi="Times New Roman" w:cs="Times New Roman"/>
                <w:sz w:val="21"/>
                <w:szCs w:val="21"/>
              </w:rPr>
              <w:t>米泉街阿克苏路交汇点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01:04</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3#东外环路与承启路交汇点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01:32</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4#阿克苏路东延道路终点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02:00</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cs="Times New Roman"/>
                <w:sz w:val="21"/>
                <w:szCs w:val="21"/>
                <w:lang w:val="en-US" w:eastAsia="zh-CN"/>
              </w:rPr>
              <w:t>5#南环路东延道路终点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02:27</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restar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2024.3.1.3</w:t>
            </w: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1#福盛路中点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18:53</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w:t>
            </w:r>
            <w:r>
              <w:rPr>
                <w:rFonts w:hint="default" w:ascii="Times New Roman" w:hAnsi="Times New Roman" w:cs="Times New Roman"/>
                <w:sz w:val="21"/>
                <w:szCs w:val="21"/>
              </w:rPr>
              <w:t>米泉街阿克苏路交汇点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19:26</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3#东外环路与承启路交汇点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19:58</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4#阿克苏路东延道路终点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20:25</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5#南环路东延道路终点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20:55</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1#福盛路中点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00:25</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w:t>
            </w:r>
            <w:r>
              <w:rPr>
                <w:rFonts w:hint="default" w:ascii="Times New Roman" w:hAnsi="Times New Roman" w:cs="Times New Roman"/>
                <w:sz w:val="21"/>
                <w:szCs w:val="21"/>
              </w:rPr>
              <w:t>米泉街阿克苏路交汇点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00:55</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3#东外环路与承启路交汇点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01:22</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4#阿克苏路东延道路终点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napToGrid w:val="0"/>
                <w:color w:val="000000"/>
                <w:kern w:val="0"/>
                <w:sz w:val="21"/>
                <w:szCs w:val="21"/>
                <w:vertAlign w:val="baseline"/>
                <w:lang w:val="en-US" w:eastAsia="zh-CN" w:bidi="ar-SA"/>
              </w:rPr>
            </w:pPr>
            <w:r>
              <w:rPr>
                <w:rFonts w:hint="default" w:ascii="Times New Roman" w:hAnsi="Times New Roman" w:eastAsia="宋体" w:cs="Times New Roman"/>
                <w:sz w:val="21"/>
                <w:szCs w:val="21"/>
                <w:vertAlign w:val="baseline"/>
                <w:lang w:val="en-US" w:eastAsia="zh-CN"/>
              </w:rPr>
              <w:t>01:51</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9" w:type="pct"/>
            <w:vMerge w:val="continue"/>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p>
        </w:tc>
        <w:tc>
          <w:tcPr>
            <w:tcW w:w="1656"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rightChars="0" w:firstLine="420" w:firstLineChars="20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5#南环路东延道路终点</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snapToGrid w:val="0"/>
                <w:color w:val="000000"/>
                <w:kern w:val="0"/>
                <w:sz w:val="21"/>
                <w:szCs w:val="21"/>
                <w:vertAlign w:val="baseline"/>
                <w:lang w:val="en-US" w:eastAsia="zh-CN" w:bidi="ar-SA"/>
              </w:rPr>
            </w:pPr>
            <w:r>
              <w:rPr>
                <w:rFonts w:hint="default" w:ascii="Times New Roman" w:hAnsi="Times New Roman" w:eastAsia="宋体" w:cs="Times New Roman"/>
                <w:sz w:val="21"/>
                <w:szCs w:val="21"/>
                <w:vertAlign w:val="baseline"/>
                <w:lang w:val="en-US" w:eastAsia="zh-CN"/>
              </w:rPr>
              <w:t>02:21</w:t>
            </w:r>
          </w:p>
        </w:tc>
        <w:tc>
          <w:tcPr>
            <w:tcW w:w="1231" w:type="pct"/>
            <w:vAlign w:val="center"/>
          </w:tcPr>
          <w:p>
            <w:pPr>
              <w:pStyle w:val="9"/>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53.1</w:t>
            </w:r>
          </w:p>
        </w:tc>
      </w:tr>
    </w:tbl>
    <w:p>
      <w:pPr>
        <w:bidi w:val="0"/>
      </w:pPr>
      <w:r>
        <w:t>根据</w:t>
      </w:r>
      <w:r>
        <w:rPr>
          <w:rFonts w:hint="eastAsia"/>
          <w:lang w:val="en-US" w:eastAsia="zh-CN"/>
        </w:rPr>
        <w:t>上</w:t>
      </w:r>
      <w:r>
        <w:t>表监测数据可知，验收监测期间，</w:t>
      </w:r>
      <w:r>
        <w:rPr>
          <w:rFonts w:hint="eastAsia"/>
          <w:lang w:val="en-US" w:eastAsia="zh-CN"/>
        </w:rPr>
        <w:t>项目区1-4#点位</w:t>
      </w:r>
      <w:r>
        <w:t>昼间噪声等效声级最大值</w:t>
      </w:r>
      <w:r>
        <w:rPr>
          <w:rFonts w:hint="eastAsia"/>
          <w:lang w:val="en-US" w:eastAsia="zh-CN"/>
        </w:rPr>
        <w:t>58.3</w:t>
      </w:r>
      <w:r>
        <w:t>dB（A），夜间噪声等效声级最大值为54.</w:t>
      </w:r>
      <w:r>
        <w:rPr>
          <w:rFonts w:hint="eastAsia"/>
          <w:lang w:val="en-US" w:eastAsia="zh-CN"/>
        </w:rPr>
        <w:t>1</w:t>
      </w:r>
      <w:r>
        <w:t>dB（A），</w:t>
      </w:r>
      <w:r>
        <w:rPr>
          <w:rFonts w:hint="eastAsia"/>
          <w:lang w:val="en-US" w:eastAsia="zh-CN"/>
        </w:rPr>
        <w:t>1-4#点位</w:t>
      </w:r>
      <w:r>
        <w:t>均符合《声环境质量标准》（GB3096-2008）中4a类标准限值要求</w:t>
      </w:r>
      <w:r>
        <w:rPr>
          <w:rFonts w:hint="eastAsia"/>
          <w:lang w:eastAsia="zh-CN"/>
        </w:rPr>
        <w:t>（</w:t>
      </w:r>
      <w:r>
        <w:rPr>
          <w:rFonts w:hint="default"/>
        </w:rPr>
        <w:t>昼间≤</w:t>
      </w:r>
      <w:r>
        <w:rPr>
          <w:rFonts w:hint="eastAsia"/>
          <w:lang w:val="en-US" w:eastAsia="zh-CN"/>
        </w:rPr>
        <w:t>70</w:t>
      </w:r>
      <w:r>
        <w:rPr>
          <w:rFonts w:hint="default"/>
        </w:rPr>
        <w:t>dB（A）</w:t>
      </w:r>
      <w:r>
        <w:rPr>
          <w:rFonts w:hint="eastAsia"/>
          <w:lang w:eastAsia="zh-CN"/>
        </w:rPr>
        <w:t>，</w:t>
      </w:r>
      <w:r>
        <w:rPr>
          <w:rFonts w:hint="default"/>
        </w:rPr>
        <w:t>夜间≤5</w:t>
      </w:r>
      <w:r>
        <w:rPr>
          <w:rFonts w:hint="eastAsia"/>
          <w:lang w:val="en-US" w:eastAsia="zh-CN"/>
        </w:rPr>
        <w:t>5</w:t>
      </w:r>
      <w:r>
        <w:rPr>
          <w:rFonts w:hint="default"/>
        </w:rPr>
        <w:t>dB（A）</w:t>
      </w:r>
      <w:r>
        <w:rPr>
          <w:rFonts w:hint="eastAsia"/>
          <w:lang w:eastAsia="zh-CN"/>
        </w:rPr>
        <w:t>）</w:t>
      </w:r>
      <w:r>
        <w:t>。</w:t>
      </w:r>
      <w:r>
        <w:rPr>
          <w:rFonts w:hint="eastAsia"/>
          <w:lang w:val="en-US" w:eastAsia="zh-CN"/>
        </w:rPr>
        <w:t>5#点位</w:t>
      </w:r>
      <w:r>
        <w:t>昼间噪声等效声级最大值</w:t>
      </w:r>
      <w:r>
        <w:rPr>
          <w:rFonts w:hint="eastAsia"/>
          <w:lang w:val="en-US" w:eastAsia="zh-CN"/>
        </w:rPr>
        <w:t>6</w:t>
      </w:r>
      <w:r>
        <w:t>4.</w:t>
      </w:r>
      <w:r>
        <w:rPr>
          <w:rFonts w:hint="eastAsia"/>
          <w:lang w:val="en-US" w:eastAsia="zh-CN"/>
        </w:rPr>
        <w:t>9</w:t>
      </w:r>
      <w:r>
        <w:t>dB（A），夜间噪声等效声级最大值为</w:t>
      </w:r>
      <w:r>
        <w:rPr>
          <w:rFonts w:hint="eastAsia"/>
          <w:lang w:val="en-US" w:eastAsia="zh-CN"/>
        </w:rPr>
        <w:t>53.1</w:t>
      </w:r>
      <w:r>
        <w:t>dB（A），符合《声环境质量标准》（GB22337-2008）中</w:t>
      </w:r>
      <w:r>
        <w:rPr>
          <w:rFonts w:hint="eastAsia"/>
          <w:lang w:val="en-US" w:eastAsia="zh-CN"/>
        </w:rPr>
        <w:t>3</w:t>
      </w:r>
      <w:r>
        <w:t>类标准限值要求</w:t>
      </w:r>
      <w:r>
        <w:rPr>
          <w:rFonts w:hint="eastAsia"/>
          <w:lang w:eastAsia="zh-CN"/>
        </w:rPr>
        <w:t>（</w:t>
      </w:r>
      <w:r>
        <w:rPr>
          <w:rFonts w:hint="default"/>
        </w:rPr>
        <w:t>昼间≤</w:t>
      </w:r>
      <w:r>
        <w:rPr>
          <w:rFonts w:hint="eastAsia"/>
          <w:lang w:val="en-US" w:eastAsia="zh-CN"/>
        </w:rPr>
        <w:t>65</w:t>
      </w:r>
      <w:r>
        <w:rPr>
          <w:rFonts w:hint="default"/>
        </w:rPr>
        <w:t>dB（A）</w:t>
      </w:r>
      <w:r>
        <w:rPr>
          <w:rFonts w:hint="eastAsia"/>
          <w:lang w:eastAsia="zh-CN"/>
        </w:rPr>
        <w:t>，</w:t>
      </w:r>
      <w:r>
        <w:rPr>
          <w:rFonts w:hint="default"/>
        </w:rPr>
        <w:t>夜间≤5</w:t>
      </w:r>
      <w:r>
        <w:rPr>
          <w:rFonts w:hint="eastAsia"/>
          <w:lang w:val="en-US" w:eastAsia="zh-CN"/>
        </w:rPr>
        <w:t>5</w:t>
      </w:r>
      <w:r>
        <w:rPr>
          <w:rFonts w:hint="default"/>
        </w:rPr>
        <w:t>dB（A）</w:t>
      </w:r>
      <w:r>
        <w:rPr>
          <w:rFonts w:hint="eastAsia"/>
          <w:lang w:eastAsia="zh-CN"/>
        </w:rPr>
        <w:t>）</w:t>
      </w:r>
      <w:r>
        <w:t>。</w:t>
      </w:r>
    </w:p>
    <w:p>
      <w:pPr>
        <w:pStyle w:val="5"/>
        <w:bidi w:val="0"/>
        <w:outlineLvl w:val="0"/>
      </w:pPr>
      <w:bookmarkStart w:id="111" w:name="_Toc6954"/>
      <w:r>
        <w:t>6.</w:t>
      </w:r>
      <w:r>
        <w:rPr>
          <w:rFonts w:hint="eastAsia"/>
          <w:lang w:val="en-US" w:eastAsia="zh-CN"/>
        </w:rPr>
        <w:t>3</w:t>
      </w:r>
      <w:r>
        <w:t>交通量分析</w:t>
      </w:r>
      <w:bookmarkEnd w:id="111"/>
    </w:p>
    <w:p>
      <w:pPr>
        <w:bidi w:val="0"/>
        <w:rPr>
          <w:rFonts w:hint="default"/>
          <w:lang w:val="en-US" w:eastAsia="zh-CN"/>
        </w:rPr>
      </w:pPr>
      <w:r>
        <w:t>环评中交通预测量结果见</w:t>
      </w:r>
      <w:r>
        <w:rPr>
          <w:rFonts w:hint="eastAsia"/>
          <w:lang w:val="en-US" w:eastAsia="zh-CN"/>
        </w:rPr>
        <w:t>下表</w:t>
      </w:r>
      <w:r>
        <w:t>。</w:t>
      </w:r>
    </w:p>
    <w:p>
      <w:pPr>
        <w:pStyle w:val="16"/>
        <w:bidi w:val="0"/>
      </w:pPr>
      <w:r>
        <w:t>表</w:t>
      </w:r>
      <w:r>
        <w:rPr>
          <w:rFonts w:hint="eastAsia"/>
          <w:lang w:val="en-US" w:eastAsia="zh-CN"/>
        </w:rPr>
        <w:t>6</w:t>
      </w:r>
      <w:r>
        <w:t>-</w:t>
      </w:r>
      <w:r>
        <w:rPr>
          <w:rFonts w:hint="eastAsia"/>
          <w:lang w:val="en-US" w:eastAsia="zh-CN"/>
        </w:rPr>
        <w:t>8</w:t>
      </w:r>
      <w:r>
        <w:t xml:space="preserve">     交通量预测结果        单位：辆/h</w:t>
      </w:r>
    </w:p>
    <w:tbl>
      <w:tblPr>
        <w:tblStyle w:val="20"/>
        <w:tblW w:w="5003"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833"/>
        <w:gridCol w:w="13"/>
        <w:gridCol w:w="741"/>
        <w:gridCol w:w="2"/>
        <w:gridCol w:w="756"/>
        <w:gridCol w:w="22"/>
        <w:gridCol w:w="747"/>
        <w:gridCol w:w="13"/>
        <w:gridCol w:w="742"/>
        <w:gridCol w:w="28"/>
        <w:gridCol w:w="696"/>
        <w:gridCol w:w="75"/>
        <w:gridCol w:w="661"/>
        <w:gridCol w:w="110"/>
        <w:gridCol w:w="501"/>
        <w:gridCol w:w="121"/>
        <w:gridCol w:w="634"/>
        <w:gridCol w:w="126"/>
        <w:gridCol w:w="629"/>
        <w:gridCol w:w="156"/>
        <w:gridCol w:w="711"/>
        <w:gridCol w:w="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509" w:type="pct"/>
            <w:gridSpan w:val="2"/>
            <w:vMerge w:val="restart"/>
            <w:tcBorders>
              <w:bottom w:val="nil"/>
            </w:tcBorders>
            <w:vAlign w:val="center"/>
          </w:tcPr>
          <w:p>
            <w:pPr>
              <w:pStyle w:val="18"/>
              <w:bidi w:val="0"/>
              <w:jc w:val="center"/>
            </w:pPr>
            <w:r>
              <w:t>预测时间</w:t>
            </w:r>
          </w:p>
        </w:tc>
        <w:tc>
          <w:tcPr>
            <w:tcW w:w="445" w:type="pct"/>
            <w:vMerge w:val="restart"/>
            <w:tcBorders>
              <w:bottom w:val="nil"/>
            </w:tcBorders>
            <w:vAlign w:val="center"/>
          </w:tcPr>
          <w:p>
            <w:pPr>
              <w:pStyle w:val="18"/>
              <w:bidi w:val="0"/>
              <w:jc w:val="center"/>
            </w:pPr>
            <w:r>
              <w:t>昼间车流量</w:t>
            </w:r>
          </w:p>
        </w:tc>
        <w:tc>
          <w:tcPr>
            <w:tcW w:w="468" w:type="pct"/>
            <w:gridSpan w:val="3"/>
            <w:vMerge w:val="restart"/>
            <w:tcBorders>
              <w:bottom w:val="nil"/>
            </w:tcBorders>
            <w:vAlign w:val="center"/>
          </w:tcPr>
          <w:p>
            <w:pPr>
              <w:pStyle w:val="18"/>
              <w:bidi w:val="0"/>
              <w:jc w:val="center"/>
            </w:pPr>
            <w:r>
              <w:t>夜间车流量</w:t>
            </w:r>
          </w:p>
        </w:tc>
        <w:tc>
          <w:tcPr>
            <w:tcW w:w="920" w:type="pct"/>
            <w:gridSpan w:val="4"/>
            <w:vAlign w:val="center"/>
          </w:tcPr>
          <w:p>
            <w:pPr>
              <w:pStyle w:val="18"/>
              <w:bidi w:val="0"/>
              <w:jc w:val="center"/>
            </w:pPr>
            <w:r>
              <w:t>小型车</w:t>
            </w:r>
          </w:p>
        </w:tc>
        <w:tc>
          <w:tcPr>
            <w:tcW w:w="926" w:type="pct"/>
            <w:gridSpan w:val="4"/>
            <w:vAlign w:val="center"/>
          </w:tcPr>
          <w:p>
            <w:pPr>
              <w:pStyle w:val="18"/>
              <w:bidi w:val="0"/>
              <w:jc w:val="center"/>
            </w:pPr>
            <w:r>
              <w:t>中型车</w:t>
            </w:r>
          </w:p>
        </w:tc>
        <w:tc>
          <w:tcPr>
            <w:tcW w:w="831" w:type="pct"/>
            <w:gridSpan w:val="4"/>
            <w:vAlign w:val="center"/>
          </w:tcPr>
          <w:p>
            <w:pPr>
              <w:pStyle w:val="18"/>
              <w:bidi w:val="0"/>
              <w:jc w:val="center"/>
            </w:pPr>
            <w:r>
              <w:t>大型车</w:t>
            </w:r>
          </w:p>
        </w:tc>
        <w:tc>
          <w:tcPr>
            <w:tcW w:w="898" w:type="pct"/>
            <w:gridSpan w:val="4"/>
            <w:vAlign w:val="center"/>
          </w:tcPr>
          <w:p>
            <w:pPr>
              <w:pStyle w:val="18"/>
              <w:bidi w:val="0"/>
              <w:jc w:val="center"/>
            </w:pPr>
            <w:r>
              <w:t>折合小型车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509" w:type="pct"/>
            <w:gridSpan w:val="2"/>
            <w:vMerge w:val="continue"/>
            <w:tcBorders>
              <w:top w:val="nil"/>
            </w:tcBorders>
            <w:vAlign w:val="center"/>
          </w:tcPr>
          <w:p>
            <w:pPr>
              <w:pStyle w:val="18"/>
              <w:bidi w:val="0"/>
              <w:jc w:val="center"/>
            </w:pPr>
          </w:p>
        </w:tc>
        <w:tc>
          <w:tcPr>
            <w:tcW w:w="445" w:type="pct"/>
            <w:vMerge w:val="continue"/>
            <w:tcBorders>
              <w:top w:val="nil"/>
            </w:tcBorders>
            <w:vAlign w:val="center"/>
          </w:tcPr>
          <w:p>
            <w:pPr>
              <w:pStyle w:val="18"/>
              <w:bidi w:val="0"/>
              <w:jc w:val="center"/>
            </w:pPr>
          </w:p>
        </w:tc>
        <w:tc>
          <w:tcPr>
            <w:tcW w:w="468" w:type="pct"/>
            <w:gridSpan w:val="3"/>
            <w:vMerge w:val="continue"/>
            <w:tcBorders>
              <w:top w:val="nil"/>
            </w:tcBorders>
            <w:vAlign w:val="center"/>
          </w:tcPr>
          <w:p>
            <w:pPr>
              <w:pStyle w:val="18"/>
              <w:bidi w:val="0"/>
              <w:jc w:val="center"/>
            </w:pPr>
          </w:p>
        </w:tc>
        <w:tc>
          <w:tcPr>
            <w:tcW w:w="457" w:type="pct"/>
            <w:gridSpan w:val="2"/>
            <w:vAlign w:val="center"/>
          </w:tcPr>
          <w:p>
            <w:pPr>
              <w:pStyle w:val="18"/>
              <w:bidi w:val="0"/>
              <w:jc w:val="center"/>
            </w:pPr>
            <w:r>
              <w:t>昼间</w:t>
            </w:r>
          </w:p>
        </w:tc>
        <w:tc>
          <w:tcPr>
            <w:tcW w:w="463" w:type="pct"/>
            <w:gridSpan w:val="2"/>
            <w:vAlign w:val="center"/>
          </w:tcPr>
          <w:p>
            <w:pPr>
              <w:pStyle w:val="18"/>
              <w:bidi w:val="0"/>
              <w:jc w:val="center"/>
            </w:pPr>
            <w:r>
              <w:t>夜间</w:t>
            </w:r>
          </w:p>
        </w:tc>
        <w:tc>
          <w:tcPr>
            <w:tcW w:w="463" w:type="pct"/>
            <w:gridSpan w:val="2"/>
            <w:vAlign w:val="center"/>
          </w:tcPr>
          <w:p>
            <w:pPr>
              <w:pStyle w:val="18"/>
              <w:bidi w:val="0"/>
              <w:jc w:val="center"/>
            </w:pPr>
            <w:r>
              <w:t>昼间</w:t>
            </w:r>
          </w:p>
        </w:tc>
        <w:tc>
          <w:tcPr>
            <w:tcW w:w="463" w:type="pct"/>
            <w:gridSpan w:val="2"/>
            <w:vAlign w:val="center"/>
          </w:tcPr>
          <w:p>
            <w:pPr>
              <w:pStyle w:val="18"/>
              <w:bidi w:val="0"/>
              <w:jc w:val="center"/>
            </w:pPr>
            <w:r>
              <w:t>夜间</w:t>
            </w:r>
          </w:p>
        </w:tc>
        <w:tc>
          <w:tcPr>
            <w:tcW w:w="374" w:type="pct"/>
            <w:gridSpan w:val="2"/>
            <w:vAlign w:val="center"/>
          </w:tcPr>
          <w:p>
            <w:pPr>
              <w:pStyle w:val="18"/>
              <w:bidi w:val="0"/>
              <w:jc w:val="center"/>
            </w:pPr>
            <w:r>
              <w:t>昼间</w:t>
            </w:r>
          </w:p>
        </w:tc>
        <w:tc>
          <w:tcPr>
            <w:tcW w:w="457" w:type="pct"/>
            <w:gridSpan w:val="2"/>
            <w:vAlign w:val="center"/>
          </w:tcPr>
          <w:p>
            <w:pPr>
              <w:pStyle w:val="18"/>
              <w:bidi w:val="0"/>
              <w:jc w:val="center"/>
            </w:pPr>
            <w:r>
              <w:t>夜间</w:t>
            </w:r>
          </w:p>
        </w:tc>
        <w:tc>
          <w:tcPr>
            <w:tcW w:w="472" w:type="pct"/>
            <w:gridSpan w:val="2"/>
            <w:vAlign w:val="center"/>
          </w:tcPr>
          <w:p>
            <w:pPr>
              <w:pStyle w:val="18"/>
              <w:bidi w:val="0"/>
              <w:jc w:val="center"/>
            </w:pPr>
            <w:r>
              <w:t>昼间</w:t>
            </w:r>
          </w:p>
        </w:tc>
        <w:tc>
          <w:tcPr>
            <w:tcW w:w="425" w:type="pct"/>
            <w:gridSpan w:val="2"/>
            <w:vAlign w:val="center"/>
          </w:tcPr>
          <w:p>
            <w:pPr>
              <w:pStyle w:val="18"/>
              <w:bidi w:val="0"/>
              <w:jc w:val="center"/>
            </w:pPr>
            <w:r>
              <w:t>夜间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5000" w:type="pct"/>
            <w:gridSpan w:val="22"/>
            <w:vAlign w:val="center"/>
          </w:tcPr>
          <w:p>
            <w:pPr>
              <w:pStyle w:val="18"/>
              <w:bidi w:val="0"/>
              <w:jc w:val="center"/>
            </w:pPr>
            <w:r>
              <w:t>阿克苏路东延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509" w:type="pct"/>
            <w:gridSpan w:val="2"/>
            <w:vAlign w:val="center"/>
          </w:tcPr>
          <w:p>
            <w:pPr>
              <w:pStyle w:val="18"/>
              <w:bidi w:val="0"/>
              <w:jc w:val="center"/>
            </w:pPr>
            <w:r>
              <w:t>2018</w:t>
            </w:r>
          </w:p>
        </w:tc>
        <w:tc>
          <w:tcPr>
            <w:tcW w:w="445" w:type="pct"/>
            <w:vAlign w:val="center"/>
          </w:tcPr>
          <w:p>
            <w:pPr>
              <w:pStyle w:val="18"/>
              <w:bidi w:val="0"/>
              <w:jc w:val="center"/>
            </w:pPr>
            <w:r>
              <w:t>107</w:t>
            </w:r>
          </w:p>
        </w:tc>
        <w:tc>
          <w:tcPr>
            <w:tcW w:w="468" w:type="pct"/>
            <w:gridSpan w:val="3"/>
            <w:vAlign w:val="center"/>
          </w:tcPr>
          <w:p>
            <w:pPr>
              <w:pStyle w:val="18"/>
              <w:bidi w:val="0"/>
              <w:jc w:val="center"/>
            </w:pPr>
            <w:r>
              <w:t>27</w:t>
            </w:r>
          </w:p>
        </w:tc>
        <w:tc>
          <w:tcPr>
            <w:tcW w:w="457" w:type="pct"/>
            <w:gridSpan w:val="2"/>
            <w:vAlign w:val="center"/>
          </w:tcPr>
          <w:p>
            <w:pPr>
              <w:pStyle w:val="18"/>
              <w:bidi w:val="0"/>
              <w:jc w:val="center"/>
            </w:pPr>
            <w:r>
              <w:t>49</w:t>
            </w:r>
          </w:p>
        </w:tc>
        <w:tc>
          <w:tcPr>
            <w:tcW w:w="463" w:type="pct"/>
            <w:gridSpan w:val="2"/>
            <w:vAlign w:val="center"/>
          </w:tcPr>
          <w:p>
            <w:pPr>
              <w:pStyle w:val="18"/>
              <w:bidi w:val="0"/>
              <w:jc w:val="center"/>
            </w:pPr>
            <w:r>
              <w:t>12</w:t>
            </w:r>
          </w:p>
        </w:tc>
        <w:tc>
          <w:tcPr>
            <w:tcW w:w="463" w:type="pct"/>
            <w:gridSpan w:val="2"/>
            <w:vAlign w:val="center"/>
          </w:tcPr>
          <w:p>
            <w:pPr>
              <w:pStyle w:val="18"/>
              <w:bidi w:val="0"/>
              <w:jc w:val="center"/>
            </w:pPr>
            <w:r>
              <w:t>28</w:t>
            </w:r>
          </w:p>
        </w:tc>
        <w:tc>
          <w:tcPr>
            <w:tcW w:w="463" w:type="pct"/>
            <w:gridSpan w:val="2"/>
            <w:vAlign w:val="center"/>
          </w:tcPr>
          <w:p>
            <w:pPr>
              <w:pStyle w:val="18"/>
              <w:bidi w:val="0"/>
              <w:jc w:val="center"/>
            </w:pPr>
            <w:r>
              <w:t>8</w:t>
            </w:r>
          </w:p>
        </w:tc>
        <w:tc>
          <w:tcPr>
            <w:tcW w:w="374" w:type="pct"/>
            <w:gridSpan w:val="2"/>
            <w:vAlign w:val="center"/>
          </w:tcPr>
          <w:p>
            <w:pPr>
              <w:pStyle w:val="18"/>
              <w:bidi w:val="0"/>
              <w:jc w:val="center"/>
            </w:pPr>
            <w:r>
              <w:t>30</w:t>
            </w:r>
          </w:p>
        </w:tc>
        <w:tc>
          <w:tcPr>
            <w:tcW w:w="457" w:type="pct"/>
            <w:gridSpan w:val="2"/>
            <w:vAlign w:val="center"/>
          </w:tcPr>
          <w:p>
            <w:pPr>
              <w:pStyle w:val="18"/>
              <w:bidi w:val="0"/>
              <w:jc w:val="center"/>
            </w:pPr>
            <w:r>
              <w:t>7</w:t>
            </w:r>
          </w:p>
        </w:tc>
        <w:tc>
          <w:tcPr>
            <w:tcW w:w="472" w:type="pct"/>
            <w:gridSpan w:val="2"/>
            <w:vAlign w:val="center"/>
          </w:tcPr>
          <w:p>
            <w:pPr>
              <w:pStyle w:val="18"/>
              <w:bidi w:val="0"/>
              <w:jc w:val="center"/>
            </w:pPr>
            <w:r>
              <w:t>151</w:t>
            </w:r>
          </w:p>
        </w:tc>
        <w:tc>
          <w:tcPr>
            <w:tcW w:w="425" w:type="pct"/>
            <w:gridSpan w:val="2"/>
            <w:vAlign w:val="center"/>
          </w:tcPr>
          <w:p>
            <w:pPr>
              <w:pStyle w:val="18"/>
              <w:bidi w:val="0"/>
              <w:jc w:val="center"/>
            </w:pPr>
            <w:r>
              <w:t>38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509" w:type="pct"/>
            <w:gridSpan w:val="2"/>
            <w:vAlign w:val="center"/>
          </w:tcPr>
          <w:p>
            <w:pPr>
              <w:pStyle w:val="18"/>
              <w:bidi w:val="0"/>
              <w:jc w:val="center"/>
            </w:pPr>
            <w:r>
              <w:t>2025</w:t>
            </w:r>
          </w:p>
        </w:tc>
        <w:tc>
          <w:tcPr>
            <w:tcW w:w="445" w:type="pct"/>
            <w:vAlign w:val="center"/>
          </w:tcPr>
          <w:p>
            <w:pPr>
              <w:pStyle w:val="18"/>
              <w:bidi w:val="0"/>
              <w:jc w:val="center"/>
            </w:pPr>
            <w:r>
              <w:t>143</w:t>
            </w:r>
          </w:p>
        </w:tc>
        <w:tc>
          <w:tcPr>
            <w:tcW w:w="468" w:type="pct"/>
            <w:gridSpan w:val="3"/>
            <w:vAlign w:val="center"/>
          </w:tcPr>
          <w:p>
            <w:pPr>
              <w:pStyle w:val="18"/>
              <w:bidi w:val="0"/>
              <w:jc w:val="center"/>
            </w:pPr>
            <w:r>
              <w:t>38</w:t>
            </w:r>
          </w:p>
        </w:tc>
        <w:tc>
          <w:tcPr>
            <w:tcW w:w="457" w:type="pct"/>
            <w:gridSpan w:val="2"/>
            <w:vAlign w:val="center"/>
          </w:tcPr>
          <w:p>
            <w:pPr>
              <w:pStyle w:val="18"/>
              <w:bidi w:val="0"/>
              <w:jc w:val="center"/>
            </w:pPr>
            <w:r>
              <w:t>62</w:t>
            </w:r>
          </w:p>
        </w:tc>
        <w:tc>
          <w:tcPr>
            <w:tcW w:w="463" w:type="pct"/>
            <w:gridSpan w:val="2"/>
            <w:vAlign w:val="center"/>
          </w:tcPr>
          <w:p>
            <w:pPr>
              <w:pStyle w:val="18"/>
              <w:bidi w:val="0"/>
              <w:jc w:val="center"/>
            </w:pPr>
            <w:r>
              <w:t>17</w:t>
            </w:r>
          </w:p>
        </w:tc>
        <w:tc>
          <w:tcPr>
            <w:tcW w:w="463" w:type="pct"/>
            <w:gridSpan w:val="2"/>
            <w:vAlign w:val="center"/>
          </w:tcPr>
          <w:p>
            <w:pPr>
              <w:pStyle w:val="18"/>
              <w:bidi w:val="0"/>
              <w:jc w:val="center"/>
            </w:pPr>
            <w:r>
              <w:t>35</w:t>
            </w:r>
          </w:p>
        </w:tc>
        <w:tc>
          <w:tcPr>
            <w:tcW w:w="463" w:type="pct"/>
            <w:gridSpan w:val="2"/>
            <w:vAlign w:val="center"/>
          </w:tcPr>
          <w:p>
            <w:pPr>
              <w:pStyle w:val="18"/>
              <w:bidi w:val="0"/>
              <w:jc w:val="center"/>
            </w:pPr>
            <w:r>
              <w:t>10</w:t>
            </w:r>
          </w:p>
        </w:tc>
        <w:tc>
          <w:tcPr>
            <w:tcW w:w="374" w:type="pct"/>
            <w:gridSpan w:val="2"/>
            <w:vAlign w:val="center"/>
          </w:tcPr>
          <w:p>
            <w:pPr>
              <w:pStyle w:val="18"/>
              <w:bidi w:val="0"/>
              <w:jc w:val="center"/>
            </w:pPr>
            <w:r>
              <w:t>46</w:t>
            </w:r>
          </w:p>
        </w:tc>
        <w:tc>
          <w:tcPr>
            <w:tcW w:w="457" w:type="pct"/>
            <w:gridSpan w:val="2"/>
            <w:vAlign w:val="center"/>
          </w:tcPr>
          <w:p>
            <w:pPr>
              <w:pStyle w:val="18"/>
              <w:bidi w:val="0"/>
              <w:jc w:val="center"/>
            </w:pPr>
            <w:r>
              <w:t>11</w:t>
            </w:r>
          </w:p>
        </w:tc>
        <w:tc>
          <w:tcPr>
            <w:tcW w:w="472" w:type="pct"/>
            <w:gridSpan w:val="2"/>
            <w:vAlign w:val="center"/>
          </w:tcPr>
          <w:p>
            <w:pPr>
              <w:pStyle w:val="18"/>
              <w:bidi w:val="0"/>
              <w:jc w:val="center"/>
            </w:pPr>
            <w:r>
              <w:t>207</w:t>
            </w:r>
          </w:p>
        </w:tc>
        <w:tc>
          <w:tcPr>
            <w:tcW w:w="425" w:type="pct"/>
            <w:gridSpan w:val="2"/>
            <w:vAlign w:val="center"/>
          </w:tcPr>
          <w:p>
            <w:pPr>
              <w:pStyle w:val="18"/>
              <w:bidi w:val="0"/>
              <w:jc w:val="center"/>
            </w:pPr>
            <w:r>
              <w:t>54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509" w:type="pct"/>
            <w:gridSpan w:val="2"/>
            <w:vAlign w:val="center"/>
          </w:tcPr>
          <w:p>
            <w:pPr>
              <w:pStyle w:val="18"/>
              <w:bidi w:val="0"/>
              <w:jc w:val="center"/>
            </w:pPr>
            <w:r>
              <w:t>2033</w:t>
            </w:r>
          </w:p>
        </w:tc>
        <w:tc>
          <w:tcPr>
            <w:tcW w:w="445" w:type="pct"/>
            <w:vAlign w:val="center"/>
          </w:tcPr>
          <w:p>
            <w:pPr>
              <w:pStyle w:val="18"/>
              <w:bidi w:val="0"/>
              <w:jc w:val="center"/>
            </w:pPr>
            <w:r>
              <w:t>203</w:t>
            </w:r>
          </w:p>
        </w:tc>
        <w:tc>
          <w:tcPr>
            <w:tcW w:w="468" w:type="pct"/>
            <w:gridSpan w:val="3"/>
            <w:vAlign w:val="center"/>
          </w:tcPr>
          <w:p>
            <w:pPr>
              <w:pStyle w:val="18"/>
              <w:bidi w:val="0"/>
              <w:jc w:val="center"/>
            </w:pPr>
            <w:r>
              <w:t>51</w:t>
            </w:r>
          </w:p>
        </w:tc>
        <w:tc>
          <w:tcPr>
            <w:tcW w:w="457" w:type="pct"/>
            <w:gridSpan w:val="2"/>
            <w:vAlign w:val="center"/>
          </w:tcPr>
          <w:p>
            <w:pPr>
              <w:pStyle w:val="18"/>
              <w:bidi w:val="0"/>
              <w:jc w:val="center"/>
            </w:pPr>
            <w:r>
              <w:t>91</w:t>
            </w:r>
          </w:p>
        </w:tc>
        <w:tc>
          <w:tcPr>
            <w:tcW w:w="463" w:type="pct"/>
            <w:gridSpan w:val="2"/>
            <w:vAlign w:val="center"/>
          </w:tcPr>
          <w:p>
            <w:pPr>
              <w:pStyle w:val="18"/>
              <w:bidi w:val="0"/>
              <w:jc w:val="center"/>
            </w:pPr>
            <w:r>
              <w:t>23</w:t>
            </w:r>
          </w:p>
        </w:tc>
        <w:tc>
          <w:tcPr>
            <w:tcW w:w="463" w:type="pct"/>
            <w:gridSpan w:val="2"/>
            <w:vAlign w:val="center"/>
          </w:tcPr>
          <w:p>
            <w:pPr>
              <w:pStyle w:val="18"/>
              <w:bidi w:val="0"/>
              <w:jc w:val="center"/>
            </w:pPr>
            <w:r>
              <w:t>51</w:t>
            </w:r>
          </w:p>
        </w:tc>
        <w:tc>
          <w:tcPr>
            <w:tcW w:w="463" w:type="pct"/>
            <w:gridSpan w:val="2"/>
            <w:vAlign w:val="center"/>
          </w:tcPr>
          <w:p>
            <w:pPr>
              <w:pStyle w:val="18"/>
              <w:bidi w:val="0"/>
              <w:jc w:val="center"/>
            </w:pPr>
            <w:r>
              <w:t>13</w:t>
            </w:r>
          </w:p>
        </w:tc>
        <w:tc>
          <w:tcPr>
            <w:tcW w:w="374" w:type="pct"/>
            <w:gridSpan w:val="2"/>
            <w:vAlign w:val="center"/>
          </w:tcPr>
          <w:p>
            <w:pPr>
              <w:pStyle w:val="18"/>
              <w:bidi w:val="0"/>
              <w:jc w:val="center"/>
            </w:pPr>
            <w:r>
              <w:t>61</w:t>
            </w:r>
          </w:p>
        </w:tc>
        <w:tc>
          <w:tcPr>
            <w:tcW w:w="457" w:type="pct"/>
            <w:gridSpan w:val="2"/>
            <w:vAlign w:val="center"/>
          </w:tcPr>
          <w:p>
            <w:pPr>
              <w:pStyle w:val="18"/>
              <w:bidi w:val="0"/>
              <w:jc w:val="center"/>
            </w:pPr>
            <w:r>
              <w:t>15</w:t>
            </w:r>
          </w:p>
        </w:tc>
        <w:tc>
          <w:tcPr>
            <w:tcW w:w="472" w:type="pct"/>
            <w:gridSpan w:val="2"/>
            <w:vAlign w:val="center"/>
          </w:tcPr>
          <w:p>
            <w:pPr>
              <w:pStyle w:val="18"/>
              <w:bidi w:val="0"/>
              <w:jc w:val="center"/>
            </w:pPr>
            <w:r>
              <w:t>290</w:t>
            </w:r>
          </w:p>
        </w:tc>
        <w:tc>
          <w:tcPr>
            <w:tcW w:w="425" w:type="pct"/>
            <w:gridSpan w:val="2"/>
            <w:vAlign w:val="center"/>
          </w:tcPr>
          <w:p>
            <w:pPr>
              <w:pStyle w:val="18"/>
              <w:bidi w:val="0"/>
              <w:jc w:val="center"/>
            </w:pPr>
            <w:r>
              <w:t>73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5000" w:type="pct"/>
            <w:gridSpan w:val="22"/>
            <w:vAlign w:val="center"/>
          </w:tcPr>
          <w:p>
            <w:pPr>
              <w:pStyle w:val="18"/>
              <w:bidi w:val="0"/>
              <w:jc w:val="center"/>
            </w:pPr>
            <w:r>
              <w:t>南环路东延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09" w:type="pct"/>
            <w:gridSpan w:val="2"/>
            <w:vAlign w:val="center"/>
          </w:tcPr>
          <w:p>
            <w:pPr>
              <w:pStyle w:val="18"/>
              <w:bidi w:val="0"/>
              <w:jc w:val="center"/>
            </w:pPr>
            <w:r>
              <w:t>2018</w:t>
            </w:r>
          </w:p>
        </w:tc>
        <w:tc>
          <w:tcPr>
            <w:tcW w:w="445" w:type="pct"/>
            <w:vAlign w:val="center"/>
          </w:tcPr>
          <w:p>
            <w:pPr>
              <w:pStyle w:val="18"/>
              <w:bidi w:val="0"/>
              <w:jc w:val="center"/>
            </w:pPr>
            <w:r>
              <w:t>86</w:t>
            </w:r>
          </w:p>
        </w:tc>
        <w:tc>
          <w:tcPr>
            <w:tcW w:w="468" w:type="pct"/>
            <w:gridSpan w:val="3"/>
            <w:vAlign w:val="center"/>
          </w:tcPr>
          <w:p>
            <w:pPr>
              <w:pStyle w:val="18"/>
              <w:bidi w:val="0"/>
              <w:jc w:val="center"/>
            </w:pPr>
            <w:r>
              <w:t>23</w:t>
            </w:r>
          </w:p>
        </w:tc>
        <w:tc>
          <w:tcPr>
            <w:tcW w:w="457" w:type="pct"/>
            <w:gridSpan w:val="2"/>
            <w:vAlign w:val="center"/>
          </w:tcPr>
          <w:p>
            <w:pPr>
              <w:pStyle w:val="18"/>
              <w:bidi w:val="0"/>
              <w:jc w:val="center"/>
            </w:pPr>
            <w:r>
              <w:t>28</w:t>
            </w:r>
          </w:p>
        </w:tc>
        <w:tc>
          <w:tcPr>
            <w:tcW w:w="463" w:type="pct"/>
            <w:gridSpan w:val="2"/>
            <w:vAlign w:val="center"/>
          </w:tcPr>
          <w:p>
            <w:pPr>
              <w:pStyle w:val="18"/>
              <w:bidi w:val="0"/>
              <w:jc w:val="center"/>
            </w:pPr>
            <w:r>
              <w:t>7</w:t>
            </w:r>
          </w:p>
        </w:tc>
        <w:tc>
          <w:tcPr>
            <w:tcW w:w="463" w:type="pct"/>
            <w:gridSpan w:val="2"/>
            <w:vAlign w:val="center"/>
          </w:tcPr>
          <w:p>
            <w:pPr>
              <w:pStyle w:val="18"/>
              <w:bidi w:val="0"/>
              <w:jc w:val="center"/>
            </w:pPr>
            <w:r>
              <w:t>52</w:t>
            </w:r>
          </w:p>
        </w:tc>
        <w:tc>
          <w:tcPr>
            <w:tcW w:w="463" w:type="pct"/>
            <w:gridSpan w:val="2"/>
            <w:vAlign w:val="center"/>
          </w:tcPr>
          <w:p>
            <w:pPr>
              <w:pStyle w:val="18"/>
              <w:bidi w:val="0"/>
              <w:jc w:val="center"/>
            </w:pPr>
            <w:r>
              <w:t>14</w:t>
            </w:r>
          </w:p>
        </w:tc>
        <w:tc>
          <w:tcPr>
            <w:tcW w:w="374" w:type="pct"/>
            <w:gridSpan w:val="2"/>
            <w:vAlign w:val="center"/>
          </w:tcPr>
          <w:p>
            <w:pPr>
              <w:pStyle w:val="18"/>
              <w:bidi w:val="0"/>
              <w:jc w:val="center"/>
            </w:pPr>
            <w:r>
              <w:t>9</w:t>
            </w:r>
          </w:p>
        </w:tc>
        <w:tc>
          <w:tcPr>
            <w:tcW w:w="457" w:type="pct"/>
            <w:gridSpan w:val="2"/>
            <w:vAlign w:val="center"/>
          </w:tcPr>
          <w:p>
            <w:pPr>
              <w:pStyle w:val="18"/>
              <w:bidi w:val="0"/>
              <w:jc w:val="center"/>
            </w:pPr>
            <w:r>
              <w:t>2</w:t>
            </w:r>
          </w:p>
        </w:tc>
        <w:tc>
          <w:tcPr>
            <w:tcW w:w="472" w:type="pct"/>
            <w:gridSpan w:val="2"/>
            <w:vAlign w:val="center"/>
          </w:tcPr>
          <w:p>
            <w:pPr>
              <w:pStyle w:val="18"/>
              <w:bidi w:val="0"/>
              <w:jc w:val="center"/>
            </w:pPr>
            <w:r>
              <w:t>124</w:t>
            </w:r>
          </w:p>
        </w:tc>
        <w:tc>
          <w:tcPr>
            <w:tcW w:w="425" w:type="pct"/>
            <w:gridSpan w:val="2"/>
            <w:vAlign w:val="center"/>
          </w:tcPr>
          <w:p>
            <w:pPr>
              <w:pStyle w:val="18"/>
              <w:bidi w:val="0"/>
              <w:jc w:val="center"/>
            </w:pPr>
            <w:r>
              <w:t>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509" w:type="pct"/>
            <w:gridSpan w:val="2"/>
            <w:vAlign w:val="center"/>
          </w:tcPr>
          <w:p>
            <w:pPr>
              <w:pStyle w:val="18"/>
              <w:bidi w:val="0"/>
              <w:jc w:val="center"/>
            </w:pPr>
            <w:r>
              <w:t>2025</w:t>
            </w:r>
          </w:p>
        </w:tc>
        <w:tc>
          <w:tcPr>
            <w:tcW w:w="445" w:type="pct"/>
            <w:vAlign w:val="center"/>
          </w:tcPr>
          <w:p>
            <w:pPr>
              <w:pStyle w:val="18"/>
              <w:bidi w:val="0"/>
              <w:jc w:val="center"/>
            </w:pPr>
            <w:r>
              <w:t>114</w:t>
            </w:r>
          </w:p>
        </w:tc>
        <w:tc>
          <w:tcPr>
            <w:tcW w:w="468" w:type="pct"/>
            <w:gridSpan w:val="3"/>
            <w:vAlign w:val="center"/>
          </w:tcPr>
          <w:p>
            <w:pPr>
              <w:pStyle w:val="18"/>
              <w:bidi w:val="0"/>
              <w:jc w:val="center"/>
            </w:pPr>
            <w:r>
              <w:t>30</w:t>
            </w:r>
          </w:p>
        </w:tc>
        <w:tc>
          <w:tcPr>
            <w:tcW w:w="457" w:type="pct"/>
            <w:gridSpan w:val="2"/>
            <w:vAlign w:val="center"/>
          </w:tcPr>
          <w:p>
            <w:pPr>
              <w:pStyle w:val="18"/>
              <w:bidi w:val="0"/>
              <w:jc w:val="center"/>
            </w:pPr>
            <w:r>
              <w:t>34</w:t>
            </w:r>
          </w:p>
        </w:tc>
        <w:tc>
          <w:tcPr>
            <w:tcW w:w="463" w:type="pct"/>
            <w:gridSpan w:val="2"/>
            <w:vAlign w:val="center"/>
          </w:tcPr>
          <w:p>
            <w:pPr>
              <w:pStyle w:val="18"/>
              <w:bidi w:val="0"/>
              <w:jc w:val="center"/>
            </w:pPr>
            <w:r>
              <w:t>9</w:t>
            </w:r>
          </w:p>
        </w:tc>
        <w:tc>
          <w:tcPr>
            <w:tcW w:w="463" w:type="pct"/>
            <w:gridSpan w:val="2"/>
            <w:vAlign w:val="center"/>
          </w:tcPr>
          <w:p>
            <w:pPr>
              <w:pStyle w:val="18"/>
              <w:bidi w:val="0"/>
              <w:jc w:val="center"/>
            </w:pPr>
            <w:r>
              <w:t>68</w:t>
            </w:r>
          </w:p>
        </w:tc>
        <w:tc>
          <w:tcPr>
            <w:tcW w:w="463" w:type="pct"/>
            <w:gridSpan w:val="2"/>
            <w:vAlign w:val="center"/>
          </w:tcPr>
          <w:p>
            <w:pPr>
              <w:pStyle w:val="18"/>
              <w:bidi w:val="0"/>
              <w:jc w:val="center"/>
            </w:pPr>
            <w:r>
              <w:t>18</w:t>
            </w:r>
          </w:p>
        </w:tc>
        <w:tc>
          <w:tcPr>
            <w:tcW w:w="374" w:type="pct"/>
            <w:gridSpan w:val="2"/>
            <w:vAlign w:val="center"/>
          </w:tcPr>
          <w:p>
            <w:pPr>
              <w:pStyle w:val="18"/>
              <w:bidi w:val="0"/>
              <w:jc w:val="center"/>
            </w:pPr>
            <w:r>
              <w:t>12</w:t>
            </w:r>
          </w:p>
        </w:tc>
        <w:tc>
          <w:tcPr>
            <w:tcW w:w="457" w:type="pct"/>
            <w:gridSpan w:val="2"/>
            <w:vAlign w:val="center"/>
          </w:tcPr>
          <w:p>
            <w:pPr>
              <w:pStyle w:val="18"/>
              <w:bidi w:val="0"/>
              <w:jc w:val="center"/>
            </w:pPr>
            <w:r>
              <w:t>3</w:t>
            </w:r>
          </w:p>
        </w:tc>
        <w:tc>
          <w:tcPr>
            <w:tcW w:w="472" w:type="pct"/>
            <w:gridSpan w:val="2"/>
            <w:vAlign w:val="center"/>
          </w:tcPr>
          <w:p>
            <w:pPr>
              <w:pStyle w:val="18"/>
              <w:bidi w:val="0"/>
              <w:jc w:val="center"/>
            </w:pPr>
            <w:r>
              <w:t>160</w:t>
            </w:r>
          </w:p>
        </w:tc>
        <w:tc>
          <w:tcPr>
            <w:tcW w:w="425" w:type="pct"/>
            <w:gridSpan w:val="2"/>
            <w:vAlign w:val="center"/>
          </w:tcPr>
          <w:p>
            <w:pPr>
              <w:pStyle w:val="18"/>
              <w:bidi w:val="0"/>
              <w:jc w:val="center"/>
            </w:pPr>
            <w:r>
              <w:t>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509" w:type="pct"/>
            <w:gridSpan w:val="2"/>
            <w:vAlign w:val="center"/>
          </w:tcPr>
          <w:p>
            <w:pPr>
              <w:pStyle w:val="18"/>
              <w:bidi w:val="0"/>
              <w:jc w:val="center"/>
            </w:pPr>
            <w:r>
              <w:t>2033</w:t>
            </w:r>
          </w:p>
        </w:tc>
        <w:tc>
          <w:tcPr>
            <w:tcW w:w="445" w:type="pct"/>
            <w:vAlign w:val="center"/>
          </w:tcPr>
          <w:p>
            <w:pPr>
              <w:pStyle w:val="18"/>
              <w:bidi w:val="0"/>
              <w:jc w:val="center"/>
            </w:pPr>
            <w:r>
              <w:t>162</w:t>
            </w:r>
          </w:p>
        </w:tc>
        <w:tc>
          <w:tcPr>
            <w:tcW w:w="468" w:type="pct"/>
            <w:gridSpan w:val="3"/>
            <w:vAlign w:val="center"/>
          </w:tcPr>
          <w:p>
            <w:pPr>
              <w:pStyle w:val="18"/>
              <w:bidi w:val="0"/>
              <w:jc w:val="center"/>
            </w:pPr>
            <w:r>
              <w:t>41</w:t>
            </w:r>
          </w:p>
        </w:tc>
        <w:tc>
          <w:tcPr>
            <w:tcW w:w="457" w:type="pct"/>
            <w:gridSpan w:val="2"/>
            <w:vAlign w:val="center"/>
          </w:tcPr>
          <w:p>
            <w:pPr>
              <w:pStyle w:val="18"/>
              <w:bidi w:val="0"/>
              <w:jc w:val="center"/>
            </w:pPr>
            <w:r>
              <w:t>49</w:t>
            </w:r>
          </w:p>
        </w:tc>
        <w:tc>
          <w:tcPr>
            <w:tcW w:w="463" w:type="pct"/>
            <w:gridSpan w:val="2"/>
            <w:vAlign w:val="center"/>
          </w:tcPr>
          <w:p>
            <w:pPr>
              <w:pStyle w:val="18"/>
              <w:bidi w:val="0"/>
              <w:jc w:val="center"/>
            </w:pPr>
            <w:r>
              <w:t>12</w:t>
            </w:r>
          </w:p>
        </w:tc>
        <w:tc>
          <w:tcPr>
            <w:tcW w:w="463" w:type="pct"/>
            <w:gridSpan w:val="2"/>
            <w:vAlign w:val="center"/>
          </w:tcPr>
          <w:p>
            <w:pPr>
              <w:pStyle w:val="18"/>
              <w:bidi w:val="0"/>
              <w:jc w:val="center"/>
            </w:pPr>
            <w:r>
              <w:t>97</w:t>
            </w:r>
          </w:p>
        </w:tc>
        <w:tc>
          <w:tcPr>
            <w:tcW w:w="463" w:type="pct"/>
            <w:gridSpan w:val="2"/>
            <w:vAlign w:val="center"/>
          </w:tcPr>
          <w:p>
            <w:pPr>
              <w:pStyle w:val="18"/>
              <w:bidi w:val="0"/>
              <w:jc w:val="center"/>
            </w:pPr>
            <w:r>
              <w:t>25</w:t>
            </w:r>
          </w:p>
        </w:tc>
        <w:tc>
          <w:tcPr>
            <w:tcW w:w="374" w:type="pct"/>
            <w:gridSpan w:val="2"/>
            <w:vAlign w:val="center"/>
          </w:tcPr>
          <w:p>
            <w:pPr>
              <w:pStyle w:val="18"/>
              <w:bidi w:val="0"/>
              <w:jc w:val="center"/>
            </w:pPr>
            <w:r>
              <w:t>16</w:t>
            </w:r>
          </w:p>
        </w:tc>
        <w:tc>
          <w:tcPr>
            <w:tcW w:w="457" w:type="pct"/>
            <w:gridSpan w:val="2"/>
            <w:vAlign w:val="center"/>
          </w:tcPr>
          <w:p>
            <w:pPr>
              <w:pStyle w:val="18"/>
              <w:bidi w:val="0"/>
              <w:jc w:val="center"/>
            </w:pPr>
            <w:r>
              <w:t>4</w:t>
            </w:r>
          </w:p>
        </w:tc>
        <w:tc>
          <w:tcPr>
            <w:tcW w:w="472" w:type="pct"/>
            <w:gridSpan w:val="2"/>
            <w:vAlign w:val="center"/>
          </w:tcPr>
          <w:p>
            <w:pPr>
              <w:pStyle w:val="18"/>
              <w:bidi w:val="0"/>
              <w:jc w:val="center"/>
            </w:pPr>
            <w:r>
              <w:t>227</w:t>
            </w:r>
          </w:p>
        </w:tc>
        <w:tc>
          <w:tcPr>
            <w:tcW w:w="425" w:type="pct"/>
            <w:gridSpan w:val="2"/>
            <w:vAlign w:val="center"/>
          </w:tcPr>
          <w:p>
            <w:pPr>
              <w:pStyle w:val="18"/>
              <w:bidi w:val="0"/>
              <w:jc w:val="center"/>
            </w:pPr>
            <w:r>
              <w:t>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5000" w:type="pct"/>
            <w:gridSpan w:val="22"/>
            <w:vAlign w:val="center"/>
          </w:tcPr>
          <w:p>
            <w:pPr>
              <w:pStyle w:val="18"/>
              <w:bidi w:val="0"/>
              <w:jc w:val="center"/>
            </w:pPr>
            <w:r>
              <w:t>淮河路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509" w:type="pct"/>
            <w:gridSpan w:val="2"/>
            <w:vAlign w:val="center"/>
          </w:tcPr>
          <w:p>
            <w:pPr>
              <w:pStyle w:val="18"/>
              <w:bidi w:val="0"/>
              <w:jc w:val="center"/>
            </w:pPr>
            <w:r>
              <w:t>2018</w:t>
            </w:r>
          </w:p>
        </w:tc>
        <w:tc>
          <w:tcPr>
            <w:tcW w:w="445" w:type="pct"/>
            <w:vAlign w:val="center"/>
          </w:tcPr>
          <w:p>
            <w:pPr>
              <w:pStyle w:val="18"/>
              <w:bidi w:val="0"/>
              <w:jc w:val="center"/>
            </w:pPr>
            <w:r>
              <w:t>128</w:t>
            </w:r>
          </w:p>
        </w:tc>
        <w:tc>
          <w:tcPr>
            <w:tcW w:w="468" w:type="pct"/>
            <w:gridSpan w:val="3"/>
            <w:vAlign w:val="center"/>
          </w:tcPr>
          <w:p>
            <w:pPr>
              <w:pStyle w:val="18"/>
              <w:bidi w:val="0"/>
              <w:jc w:val="center"/>
            </w:pPr>
            <w:r>
              <w:t>32</w:t>
            </w:r>
          </w:p>
        </w:tc>
        <w:tc>
          <w:tcPr>
            <w:tcW w:w="457" w:type="pct"/>
            <w:gridSpan w:val="2"/>
            <w:vAlign w:val="center"/>
          </w:tcPr>
          <w:p>
            <w:pPr>
              <w:pStyle w:val="18"/>
              <w:bidi w:val="0"/>
              <w:jc w:val="center"/>
            </w:pPr>
            <w:r>
              <w:t>58</w:t>
            </w:r>
          </w:p>
        </w:tc>
        <w:tc>
          <w:tcPr>
            <w:tcW w:w="463" w:type="pct"/>
            <w:gridSpan w:val="2"/>
            <w:vAlign w:val="center"/>
          </w:tcPr>
          <w:p>
            <w:pPr>
              <w:pStyle w:val="18"/>
              <w:bidi w:val="0"/>
              <w:jc w:val="center"/>
            </w:pPr>
            <w:r>
              <w:t>14</w:t>
            </w:r>
          </w:p>
        </w:tc>
        <w:tc>
          <w:tcPr>
            <w:tcW w:w="463" w:type="pct"/>
            <w:gridSpan w:val="2"/>
            <w:vAlign w:val="center"/>
          </w:tcPr>
          <w:p>
            <w:pPr>
              <w:pStyle w:val="18"/>
              <w:bidi w:val="0"/>
              <w:jc w:val="center"/>
            </w:pPr>
            <w:r>
              <w:t>32</w:t>
            </w:r>
          </w:p>
        </w:tc>
        <w:tc>
          <w:tcPr>
            <w:tcW w:w="463" w:type="pct"/>
            <w:gridSpan w:val="2"/>
            <w:vAlign w:val="center"/>
          </w:tcPr>
          <w:p>
            <w:pPr>
              <w:pStyle w:val="18"/>
              <w:bidi w:val="0"/>
              <w:jc w:val="center"/>
            </w:pPr>
            <w:r>
              <w:t>8</w:t>
            </w:r>
          </w:p>
        </w:tc>
        <w:tc>
          <w:tcPr>
            <w:tcW w:w="374" w:type="pct"/>
            <w:gridSpan w:val="2"/>
            <w:vAlign w:val="center"/>
          </w:tcPr>
          <w:p>
            <w:pPr>
              <w:pStyle w:val="18"/>
              <w:bidi w:val="0"/>
              <w:jc w:val="center"/>
            </w:pPr>
            <w:r>
              <w:t>A</w:t>
            </w:r>
          </w:p>
          <w:p>
            <w:pPr>
              <w:pStyle w:val="18"/>
              <w:bidi w:val="0"/>
              <w:jc w:val="center"/>
            </w:pPr>
            <w:r>
              <w:t>UU</w:t>
            </w:r>
          </w:p>
        </w:tc>
        <w:tc>
          <w:tcPr>
            <w:tcW w:w="457" w:type="pct"/>
            <w:gridSpan w:val="2"/>
            <w:vAlign w:val="center"/>
          </w:tcPr>
          <w:p>
            <w:pPr>
              <w:pStyle w:val="18"/>
              <w:bidi w:val="0"/>
              <w:jc w:val="center"/>
            </w:pPr>
            <w:r>
              <w:t>10</w:t>
            </w:r>
          </w:p>
        </w:tc>
        <w:tc>
          <w:tcPr>
            <w:tcW w:w="472" w:type="pct"/>
            <w:gridSpan w:val="2"/>
            <w:vAlign w:val="center"/>
          </w:tcPr>
          <w:p>
            <w:pPr>
              <w:pStyle w:val="18"/>
              <w:bidi w:val="0"/>
              <w:jc w:val="center"/>
            </w:pPr>
            <w:r>
              <w:t>182</w:t>
            </w:r>
          </w:p>
        </w:tc>
        <w:tc>
          <w:tcPr>
            <w:tcW w:w="425" w:type="pct"/>
            <w:gridSpan w:val="2"/>
            <w:vAlign w:val="center"/>
          </w:tcPr>
          <w:p>
            <w:pPr>
              <w:pStyle w:val="18"/>
              <w:bidi w:val="0"/>
              <w:jc w:val="center"/>
            </w:pPr>
            <w:r>
              <w:t>46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509" w:type="pct"/>
            <w:gridSpan w:val="2"/>
            <w:vAlign w:val="center"/>
          </w:tcPr>
          <w:p>
            <w:pPr>
              <w:pStyle w:val="18"/>
              <w:bidi w:val="0"/>
              <w:jc w:val="center"/>
            </w:pPr>
            <w:r>
              <w:t>2025</w:t>
            </w:r>
          </w:p>
        </w:tc>
        <w:tc>
          <w:tcPr>
            <w:tcW w:w="445" w:type="pct"/>
            <w:vAlign w:val="center"/>
          </w:tcPr>
          <w:p>
            <w:pPr>
              <w:pStyle w:val="18"/>
              <w:bidi w:val="0"/>
              <w:jc w:val="center"/>
            </w:pPr>
            <w:r>
              <w:t>193</w:t>
            </w:r>
          </w:p>
        </w:tc>
        <w:tc>
          <w:tcPr>
            <w:tcW w:w="468" w:type="pct"/>
            <w:gridSpan w:val="3"/>
            <w:vAlign w:val="center"/>
          </w:tcPr>
          <w:p>
            <w:pPr>
              <w:pStyle w:val="18"/>
              <w:bidi w:val="0"/>
              <w:jc w:val="center"/>
            </w:pPr>
            <w:r>
              <w:t>51</w:t>
            </w:r>
          </w:p>
        </w:tc>
        <w:tc>
          <w:tcPr>
            <w:tcW w:w="457" w:type="pct"/>
            <w:gridSpan w:val="2"/>
            <w:vAlign w:val="center"/>
          </w:tcPr>
          <w:p>
            <w:pPr>
              <w:pStyle w:val="18"/>
              <w:bidi w:val="0"/>
              <w:jc w:val="center"/>
            </w:pPr>
            <w:r>
              <w:t>87</w:t>
            </w:r>
          </w:p>
        </w:tc>
        <w:tc>
          <w:tcPr>
            <w:tcW w:w="463" w:type="pct"/>
            <w:gridSpan w:val="2"/>
            <w:vAlign w:val="center"/>
          </w:tcPr>
          <w:p>
            <w:pPr>
              <w:pStyle w:val="18"/>
              <w:bidi w:val="0"/>
              <w:jc w:val="center"/>
            </w:pPr>
            <w:r>
              <w:t>23</w:t>
            </w:r>
          </w:p>
        </w:tc>
        <w:tc>
          <w:tcPr>
            <w:tcW w:w="463" w:type="pct"/>
            <w:gridSpan w:val="2"/>
            <w:vAlign w:val="center"/>
          </w:tcPr>
          <w:p>
            <w:pPr>
              <w:pStyle w:val="18"/>
              <w:bidi w:val="0"/>
              <w:jc w:val="center"/>
            </w:pPr>
            <w:r>
              <w:t>48</w:t>
            </w:r>
          </w:p>
        </w:tc>
        <w:tc>
          <w:tcPr>
            <w:tcW w:w="463" w:type="pct"/>
            <w:gridSpan w:val="2"/>
            <w:vAlign w:val="center"/>
          </w:tcPr>
          <w:p>
            <w:pPr>
              <w:pStyle w:val="18"/>
              <w:bidi w:val="0"/>
              <w:jc w:val="center"/>
            </w:pPr>
            <w:r>
              <w:t>13</w:t>
            </w:r>
          </w:p>
        </w:tc>
        <w:tc>
          <w:tcPr>
            <w:tcW w:w="374" w:type="pct"/>
            <w:gridSpan w:val="2"/>
            <w:vAlign w:val="center"/>
          </w:tcPr>
          <w:p>
            <w:pPr>
              <w:pStyle w:val="18"/>
              <w:bidi w:val="0"/>
              <w:jc w:val="center"/>
            </w:pPr>
            <w:r>
              <w:t>U</w:t>
            </w:r>
          </w:p>
        </w:tc>
        <w:tc>
          <w:tcPr>
            <w:tcW w:w="457" w:type="pct"/>
            <w:gridSpan w:val="2"/>
            <w:vAlign w:val="center"/>
          </w:tcPr>
          <w:p>
            <w:pPr>
              <w:pStyle w:val="18"/>
              <w:bidi w:val="0"/>
              <w:jc w:val="center"/>
            </w:pPr>
            <w:r>
              <w:t>15</w:t>
            </w:r>
          </w:p>
        </w:tc>
        <w:tc>
          <w:tcPr>
            <w:tcW w:w="472" w:type="pct"/>
            <w:gridSpan w:val="2"/>
            <w:vAlign w:val="center"/>
          </w:tcPr>
          <w:p>
            <w:pPr>
              <w:pStyle w:val="18"/>
              <w:bidi w:val="0"/>
              <w:jc w:val="center"/>
            </w:pPr>
            <w:r>
              <w:t>275</w:t>
            </w:r>
          </w:p>
        </w:tc>
        <w:tc>
          <w:tcPr>
            <w:tcW w:w="425" w:type="pct"/>
            <w:gridSpan w:val="2"/>
            <w:vAlign w:val="center"/>
          </w:tcPr>
          <w:p>
            <w:pPr>
              <w:pStyle w:val="18"/>
              <w:bidi w:val="0"/>
              <w:jc w:val="center"/>
            </w:pPr>
            <w:r>
              <w:t>73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509" w:type="pct"/>
            <w:gridSpan w:val="2"/>
            <w:vAlign w:val="center"/>
          </w:tcPr>
          <w:p>
            <w:pPr>
              <w:pStyle w:val="18"/>
              <w:bidi w:val="0"/>
              <w:jc w:val="center"/>
            </w:pPr>
            <w:r>
              <w:t>2033</w:t>
            </w:r>
          </w:p>
        </w:tc>
        <w:tc>
          <w:tcPr>
            <w:tcW w:w="445" w:type="pct"/>
            <w:vAlign w:val="center"/>
          </w:tcPr>
          <w:p>
            <w:pPr>
              <w:pStyle w:val="18"/>
              <w:bidi w:val="0"/>
              <w:jc w:val="center"/>
            </w:pPr>
            <w:r>
              <w:t>284</w:t>
            </w:r>
          </w:p>
        </w:tc>
        <w:tc>
          <w:tcPr>
            <w:tcW w:w="468" w:type="pct"/>
            <w:gridSpan w:val="3"/>
            <w:vAlign w:val="center"/>
          </w:tcPr>
          <w:p>
            <w:pPr>
              <w:pStyle w:val="18"/>
              <w:bidi w:val="0"/>
              <w:jc w:val="center"/>
            </w:pPr>
            <w:r>
              <w:t>71</w:t>
            </w:r>
          </w:p>
        </w:tc>
        <w:tc>
          <w:tcPr>
            <w:tcW w:w="457" w:type="pct"/>
            <w:gridSpan w:val="2"/>
            <w:vAlign w:val="center"/>
          </w:tcPr>
          <w:p>
            <w:pPr>
              <w:pStyle w:val="18"/>
              <w:bidi w:val="0"/>
              <w:jc w:val="center"/>
            </w:pPr>
            <w:r>
              <w:t>128</w:t>
            </w:r>
          </w:p>
        </w:tc>
        <w:tc>
          <w:tcPr>
            <w:tcW w:w="463" w:type="pct"/>
            <w:gridSpan w:val="2"/>
            <w:vAlign w:val="center"/>
          </w:tcPr>
          <w:p>
            <w:pPr>
              <w:pStyle w:val="18"/>
              <w:bidi w:val="0"/>
              <w:jc w:val="center"/>
            </w:pPr>
            <w:r>
              <w:t>32</w:t>
            </w:r>
          </w:p>
        </w:tc>
        <w:tc>
          <w:tcPr>
            <w:tcW w:w="463" w:type="pct"/>
            <w:gridSpan w:val="2"/>
            <w:vAlign w:val="center"/>
          </w:tcPr>
          <w:p>
            <w:pPr>
              <w:pStyle w:val="18"/>
              <w:bidi w:val="0"/>
              <w:jc w:val="center"/>
            </w:pPr>
            <w:r>
              <w:t>71</w:t>
            </w:r>
          </w:p>
        </w:tc>
        <w:tc>
          <w:tcPr>
            <w:tcW w:w="463" w:type="pct"/>
            <w:gridSpan w:val="2"/>
            <w:vAlign w:val="center"/>
          </w:tcPr>
          <w:p>
            <w:pPr>
              <w:pStyle w:val="18"/>
              <w:bidi w:val="0"/>
              <w:jc w:val="center"/>
            </w:pPr>
            <w:r>
              <w:t>18</w:t>
            </w:r>
          </w:p>
        </w:tc>
        <w:tc>
          <w:tcPr>
            <w:tcW w:w="374" w:type="pct"/>
            <w:gridSpan w:val="2"/>
            <w:vAlign w:val="center"/>
          </w:tcPr>
          <w:p>
            <w:pPr>
              <w:pStyle w:val="18"/>
              <w:bidi w:val="0"/>
              <w:jc w:val="center"/>
            </w:pPr>
            <w:r>
              <w:t>85</w:t>
            </w:r>
          </w:p>
        </w:tc>
        <w:tc>
          <w:tcPr>
            <w:tcW w:w="457" w:type="pct"/>
            <w:gridSpan w:val="2"/>
            <w:vAlign w:val="center"/>
          </w:tcPr>
          <w:p>
            <w:pPr>
              <w:pStyle w:val="18"/>
              <w:bidi w:val="0"/>
              <w:jc w:val="center"/>
            </w:pPr>
            <w:r>
              <w:t>21</w:t>
            </w:r>
          </w:p>
        </w:tc>
        <w:tc>
          <w:tcPr>
            <w:tcW w:w="472" w:type="pct"/>
            <w:gridSpan w:val="2"/>
            <w:vAlign w:val="center"/>
          </w:tcPr>
          <w:p>
            <w:pPr>
              <w:pStyle w:val="18"/>
              <w:bidi w:val="0"/>
              <w:jc w:val="center"/>
            </w:pPr>
            <w:r>
              <w:t>405</w:t>
            </w:r>
          </w:p>
        </w:tc>
        <w:tc>
          <w:tcPr>
            <w:tcW w:w="425" w:type="pct"/>
            <w:gridSpan w:val="2"/>
            <w:vAlign w:val="center"/>
          </w:tcPr>
          <w:p>
            <w:pPr>
              <w:pStyle w:val="18"/>
              <w:bidi w:val="0"/>
              <w:jc w:val="center"/>
            </w:pPr>
            <w:r>
              <w:t>101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5000" w:type="pct"/>
            <w:gridSpan w:val="22"/>
            <w:vAlign w:val="center"/>
          </w:tcPr>
          <w:p>
            <w:pPr>
              <w:pStyle w:val="18"/>
              <w:bidi w:val="0"/>
              <w:jc w:val="center"/>
            </w:pPr>
            <w:r>
              <w:t>东外环路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509" w:type="pct"/>
            <w:gridSpan w:val="2"/>
            <w:vAlign w:val="center"/>
          </w:tcPr>
          <w:p>
            <w:pPr>
              <w:pStyle w:val="18"/>
              <w:bidi w:val="0"/>
              <w:jc w:val="center"/>
            </w:pPr>
            <w:r>
              <w:t>2018</w:t>
            </w:r>
          </w:p>
        </w:tc>
        <w:tc>
          <w:tcPr>
            <w:tcW w:w="445" w:type="pct"/>
            <w:vAlign w:val="center"/>
          </w:tcPr>
          <w:p>
            <w:pPr>
              <w:pStyle w:val="18"/>
              <w:bidi w:val="0"/>
              <w:jc w:val="center"/>
            </w:pPr>
            <w:r>
              <w:t>139</w:t>
            </w:r>
          </w:p>
        </w:tc>
        <w:tc>
          <w:tcPr>
            <w:tcW w:w="468" w:type="pct"/>
            <w:gridSpan w:val="3"/>
            <w:vAlign w:val="center"/>
          </w:tcPr>
          <w:p>
            <w:pPr>
              <w:pStyle w:val="18"/>
              <w:bidi w:val="0"/>
              <w:jc w:val="center"/>
            </w:pPr>
            <w:r>
              <w:t>35</w:t>
            </w:r>
          </w:p>
        </w:tc>
        <w:tc>
          <w:tcPr>
            <w:tcW w:w="457" w:type="pct"/>
            <w:gridSpan w:val="2"/>
            <w:vAlign w:val="center"/>
          </w:tcPr>
          <w:p>
            <w:pPr>
              <w:pStyle w:val="18"/>
              <w:bidi w:val="0"/>
              <w:jc w:val="center"/>
            </w:pPr>
            <w:r>
              <w:t>63</w:t>
            </w:r>
          </w:p>
        </w:tc>
        <w:tc>
          <w:tcPr>
            <w:tcW w:w="463" w:type="pct"/>
            <w:gridSpan w:val="2"/>
            <w:vAlign w:val="center"/>
          </w:tcPr>
          <w:p>
            <w:pPr>
              <w:pStyle w:val="18"/>
              <w:bidi w:val="0"/>
              <w:jc w:val="center"/>
            </w:pPr>
            <w:r>
              <w:t>16</w:t>
            </w:r>
          </w:p>
        </w:tc>
        <w:tc>
          <w:tcPr>
            <w:tcW w:w="463" w:type="pct"/>
            <w:gridSpan w:val="2"/>
            <w:vAlign w:val="center"/>
          </w:tcPr>
          <w:p>
            <w:pPr>
              <w:pStyle w:val="18"/>
              <w:bidi w:val="0"/>
              <w:jc w:val="center"/>
            </w:pPr>
            <w:r>
              <w:t>35</w:t>
            </w:r>
          </w:p>
        </w:tc>
        <w:tc>
          <w:tcPr>
            <w:tcW w:w="463" w:type="pct"/>
            <w:gridSpan w:val="2"/>
            <w:vAlign w:val="center"/>
          </w:tcPr>
          <w:p>
            <w:pPr>
              <w:pStyle w:val="18"/>
              <w:bidi w:val="0"/>
              <w:jc w:val="center"/>
            </w:pPr>
            <w:r>
              <w:t>9</w:t>
            </w:r>
          </w:p>
        </w:tc>
        <w:tc>
          <w:tcPr>
            <w:tcW w:w="374" w:type="pct"/>
            <w:gridSpan w:val="2"/>
            <w:vAlign w:val="center"/>
          </w:tcPr>
          <w:p>
            <w:pPr>
              <w:pStyle w:val="18"/>
              <w:bidi w:val="0"/>
              <w:jc w:val="center"/>
            </w:pPr>
            <w:r>
              <w:t>41</w:t>
            </w:r>
          </w:p>
        </w:tc>
        <w:tc>
          <w:tcPr>
            <w:tcW w:w="457" w:type="pct"/>
            <w:gridSpan w:val="2"/>
            <w:vAlign w:val="center"/>
          </w:tcPr>
          <w:p>
            <w:pPr>
              <w:pStyle w:val="18"/>
              <w:bidi w:val="0"/>
              <w:jc w:val="center"/>
            </w:pPr>
            <w:r>
              <w:t>10</w:t>
            </w:r>
          </w:p>
        </w:tc>
        <w:tc>
          <w:tcPr>
            <w:tcW w:w="472" w:type="pct"/>
            <w:gridSpan w:val="2"/>
            <w:vAlign w:val="center"/>
          </w:tcPr>
          <w:p>
            <w:pPr>
              <w:pStyle w:val="18"/>
              <w:bidi w:val="0"/>
              <w:jc w:val="center"/>
            </w:pPr>
            <w:r>
              <w:t>198</w:t>
            </w:r>
          </w:p>
        </w:tc>
        <w:tc>
          <w:tcPr>
            <w:tcW w:w="425" w:type="pct"/>
            <w:gridSpan w:val="2"/>
            <w:vAlign w:val="center"/>
          </w:tcPr>
          <w:p>
            <w:pPr>
              <w:pStyle w:val="18"/>
              <w:bidi w:val="0"/>
              <w:jc w:val="center"/>
            </w:pPr>
            <w:r>
              <w:t>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509" w:type="pct"/>
            <w:gridSpan w:val="2"/>
            <w:vAlign w:val="center"/>
          </w:tcPr>
          <w:p>
            <w:pPr>
              <w:pStyle w:val="18"/>
              <w:bidi w:val="0"/>
              <w:jc w:val="center"/>
            </w:pPr>
            <w:r>
              <w:t>2025</w:t>
            </w:r>
          </w:p>
        </w:tc>
        <w:tc>
          <w:tcPr>
            <w:tcW w:w="445" w:type="pct"/>
            <w:vAlign w:val="center"/>
          </w:tcPr>
          <w:p>
            <w:pPr>
              <w:pStyle w:val="18"/>
              <w:bidi w:val="0"/>
              <w:jc w:val="center"/>
            </w:pPr>
            <w:r>
              <w:t>202</w:t>
            </w:r>
          </w:p>
        </w:tc>
        <w:tc>
          <w:tcPr>
            <w:tcW w:w="468" w:type="pct"/>
            <w:gridSpan w:val="3"/>
            <w:vAlign w:val="center"/>
          </w:tcPr>
          <w:p>
            <w:pPr>
              <w:pStyle w:val="18"/>
              <w:bidi w:val="0"/>
              <w:jc w:val="center"/>
            </w:pPr>
            <w:r>
              <w:t>54</w:t>
            </w:r>
          </w:p>
        </w:tc>
        <w:tc>
          <w:tcPr>
            <w:tcW w:w="457" w:type="pct"/>
            <w:gridSpan w:val="2"/>
            <w:vAlign w:val="center"/>
          </w:tcPr>
          <w:p>
            <w:pPr>
              <w:pStyle w:val="18"/>
              <w:bidi w:val="0"/>
              <w:jc w:val="center"/>
            </w:pPr>
            <w:r>
              <w:t>91</w:t>
            </w:r>
          </w:p>
        </w:tc>
        <w:tc>
          <w:tcPr>
            <w:tcW w:w="463" w:type="pct"/>
            <w:gridSpan w:val="2"/>
            <w:vAlign w:val="center"/>
          </w:tcPr>
          <w:p>
            <w:pPr>
              <w:pStyle w:val="18"/>
              <w:bidi w:val="0"/>
              <w:jc w:val="center"/>
            </w:pPr>
            <w:r>
              <w:t>24</w:t>
            </w:r>
          </w:p>
        </w:tc>
        <w:tc>
          <w:tcPr>
            <w:tcW w:w="463" w:type="pct"/>
            <w:gridSpan w:val="2"/>
            <w:vAlign w:val="center"/>
          </w:tcPr>
          <w:p>
            <w:pPr>
              <w:pStyle w:val="18"/>
              <w:bidi w:val="0"/>
              <w:jc w:val="center"/>
            </w:pPr>
            <w:r>
              <w:t>51</w:t>
            </w:r>
          </w:p>
        </w:tc>
        <w:tc>
          <w:tcPr>
            <w:tcW w:w="463" w:type="pct"/>
            <w:gridSpan w:val="2"/>
            <w:vAlign w:val="center"/>
          </w:tcPr>
          <w:p>
            <w:pPr>
              <w:pStyle w:val="18"/>
              <w:bidi w:val="0"/>
              <w:jc w:val="center"/>
            </w:pPr>
            <w:r>
              <w:t>14</w:t>
            </w:r>
          </w:p>
        </w:tc>
        <w:tc>
          <w:tcPr>
            <w:tcW w:w="374" w:type="pct"/>
            <w:gridSpan w:val="2"/>
            <w:vAlign w:val="center"/>
          </w:tcPr>
          <w:p>
            <w:pPr>
              <w:pStyle w:val="18"/>
              <w:bidi w:val="0"/>
              <w:jc w:val="center"/>
            </w:pPr>
            <w:r>
              <w:t>60</w:t>
            </w:r>
          </w:p>
        </w:tc>
        <w:tc>
          <w:tcPr>
            <w:tcW w:w="457" w:type="pct"/>
            <w:gridSpan w:val="2"/>
            <w:vAlign w:val="center"/>
          </w:tcPr>
          <w:p>
            <w:pPr>
              <w:pStyle w:val="18"/>
              <w:bidi w:val="0"/>
              <w:jc w:val="center"/>
            </w:pPr>
            <w:r>
              <w:t>16</w:t>
            </w:r>
          </w:p>
        </w:tc>
        <w:tc>
          <w:tcPr>
            <w:tcW w:w="472" w:type="pct"/>
            <w:gridSpan w:val="2"/>
            <w:vAlign w:val="center"/>
          </w:tcPr>
          <w:p>
            <w:pPr>
              <w:pStyle w:val="18"/>
              <w:bidi w:val="0"/>
              <w:jc w:val="center"/>
            </w:pPr>
            <w:r>
              <w:t>288</w:t>
            </w:r>
          </w:p>
        </w:tc>
        <w:tc>
          <w:tcPr>
            <w:tcW w:w="425" w:type="pct"/>
            <w:gridSpan w:val="2"/>
            <w:vAlign w:val="center"/>
          </w:tcPr>
          <w:p>
            <w:pPr>
              <w:pStyle w:val="18"/>
              <w:bidi w:val="0"/>
              <w:jc w:val="center"/>
            </w:pPr>
            <w:r>
              <w:t>77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pct"/>
          <w:trHeight w:val="364" w:hRule="atLeast"/>
        </w:trPr>
        <w:tc>
          <w:tcPr>
            <w:tcW w:w="501" w:type="pct"/>
            <w:vAlign w:val="center"/>
          </w:tcPr>
          <w:p>
            <w:pPr>
              <w:pStyle w:val="18"/>
              <w:bidi w:val="0"/>
              <w:jc w:val="center"/>
            </w:pPr>
            <w:r>
              <w:t>2033</w:t>
            </w:r>
          </w:p>
        </w:tc>
        <w:tc>
          <w:tcPr>
            <w:tcW w:w="454" w:type="pct"/>
            <w:gridSpan w:val="3"/>
            <w:vAlign w:val="center"/>
          </w:tcPr>
          <w:p>
            <w:pPr>
              <w:pStyle w:val="18"/>
              <w:bidi w:val="0"/>
              <w:jc w:val="center"/>
            </w:pPr>
            <w:r>
              <w:t>294</w:t>
            </w:r>
          </w:p>
        </w:tc>
        <w:tc>
          <w:tcPr>
            <w:tcW w:w="454" w:type="pct"/>
            <w:vAlign w:val="center"/>
          </w:tcPr>
          <w:p>
            <w:pPr>
              <w:pStyle w:val="18"/>
              <w:bidi w:val="0"/>
              <w:jc w:val="center"/>
            </w:pPr>
            <w:r>
              <w:t>74</w:t>
            </w:r>
          </w:p>
        </w:tc>
        <w:tc>
          <w:tcPr>
            <w:tcW w:w="462" w:type="pct"/>
            <w:gridSpan w:val="2"/>
            <w:vAlign w:val="center"/>
          </w:tcPr>
          <w:p>
            <w:pPr>
              <w:pStyle w:val="18"/>
              <w:bidi w:val="0"/>
              <w:jc w:val="center"/>
            </w:pPr>
            <w:r>
              <w:t>132</w:t>
            </w:r>
          </w:p>
        </w:tc>
        <w:tc>
          <w:tcPr>
            <w:tcW w:w="454" w:type="pct"/>
            <w:gridSpan w:val="2"/>
            <w:vAlign w:val="center"/>
          </w:tcPr>
          <w:p>
            <w:pPr>
              <w:pStyle w:val="18"/>
              <w:bidi w:val="0"/>
              <w:jc w:val="center"/>
            </w:pPr>
            <w:r>
              <w:t>33</w:t>
            </w:r>
          </w:p>
        </w:tc>
        <w:tc>
          <w:tcPr>
            <w:tcW w:w="435" w:type="pct"/>
            <w:gridSpan w:val="2"/>
            <w:vAlign w:val="center"/>
          </w:tcPr>
          <w:p>
            <w:pPr>
              <w:pStyle w:val="18"/>
              <w:bidi w:val="0"/>
              <w:jc w:val="center"/>
            </w:pPr>
            <w:r>
              <w:t>74</w:t>
            </w:r>
          </w:p>
        </w:tc>
        <w:tc>
          <w:tcPr>
            <w:tcW w:w="442" w:type="pct"/>
            <w:gridSpan w:val="2"/>
            <w:vAlign w:val="center"/>
          </w:tcPr>
          <w:p>
            <w:pPr>
              <w:pStyle w:val="18"/>
              <w:bidi w:val="0"/>
              <w:jc w:val="center"/>
            </w:pPr>
            <w:r>
              <w:t>19</w:t>
            </w:r>
          </w:p>
        </w:tc>
        <w:tc>
          <w:tcPr>
            <w:tcW w:w="367" w:type="pct"/>
            <w:gridSpan w:val="2"/>
            <w:vAlign w:val="center"/>
          </w:tcPr>
          <w:p>
            <w:pPr>
              <w:pStyle w:val="18"/>
              <w:bidi w:val="0"/>
              <w:jc w:val="center"/>
            </w:pPr>
            <w:r>
              <w:t>88</w:t>
            </w:r>
          </w:p>
        </w:tc>
        <w:tc>
          <w:tcPr>
            <w:tcW w:w="454" w:type="pct"/>
            <w:gridSpan w:val="2"/>
            <w:vAlign w:val="center"/>
          </w:tcPr>
          <w:p>
            <w:pPr>
              <w:pStyle w:val="18"/>
              <w:bidi w:val="0"/>
              <w:jc w:val="center"/>
            </w:pPr>
            <w:r>
              <w:t>22</w:t>
            </w:r>
          </w:p>
        </w:tc>
        <w:tc>
          <w:tcPr>
            <w:tcW w:w="454" w:type="pct"/>
            <w:gridSpan w:val="2"/>
            <w:vAlign w:val="center"/>
          </w:tcPr>
          <w:p>
            <w:pPr>
              <w:pStyle w:val="18"/>
              <w:bidi w:val="0"/>
              <w:jc w:val="center"/>
            </w:pPr>
            <w:r>
              <w:t>419</w:t>
            </w:r>
          </w:p>
        </w:tc>
        <w:tc>
          <w:tcPr>
            <w:tcW w:w="514" w:type="pct"/>
            <w:gridSpan w:val="2"/>
            <w:vAlign w:val="center"/>
          </w:tcPr>
          <w:p>
            <w:pPr>
              <w:pStyle w:val="18"/>
              <w:bidi w:val="0"/>
              <w:jc w:val="center"/>
            </w:pPr>
            <w:r>
              <w:t>106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pct"/>
          <w:trHeight w:val="359" w:hRule="atLeast"/>
        </w:trPr>
        <w:tc>
          <w:tcPr>
            <w:tcW w:w="4998" w:type="pct"/>
            <w:gridSpan w:val="21"/>
            <w:vAlign w:val="center"/>
          </w:tcPr>
          <w:p>
            <w:pPr>
              <w:pStyle w:val="18"/>
              <w:bidi w:val="0"/>
              <w:jc w:val="center"/>
            </w:pPr>
            <w:r>
              <w:t>米泉街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pct"/>
          <w:trHeight w:val="349" w:hRule="atLeast"/>
        </w:trPr>
        <w:tc>
          <w:tcPr>
            <w:tcW w:w="501" w:type="pct"/>
            <w:vAlign w:val="center"/>
          </w:tcPr>
          <w:p>
            <w:pPr>
              <w:pStyle w:val="18"/>
              <w:bidi w:val="0"/>
              <w:jc w:val="center"/>
            </w:pPr>
            <w:r>
              <w:t>2018</w:t>
            </w:r>
          </w:p>
        </w:tc>
        <w:tc>
          <w:tcPr>
            <w:tcW w:w="454" w:type="pct"/>
            <w:gridSpan w:val="3"/>
            <w:vAlign w:val="center"/>
          </w:tcPr>
          <w:p>
            <w:pPr>
              <w:pStyle w:val="18"/>
              <w:bidi w:val="0"/>
              <w:jc w:val="center"/>
            </w:pPr>
            <w:r>
              <w:t>118</w:t>
            </w:r>
          </w:p>
        </w:tc>
        <w:tc>
          <w:tcPr>
            <w:tcW w:w="454" w:type="pct"/>
            <w:vAlign w:val="center"/>
          </w:tcPr>
          <w:p>
            <w:pPr>
              <w:pStyle w:val="18"/>
              <w:bidi w:val="0"/>
              <w:jc w:val="center"/>
            </w:pPr>
            <w:r>
              <w:t>30</w:t>
            </w:r>
          </w:p>
        </w:tc>
        <w:tc>
          <w:tcPr>
            <w:tcW w:w="462" w:type="pct"/>
            <w:gridSpan w:val="2"/>
            <w:vAlign w:val="center"/>
          </w:tcPr>
          <w:p>
            <w:pPr>
              <w:pStyle w:val="18"/>
              <w:bidi w:val="0"/>
              <w:jc w:val="center"/>
            </w:pPr>
            <w:r>
              <w:t>53</w:t>
            </w:r>
          </w:p>
        </w:tc>
        <w:tc>
          <w:tcPr>
            <w:tcW w:w="454" w:type="pct"/>
            <w:gridSpan w:val="2"/>
            <w:vAlign w:val="center"/>
          </w:tcPr>
          <w:p>
            <w:pPr>
              <w:pStyle w:val="18"/>
              <w:bidi w:val="0"/>
              <w:jc w:val="center"/>
            </w:pPr>
            <w:r>
              <w:t>14</w:t>
            </w:r>
          </w:p>
        </w:tc>
        <w:tc>
          <w:tcPr>
            <w:tcW w:w="435" w:type="pct"/>
            <w:gridSpan w:val="2"/>
            <w:vAlign w:val="center"/>
          </w:tcPr>
          <w:p>
            <w:pPr>
              <w:pStyle w:val="18"/>
              <w:bidi w:val="0"/>
              <w:jc w:val="center"/>
            </w:pPr>
            <w:r>
              <w:t>30</w:t>
            </w:r>
          </w:p>
        </w:tc>
        <w:tc>
          <w:tcPr>
            <w:tcW w:w="442" w:type="pct"/>
            <w:gridSpan w:val="2"/>
            <w:vAlign w:val="center"/>
          </w:tcPr>
          <w:p>
            <w:pPr>
              <w:pStyle w:val="18"/>
              <w:bidi w:val="0"/>
              <w:jc w:val="center"/>
            </w:pPr>
            <w:r>
              <w:t>8</w:t>
            </w:r>
          </w:p>
        </w:tc>
        <w:tc>
          <w:tcPr>
            <w:tcW w:w="367" w:type="pct"/>
            <w:gridSpan w:val="2"/>
            <w:vAlign w:val="center"/>
          </w:tcPr>
          <w:p>
            <w:pPr>
              <w:pStyle w:val="18"/>
              <w:bidi w:val="0"/>
              <w:jc w:val="center"/>
            </w:pPr>
            <w:r>
              <w:t>35</w:t>
            </w:r>
          </w:p>
        </w:tc>
        <w:tc>
          <w:tcPr>
            <w:tcW w:w="454" w:type="pct"/>
            <w:gridSpan w:val="2"/>
            <w:vAlign w:val="center"/>
          </w:tcPr>
          <w:p>
            <w:pPr>
              <w:pStyle w:val="18"/>
              <w:bidi w:val="0"/>
              <w:jc w:val="center"/>
            </w:pPr>
            <w:r>
              <w:t>8</w:t>
            </w:r>
          </w:p>
        </w:tc>
        <w:tc>
          <w:tcPr>
            <w:tcW w:w="454" w:type="pct"/>
            <w:gridSpan w:val="2"/>
            <w:vAlign w:val="center"/>
          </w:tcPr>
          <w:p>
            <w:pPr>
              <w:pStyle w:val="18"/>
              <w:bidi w:val="0"/>
              <w:jc w:val="center"/>
            </w:pPr>
            <w:r>
              <w:t>168</w:t>
            </w:r>
          </w:p>
        </w:tc>
        <w:tc>
          <w:tcPr>
            <w:tcW w:w="514" w:type="pct"/>
            <w:gridSpan w:val="2"/>
            <w:vAlign w:val="center"/>
          </w:tcPr>
          <w:p>
            <w:pPr>
              <w:pStyle w:val="18"/>
              <w:bidi w:val="0"/>
              <w:jc w:val="center"/>
            </w:pPr>
            <w:r>
              <w:t>42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pct"/>
          <w:trHeight w:val="368" w:hRule="atLeast"/>
        </w:trPr>
        <w:tc>
          <w:tcPr>
            <w:tcW w:w="501" w:type="pct"/>
            <w:vAlign w:val="center"/>
          </w:tcPr>
          <w:p>
            <w:pPr>
              <w:pStyle w:val="18"/>
              <w:bidi w:val="0"/>
              <w:jc w:val="center"/>
            </w:pPr>
            <w:r>
              <w:t>2025</w:t>
            </w:r>
          </w:p>
        </w:tc>
        <w:tc>
          <w:tcPr>
            <w:tcW w:w="454" w:type="pct"/>
            <w:gridSpan w:val="3"/>
            <w:vAlign w:val="center"/>
          </w:tcPr>
          <w:p>
            <w:pPr>
              <w:pStyle w:val="18"/>
              <w:bidi w:val="0"/>
              <w:jc w:val="center"/>
            </w:pPr>
            <w:r>
              <w:t>164</w:t>
            </w:r>
          </w:p>
        </w:tc>
        <w:tc>
          <w:tcPr>
            <w:tcW w:w="454" w:type="pct"/>
            <w:vAlign w:val="center"/>
          </w:tcPr>
          <w:p>
            <w:pPr>
              <w:pStyle w:val="18"/>
              <w:bidi w:val="0"/>
              <w:jc w:val="center"/>
            </w:pPr>
            <w:r>
              <w:t>44</w:t>
            </w:r>
          </w:p>
        </w:tc>
        <w:tc>
          <w:tcPr>
            <w:tcW w:w="462" w:type="pct"/>
            <w:gridSpan w:val="2"/>
            <w:vAlign w:val="center"/>
          </w:tcPr>
          <w:p>
            <w:pPr>
              <w:pStyle w:val="18"/>
              <w:bidi w:val="0"/>
              <w:jc w:val="center"/>
            </w:pPr>
            <w:r>
              <w:t>74</w:t>
            </w:r>
          </w:p>
        </w:tc>
        <w:tc>
          <w:tcPr>
            <w:tcW w:w="454" w:type="pct"/>
            <w:gridSpan w:val="2"/>
            <w:vAlign w:val="center"/>
          </w:tcPr>
          <w:p>
            <w:pPr>
              <w:pStyle w:val="18"/>
              <w:bidi w:val="0"/>
              <w:jc w:val="center"/>
            </w:pPr>
            <w:r>
              <w:t>20</w:t>
            </w:r>
          </w:p>
        </w:tc>
        <w:tc>
          <w:tcPr>
            <w:tcW w:w="435" w:type="pct"/>
            <w:gridSpan w:val="2"/>
            <w:vAlign w:val="center"/>
          </w:tcPr>
          <w:p>
            <w:pPr>
              <w:pStyle w:val="18"/>
              <w:bidi w:val="0"/>
              <w:jc w:val="center"/>
            </w:pPr>
            <w:r>
              <w:t>41</w:t>
            </w:r>
          </w:p>
        </w:tc>
        <w:tc>
          <w:tcPr>
            <w:tcW w:w="442" w:type="pct"/>
            <w:gridSpan w:val="2"/>
            <w:vAlign w:val="center"/>
          </w:tcPr>
          <w:p>
            <w:pPr>
              <w:pStyle w:val="18"/>
              <w:bidi w:val="0"/>
              <w:jc w:val="center"/>
            </w:pPr>
            <w:r>
              <w:t>11</w:t>
            </w:r>
          </w:p>
        </w:tc>
        <w:tc>
          <w:tcPr>
            <w:tcW w:w="367" w:type="pct"/>
            <w:gridSpan w:val="2"/>
            <w:vAlign w:val="center"/>
          </w:tcPr>
          <w:p>
            <w:pPr>
              <w:pStyle w:val="18"/>
              <w:bidi w:val="0"/>
              <w:jc w:val="center"/>
            </w:pPr>
            <w:r>
              <w:t>49</w:t>
            </w:r>
          </w:p>
        </w:tc>
        <w:tc>
          <w:tcPr>
            <w:tcW w:w="454" w:type="pct"/>
            <w:gridSpan w:val="2"/>
            <w:vAlign w:val="center"/>
          </w:tcPr>
          <w:p>
            <w:pPr>
              <w:pStyle w:val="18"/>
              <w:bidi w:val="0"/>
              <w:jc w:val="center"/>
            </w:pPr>
            <w:r>
              <w:t>13</w:t>
            </w:r>
          </w:p>
        </w:tc>
        <w:tc>
          <w:tcPr>
            <w:tcW w:w="454" w:type="pct"/>
            <w:gridSpan w:val="2"/>
            <w:vAlign w:val="center"/>
          </w:tcPr>
          <w:p>
            <w:pPr>
              <w:pStyle w:val="18"/>
              <w:bidi w:val="0"/>
              <w:jc w:val="center"/>
            </w:pPr>
            <w:r>
              <w:t>234</w:t>
            </w:r>
          </w:p>
        </w:tc>
        <w:tc>
          <w:tcPr>
            <w:tcW w:w="514" w:type="pct"/>
            <w:gridSpan w:val="2"/>
            <w:vAlign w:val="center"/>
          </w:tcPr>
          <w:p>
            <w:pPr>
              <w:pStyle w:val="18"/>
              <w:bidi w:val="0"/>
              <w:jc w:val="center"/>
            </w:pPr>
            <w:r>
              <w:t>63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pct"/>
          <w:trHeight w:val="349" w:hRule="atLeast"/>
        </w:trPr>
        <w:tc>
          <w:tcPr>
            <w:tcW w:w="501" w:type="pct"/>
            <w:vAlign w:val="center"/>
          </w:tcPr>
          <w:p>
            <w:pPr>
              <w:pStyle w:val="18"/>
              <w:bidi w:val="0"/>
              <w:jc w:val="center"/>
            </w:pPr>
            <w:r>
              <w:t>2033</w:t>
            </w:r>
          </w:p>
        </w:tc>
        <w:tc>
          <w:tcPr>
            <w:tcW w:w="454" w:type="pct"/>
            <w:gridSpan w:val="3"/>
            <w:vAlign w:val="center"/>
          </w:tcPr>
          <w:p>
            <w:pPr>
              <w:pStyle w:val="18"/>
              <w:bidi w:val="0"/>
              <w:jc w:val="center"/>
            </w:pPr>
            <w:r>
              <w:t>244</w:t>
            </w:r>
          </w:p>
        </w:tc>
        <w:tc>
          <w:tcPr>
            <w:tcW w:w="454" w:type="pct"/>
            <w:vAlign w:val="center"/>
          </w:tcPr>
          <w:p>
            <w:pPr>
              <w:pStyle w:val="18"/>
              <w:bidi w:val="0"/>
              <w:jc w:val="center"/>
            </w:pPr>
            <w:r>
              <w:t>61</w:t>
            </w:r>
          </w:p>
        </w:tc>
        <w:tc>
          <w:tcPr>
            <w:tcW w:w="462" w:type="pct"/>
            <w:gridSpan w:val="2"/>
            <w:vAlign w:val="center"/>
          </w:tcPr>
          <w:p>
            <w:pPr>
              <w:pStyle w:val="18"/>
              <w:bidi w:val="0"/>
              <w:jc w:val="center"/>
            </w:pPr>
            <w:r>
              <w:t>110</w:t>
            </w:r>
          </w:p>
        </w:tc>
        <w:tc>
          <w:tcPr>
            <w:tcW w:w="454" w:type="pct"/>
            <w:gridSpan w:val="2"/>
            <w:vAlign w:val="center"/>
          </w:tcPr>
          <w:p>
            <w:pPr>
              <w:pStyle w:val="18"/>
              <w:bidi w:val="0"/>
              <w:jc w:val="center"/>
            </w:pPr>
            <w:r>
              <w:t>27</w:t>
            </w:r>
          </w:p>
        </w:tc>
        <w:tc>
          <w:tcPr>
            <w:tcW w:w="435" w:type="pct"/>
            <w:gridSpan w:val="2"/>
            <w:vAlign w:val="center"/>
          </w:tcPr>
          <w:p>
            <w:pPr>
              <w:pStyle w:val="18"/>
              <w:bidi w:val="0"/>
              <w:jc w:val="center"/>
            </w:pPr>
            <w:r>
              <w:t>61</w:t>
            </w:r>
          </w:p>
        </w:tc>
        <w:tc>
          <w:tcPr>
            <w:tcW w:w="442" w:type="pct"/>
            <w:gridSpan w:val="2"/>
            <w:vAlign w:val="center"/>
          </w:tcPr>
          <w:p>
            <w:pPr>
              <w:pStyle w:val="18"/>
              <w:bidi w:val="0"/>
              <w:jc w:val="center"/>
            </w:pPr>
            <w:r>
              <w:t>15</w:t>
            </w:r>
          </w:p>
        </w:tc>
        <w:tc>
          <w:tcPr>
            <w:tcW w:w="367" w:type="pct"/>
            <w:gridSpan w:val="2"/>
            <w:vAlign w:val="center"/>
          </w:tcPr>
          <w:p>
            <w:pPr>
              <w:pStyle w:val="18"/>
              <w:bidi w:val="0"/>
              <w:jc w:val="center"/>
            </w:pPr>
            <w:r>
              <w:t>73</w:t>
            </w:r>
          </w:p>
        </w:tc>
        <w:tc>
          <w:tcPr>
            <w:tcW w:w="454" w:type="pct"/>
            <w:gridSpan w:val="2"/>
            <w:vAlign w:val="center"/>
          </w:tcPr>
          <w:p>
            <w:pPr>
              <w:pStyle w:val="18"/>
              <w:bidi w:val="0"/>
              <w:jc w:val="center"/>
            </w:pPr>
            <w:r>
              <w:t>19</w:t>
            </w:r>
          </w:p>
        </w:tc>
        <w:tc>
          <w:tcPr>
            <w:tcW w:w="454" w:type="pct"/>
            <w:gridSpan w:val="2"/>
            <w:vAlign w:val="center"/>
          </w:tcPr>
          <w:p>
            <w:pPr>
              <w:pStyle w:val="18"/>
              <w:bidi w:val="0"/>
              <w:jc w:val="center"/>
            </w:pPr>
            <w:r>
              <w:t>348</w:t>
            </w:r>
          </w:p>
        </w:tc>
        <w:tc>
          <w:tcPr>
            <w:tcW w:w="514" w:type="pct"/>
            <w:gridSpan w:val="2"/>
            <w:vAlign w:val="center"/>
          </w:tcPr>
          <w:p>
            <w:pPr>
              <w:pStyle w:val="18"/>
              <w:bidi w:val="0"/>
              <w:jc w:val="center"/>
            </w:pPr>
            <w:r>
              <w:t>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pct"/>
          <w:trHeight w:val="369" w:hRule="atLeast"/>
        </w:trPr>
        <w:tc>
          <w:tcPr>
            <w:tcW w:w="4998" w:type="pct"/>
            <w:gridSpan w:val="21"/>
            <w:vAlign w:val="center"/>
          </w:tcPr>
          <w:p>
            <w:pPr>
              <w:pStyle w:val="18"/>
              <w:bidi w:val="0"/>
              <w:jc w:val="center"/>
            </w:pPr>
            <w:r>
              <w:t>吐鲁番街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pct"/>
          <w:trHeight w:val="349" w:hRule="atLeast"/>
        </w:trPr>
        <w:tc>
          <w:tcPr>
            <w:tcW w:w="501" w:type="pct"/>
            <w:vAlign w:val="center"/>
          </w:tcPr>
          <w:p>
            <w:pPr>
              <w:pStyle w:val="18"/>
              <w:bidi w:val="0"/>
              <w:jc w:val="center"/>
            </w:pPr>
            <w:r>
              <w:t>2018</w:t>
            </w:r>
          </w:p>
        </w:tc>
        <w:tc>
          <w:tcPr>
            <w:tcW w:w="454" w:type="pct"/>
            <w:gridSpan w:val="3"/>
            <w:vAlign w:val="center"/>
          </w:tcPr>
          <w:p>
            <w:pPr>
              <w:pStyle w:val="18"/>
              <w:bidi w:val="0"/>
              <w:jc w:val="center"/>
            </w:pPr>
            <w:r>
              <w:t>112</w:t>
            </w:r>
          </w:p>
        </w:tc>
        <w:tc>
          <w:tcPr>
            <w:tcW w:w="454" w:type="pct"/>
            <w:vAlign w:val="center"/>
          </w:tcPr>
          <w:p>
            <w:pPr>
              <w:pStyle w:val="18"/>
              <w:bidi w:val="0"/>
              <w:jc w:val="center"/>
            </w:pPr>
            <w:r>
              <w:t>28</w:t>
            </w:r>
          </w:p>
        </w:tc>
        <w:tc>
          <w:tcPr>
            <w:tcW w:w="462" w:type="pct"/>
            <w:gridSpan w:val="2"/>
            <w:vAlign w:val="center"/>
          </w:tcPr>
          <w:p>
            <w:pPr>
              <w:pStyle w:val="18"/>
              <w:bidi w:val="0"/>
              <w:jc w:val="center"/>
            </w:pPr>
            <w:r>
              <w:t>50</w:t>
            </w:r>
          </w:p>
        </w:tc>
        <w:tc>
          <w:tcPr>
            <w:tcW w:w="454" w:type="pct"/>
            <w:gridSpan w:val="2"/>
            <w:vAlign w:val="center"/>
          </w:tcPr>
          <w:p>
            <w:pPr>
              <w:pStyle w:val="18"/>
              <w:bidi w:val="0"/>
              <w:jc w:val="center"/>
            </w:pPr>
            <w:r>
              <w:t>13</w:t>
            </w:r>
          </w:p>
        </w:tc>
        <w:tc>
          <w:tcPr>
            <w:tcW w:w="435" w:type="pct"/>
            <w:gridSpan w:val="2"/>
            <w:vAlign w:val="center"/>
          </w:tcPr>
          <w:p>
            <w:pPr>
              <w:pStyle w:val="18"/>
              <w:bidi w:val="0"/>
              <w:jc w:val="center"/>
            </w:pPr>
            <w:r>
              <w:t>28</w:t>
            </w:r>
          </w:p>
        </w:tc>
        <w:tc>
          <w:tcPr>
            <w:tcW w:w="442" w:type="pct"/>
            <w:gridSpan w:val="2"/>
            <w:vAlign w:val="center"/>
          </w:tcPr>
          <w:p>
            <w:pPr>
              <w:pStyle w:val="18"/>
              <w:bidi w:val="0"/>
              <w:jc w:val="center"/>
            </w:pPr>
            <w:r>
              <w:t>7</w:t>
            </w:r>
          </w:p>
        </w:tc>
        <w:tc>
          <w:tcPr>
            <w:tcW w:w="367" w:type="pct"/>
            <w:gridSpan w:val="2"/>
            <w:vAlign w:val="center"/>
          </w:tcPr>
          <w:p>
            <w:pPr>
              <w:pStyle w:val="18"/>
              <w:bidi w:val="0"/>
              <w:jc w:val="center"/>
            </w:pPr>
            <w:r>
              <w:t>34</w:t>
            </w:r>
          </w:p>
        </w:tc>
        <w:tc>
          <w:tcPr>
            <w:tcW w:w="454" w:type="pct"/>
            <w:gridSpan w:val="2"/>
            <w:vAlign w:val="center"/>
          </w:tcPr>
          <w:p>
            <w:pPr>
              <w:pStyle w:val="18"/>
              <w:bidi w:val="0"/>
              <w:jc w:val="center"/>
            </w:pPr>
            <w:r>
              <w:t>8</w:t>
            </w:r>
          </w:p>
        </w:tc>
        <w:tc>
          <w:tcPr>
            <w:tcW w:w="454" w:type="pct"/>
            <w:gridSpan w:val="2"/>
            <w:vAlign w:val="center"/>
          </w:tcPr>
          <w:p>
            <w:pPr>
              <w:pStyle w:val="18"/>
              <w:bidi w:val="0"/>
              <w:jc w:val="center"/>
            </w:pPr>
            <w:r>
              <w:t>160</w:t>
            </w:r>
          </w:p>
        </w:tc>
        <w:tc>
          <w:tcPr>
            <w:tcW w:w="514" w:type="pct"/>
            <w:gridSpan w:val="2"/>
            <w:vAlign w:val="center"/>
          </w:tcPr>
          <w:p>
            <w:pPr>
              <w:pStyle w:val="18"/>
              <w:bidi w:val="0"/>
              <w:jc w:val="center"/>
            </w:pPr>
            <w:r>
              <w:t>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pct"/>
          <w:trHeight w:val="369" w:hRule="atLeast"/>
        </w:trPr>
        <w:tc>
          <w:tcPr>
            <w:tcW w:w="501" w:type="pct"/>
            <w:vAlign w:val="center"/>
          </w:tcPr>
          <w:p>
            <w:pPr>
              <w:pStyle w:val="18"/>
              <w:bidi w:val="0"/>
              <w:jc w:val="center"/>
            </w:pPr>
            <w:r>
              <w:t>2025</w:t>
            </w:r>
          </w:p>
        </w:tc>
        <w:tc>
          <w:tcPr>
            <w:tcW w:w="454" w:type="pct"/>
            <w:gridSpan w:val="3"/>
            <w:vAlign w:val="center"/>
          </w:tcPr>
          <w:p>
            <w:pPr>
              <w:pStyle w:val="18"/>
              <w:bidi w:val="0"/>
              <w:jc w:val="center"/>
            </w:pPr>
            <w:r>
              <w:t>157</w:t>
            </w:r>
          </w:p>
        </w:tc>
        <w:tc>
          <w:tcPr>
            <w:tcW w:w="454" w:type="pct"/>
            <w:vAlign w:val="center"/>
          </w:tcPr>
          <w:p>
            <w:pPr>
              <w:pStyle w:val="18"/>
              <w:bidi w:val="0"/>
              <w:jc w:val="center"/>
            </w:pPr>
            <w:r>
              <w:t>42</w:t>
            </w:r>
          </w:p>
        </w:tc>
        <w:tc>
          <w:tcPr>
            <w:tcW w:w="462" w:type="pct"/>
            <w:gridSpan w:val="2"/>
            <w:vAlign w:val="center"/>
          </w:tcPr>
          <w:p>
            <w:pPr>
              <w:pStyle w:val="18"/>
              <w:bidi w:val="0"/>
              <w:jc w:val="center"/>
            </w:pPr>
            <w:r>
              <w:t>71</w:t>
            </w:r>
          </w:p>
        </w:tc>
        <w:tc>
          <w:tcPr>
            <w:tcW w:w="454" w:type="pct"/>
            <w:gridSpan w:val="2"/>
            <w:vAlign w:val="center"/>
          </w:tcPr>
          <w:p>
            <w:pPr>
              <w:pStyle w:val="18"/>
              <w:bidi w:val="0"/>
              <w:jc w:val="center"/>
            </w:pPr>
            <w:r>
              <w:t>19</w:t>
            </w:r>
          </w:p>
        </w:tc>
        <w:tc>
          <w:tcPr>
            <w:tcW w:w="435" w:type="pct"/>
            <w:gridSpan w:val="2"/>
            <w:vAlign w:val="center"/>
          </w:tcPr>
          <w:p>
            <w:pPr>
              <w:pStyle w:val="18"/>
              <w:bidi w:val="0"/>
              <w:jc w:val="center"/>
            </w:pPr>
            <w:r>
              <w:t>39</w:t>
            </w:r>
          </w:p>
        </w:tc>
        <w:tc>
          <w:tcPr>
            <w:tcW w:w="442" w:type="pct"/>
            <w:gridSpan w:val="2"/>
            <w:vAlign w:val="center"/>
          </w:tcPr>
          <w:p>
            <w:pPr>
              <w:pStyle w:val="18"/>
              <w:bidi w:val="0"/>
              <w:jc w:val="center"/>
            </w:pPr>
            <w:r>
              <w:t>11</w:t>
            </w:r>
          </w:p>
        </w:tc>
        <w:tc>
          <w:tcPr>
            <w:tcW w:w="367" w:type="pct"/>
            <w:gridSpan w:val="2"/>
            <w:vAlign w:val="center"/>
          </w:tcPr>
          <w:p>
            <w:pPr>
              <w:pStyle w:val="18"/>
              <w:bidi w:val="0"/>
              <w:jc w:val="center"/>
            </w:pPr>
            <w:r>
              <w:t>47</w:t>
            </w:r>
          </w:p>
        </w:tc>
        <w:tc>
          <w:tcPr>
            <w:tcW w:w="454" w:type="pct"/>
            <w:gridSpan w:val="2"/>
            <w:vAlign w:val="center"/>
          </w:tcPr>
          <w:p>
            <w:pPr>
              <w:pStyle w:val="18"/>
              <w:bidi w:val="0"/>
              <w:jc w:val="center"/>
            </w:pPr>
            <w:r>
              <w:t>12</w:t>
            </w:r>
          </w:p>
        </w:tc>
        <w:tc>
          <w:tcPr>
            <w:tcW w:w="454" w:type="pct"/>
            <w:gridSpan w:val="2"/>
            <w:vAlign w:val="center"/>
          </w:tcPr>
          <w:p>
            <w:pPr>
              <w:pStyle w:val="18"/>
              <w:bidi w:val="0"/>
              <w:jc w:val="center"/>
            </w:pPr>
            <w:r>
              <w:t>224</w:t>
            </w:r>
          </w:p>
        </w:tc>
        <w:tc>
          <w:tcPr>
            <w:tcW w:w="514" w:type="pct"/>
            <w:gridSpan w:val="2"/>
            <w:vAlign w:val="center"/>
          </w:tcPr>
          <w:p>
            <w:pPr>
              <w:pStyle w:val="18"/>
              <w:bidi w:val="0"/>
              <w:jc w:val="center"/>
            </w:pPr>
            <w:r>
              <w:t>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1" w:type="pct"/>
          <w:trHeight w:val="354" w:hRule="atLeast"/>
        </w:trPr>
        <w:tc>
          <w:tcPr>
            <w:tcW w:w="501" w:type="pct"/>
            <w:vAlign w:val="center"/>
          </w:tcPr>
          <w:p>
            <w:pPr>
              <w:pStyle w:val="18"/>
              <w:bidi w:val="0"/>
              <w:jc w:val="center"/>
            </w:pPr>
            <w:r>
              <w:t>2033</w:t>
            </w:r>
          </w:p>
        </w:tc>
        <w:tc>
          <w:tcPr>
            <w:tcW w:w="454" w:type="pct"/>
            <w:gridSpan w:val="3"/>
            <w:vAlign w:val="center"/>
          </w:tcPr>
          <w:p>
            <w:pPr>
              <w:pStyle w:val="18"/>
              <w:bidi w:val="0"/>
              <w:jc w:val="center"/>
            </w:pPr>
            <w:r>
              <w:t>238</w:t>
            </w:r>
          </w:p>
        </w:tc>
        <w:tc>
          <w:tcPr>
            <w:tcW w:w="454" w:type="pct"/>
            <w:vAlign w:val="center"/>
          </w:tcPr>
          <w:p>
            <w:pPr>
              <w:pStyle w:val="18"/>
              <w:bidi w:val="0"/>
              <w:jc w:val="center"/>
            </w:pPr>
            <w:r>
              <w:t>60</w:t>
            </w:r>
          </w:p>
        </w:tc>
        <w:tc>
          <w:tcPr>
            <w:tcW w:w="462" w:type="pct"/>
            <w:gridSpan w:val="2"/>
            <w:vAlign w:val="center"/>
          </w:tcPr>
          <w:p>
            <w:pPr>
              <w:pStyle w:val="18"/>
              <w:bidi w:val="0"/>
              <w:jc w:val="center"/>
            </w:pPr>
            <w:r>
              <w:t>107</w:t>
            </w:r>
          </w:p>
        </w:tc>
        <w:tc>
          <w:tcPr>
            <w:tcW w:w="454" w:type="pct"/>
            <w:gridSpan w:val="2"/>
            <w:vAlign w:val="center"/>
          </w:tcPr>
          <w:p>
            <w:pPr>
              <w:pStyle w:val="18"/>
              <w:bidi w:val="0"/>
              <w:jc w:val="center"/>
            </w:pPr>
            <w:r>
              <w:t>27</w:t>
            </w:r>
          </w:p>
        </w:tc>
        <w:tc>
          <w:tcPr>
            <w:tcW w:w="435" w:type="pct"/>
            <w:gridSpan w:val="2"/>
            <w:vAlign w:val="center"/>
          </w:tcPr>
          <w:p>
            <w:pPr>
              <w:pStyle w:val="18"/>
              <w:bidi w:val="0"/>
              <w:jc w:val="center"/>
            </w:pPr>
            <w:r>
              <w:t>60</w:t>
            </w:r>
          </w:p>
        </w:tc>
        <w:tc>
          <w:tcPr>
            <w:tcW w:w="442" w:type="pct"/>
            <w:gridSpan w:val="2"/>
            <w:vAlign w:val="center"/>
          </w:tcPr>
          <w:p>
            <w:pPr>
              <w:pStyle w:val="18"/>
              <w:bidi w:val="0"/>
              <w:jc w:val="center"/>
            </w:pPr>
            <w:r>
              <w:t>15</w:t>
            </w:r>
          </w:p>
        </w:tc>
        <w:tc>
          <w:tcPr>
            <w:tcW w:w="367" w:type="pct"/>
            <w:gridSpan w:val="2"/>
            <w:vAlign w:val="center"/>
          </w:tcPr>
          <w:p>
            <w:pPr>
              <w:pStyle w:val="18"/>
              <w:bidi w:val="0"/>
              <w:jc w:val="center"/>
            </w:pPr>
            <w:r>
              <w:t>71</w:t>
            </w:r>
          </w:p>
        </w:tc>
        <w:tc>
          <w:tcPr>
            <w:tcW w:w="454" w:type="pct"/>
            <w:gridSpan w:val="2"/>
            <w:vAlign w:val="center"/>
          </w:tcPr>
          <w:p>
            <w:pPr>
              <w:pStyle w:val="18"/>
              <w:bidi w:val="0"/>
              <w:jc w:val="center"/>
            </w:pPr>
            <w:r>
              <w:t>18</w:t>
            </w:r>
          </w:p>
        </w:tc>
        <w:tc>
          <w:tcPr>
            <w:tcW w:w="454" w:type="pct"/>
            <w:gridSpan w:val="2"/>
            <w:vAlign w:val="center"/>
          </w:tcPr>
          <w:p>
            <w:pPr>
              <w:pStyle w:val="18"/>
              <w:bidi w:val="0"/>
              <w:jc w:val="center"/>
            </w:pPr>
            <w:r>
              <w:t>339</w:t>
            </w:r>
          </w:p>
        </w:tc>
        <w:tc>
          <w:tcPr>
            <w:tcW w:w="514" w:type="pct"/>
            <w:gridSpan w:val="2"/>
            <w:vAlign w:val="center"/>
          </w:tcPr>
          <w:p>
            <w:pPr>
              <w:pStyle w:val="18"/>
              <w:bidi w:val="0"/>
              <w:jc w:val="center"/>
            </w:pPr>
            <w:r>
              <w:t>86</w:t>
            </w:r>
          </w:p>
        </w:tc>
      </w:tr>
    </w:tbl>
    <w:p>
      <w:pPr>
        <w:bidi w:val="0"/>
      </w:pPr>
      <w:r>
        <w:t>项目验收监测期间，</w:t>
      </w:r>
      <w:r>
        <w:rPr>
          <w:rFonts w:hint="eastAsia"/>
          <w:lang w:val="en-US" w:eastAsia="zh-CN"/>
        </w:rPr>
        <w:t>阿克苏路</w:t>
      </w:r>
      <w:r>
        <w:t>昼间平均小时最大车流量为</w:t>
      </w:r>
      <w:r>
        <w:rPr>
          <w:rFonts w:hint="eastAsia"/>
          <w:lang w:val="en-US" w:eastAsia="zh-CN"/>
        </w:rPr>
        <w:t>3</w:t>
      </w:r>
      <w:r>
        <w:t>5辆，最小车流量为</w:t>
      </w:r>
      <w:r>
        <w:rPr>
          <w:rFonts w:hint="eastAsia"/>
          <w:lang w:val="en-US" w:eastAsia="zh-CN"/>
        </w:rPr>
        <w:t>13</w:t>
      </w:r>
      <w:r>
        <w:t>辆；夜间平均小时最大车流量为</w:t>
      </w:r>
      <w:r>
        <w:rPr>
          <w:rFonts w:hint="eastAsia"/>
          <w:lang w:val="en-US" w:eastAsia="zh-CN"/>
        </w:rPr>
        <w:t>12</w:t>
      </w:r>
      <w:r>
        <w:t>辆，最小车流量仅为</w:t>
      </w:r>
      <w:r>
        <w:rPr>
          <w:rFonts w:hint="eastAsia"/>
          <w:lang w:val="en-US" w:eastAsia="zh-CN"/>
        </w:rPr>
        <w:t>6</w:t>
      </w:r>
      <w:r>
        <w:t>辆。南环路昼间平均小时最大车流量为</w:t>
      </w:r>
      <w:r>
        <w:rPr>
          <w:rFonts w:hint="eastAsia"/>
          <w:lang w:val="en-US" w:eastAsia="zh-CN"/>
        </w:rPr>
        <w:t>10</w:t>
      </w:r>
      <w:r>
        <w:t>辆，最小车流量为4辆；夜间平均小时最大车流量为</w:t>
      </w:r>
      <w:r>
        <w:rPr>
          <w:rFonts w:hint="eastAsia"/>
          <w:lang w:val="en-US" w:eastAsia="zh-CN"/>
        </w:rPr>
        <w:t>5</w:t>
      </w:r>
      <w:r>
        <w:t>辆，最小车流量仅为2辆</w:t>
      </w:r>
      <w:r>
        <w:rPr>
          <w:rFonts w:hint="eastAsia"/>
          <w:lang w:eastAsia="zh-CN"/>
        </w:rPr>
        <w:t>；</w:t>
      </w:r>
      <w:r>
        <w:t>淮河路昼间平均小时最大车流量为</w:t>
      </w:r>
      <w:r>
        <w:rPr>
          <w:rFonts w:hint="eastAsia"/>
          <w:lang w:val="en-US" w:eastAsia="zh-CN"/>
        </w:rPr>
        <w:t>18</w:t>
      </w:r>
      <w:r>
        <w:t>辆，最小车流量为</w:t>
      </w:r>
      <w:r>
        <w:rPr>
          <w:rFonts w:hint="eastAsia"/>
          <w:lang w:val="en-US" w:eastAsia="zh-CN"/>
        </w:rPr>
        <w:t>11</w:t>
      </w:r>
      <w:r>
        <w:t>辆；夜间平均小时最大车流量为</w:t>
      </w:r>
      <w:r>
        <w:rPr>
          <w:rFonts w:hint="eastAsia"/>
          <w:lang w:val="en-US" w:eastAsia="zh-CN"/>
        </w:rPr>
        <w:t>12</w:t>
      </w:r>
      <w:r>
        <w:t>辆，最小车流量仅为</w:t>
      </w:r>
      <w:r>
        <w:rPr>
          <w:rFonts w:hint="eastAsia"/>
          <w:lang w:val="en-US" w:eastAsia="zh-CN"/>
        </w:rPr>
        <w:t>5</w:t>
      </w:r>
      <w:r>
        <w:t>辆</w:t>
      </w:r>
      <w:r>
        <w:rPr>
          <w:rFonts w:hint="eastAsia"/>
          <w:lang w:eastAsia="zh-CN"/>
        </w:rPr>
        <w:t>；</w:t>
      </w:r>
      <w:r>
        <w:t>东外环路昼间平均小时最大车流量为</w:t>
      </w:r>
      <w:r>
        <w:rPr>
          <w:rFonts w:hint="eastAsia"/>
          <w:lang w:val="en-US" w:eastAsia="zh-CN"/>
        </w:rPr>
        <w:t>28</w:t>
      </w:r>
      <w:r>
        <w:t>辆，最小车流量为</w:t>
      </w:r>
      <w:r>
        <w:rPr>
          <w:rFonts w:hint="eastAsia"/>
          <w:lang w:val="en-US" w:eastAsia="zh-CN"/>
        </w:rPr>
        <w:t>17</w:t>
      </w:r>
      <w:r>
        <w:t>辆；夜间平均小时最大车流量为</w:t>
      </w:r>
      <w:r>
        <w:rPr>
          <w:rFonts w:hint="eastAsia"/>
          <w:lang w:val="en-US" w:eastAsia="zh-CN"/>
        </w:rPr>
        <w:t>13</w:t>
      </w:r>
      <w:r>
        <w:t>辆，最小车流量仅为</w:t>
      </w:r>
      <w:r>
        <w:rPr>
          <w:rFonts w:hint="eastAsia"/>
          <w:lang w:val="en-US" w:eastAsia="zh-CN"/>
        </w:rPr>
        <w:t>7</w:t>
      </w:r>
      <w:r>
        <w:t>辆</w:t>
      </w:r>
      <w:r>
        <w:rPr>
          <w:rFonts w:hint="eastAsia"/>
          <w:lang w:eastAsia="zh-CN"/>
        </w:rPr>
        <w:t>；</w:t>
      </w:r>
      <w:r>
        <w:t>米泉街昼间平均小时最大车流量为</w:t>
      </w:r>
      <w:r>
        <w:rPr>
          <w:rFonts w:hint="eastAsia"/>
          <w:lang w:val="en-US" w:eastAsia="zh-CN"/>
        </w:rPr>
        <w:t>20</w:t>
      </w:r>
      <w:r>
        <w:t>辆，最小车流量为</w:t>
      </w:r>
      <w:r>
        <w:rPr>
          <w:rFonts w:hint="eastAsia"/>
          <w:lang w:val="en-US" w:eastAsia="zh-CN"/>
        </w:rPr>
        <w:t>10</w:t>
      </w:r>
      <w:r>
        <w:t>辆；夜间平均小时最大车流量为</w:t>
      </w:r>
      <w:r>
        <w:rPr>
          <w:rFonts w:hint="eastAsia"/>
          <w:lang w:val="en-US" w:eastAsia="zh-CN"/>
        </w:rPr>
        <w:t>9</w:t>
      </w:r>
      <w:r>
        <w:t>辆，最小车流量仅为</w:t>
      </w:r>
      <w:r>
        <w:rPr>
          <w:rFonts w:hint="eastAsia"/>
          <w:lang w:val="en-US" w:eastAsia="zh-CN"/>
        </w:rPr>
        <w:t>3</w:t>
      </w:r>
      <w:r>
        <w:t>辆</w:t>
      </w:r>
      <w:r>
        <w:rPr>
          <w:rFonts w:hint="eastAsia"/>
          <w:lang w:eastAsia="zh-CN"/>
        </w:rPr>
        <w:t>；</w:t>
      </w:r>
      <w:r>
        <w:t>吐鲁番街昼间平均小时最大车流量为</w:t>
      </w:r>
      <w:r>
        <w:rPr>
          <w:rFonts w:hint="eastAsia"/>
          <w:lang w:val="en-US" w:eastAsia="zh-CN"/>
        </w:rPr>
        <w:t>16</w:t>
      </w:r>
      <w:r>
        <w:t>辆，最小车流量为</w:t>
      </w:r>
      <w:r>
        <w:rPr>
          <w:rFonts w:hint="eastAsia"/>
          <w:lang w:val="en-US" w:eastAsia="zh-CN"/>
        </w:rPr>
        <w:t>7</w:t>
      </w:r>
      <w:r>
        <w:t>辆；夜间平均小时最大车流量为</w:t>
      </w:r>
      <w:r>
        <w:rPr>
          <w:rFonts w:hint="eastAsia"/>
          <w:lang w:val="en-US" w:eastAsia="zh-CN"/>
        </w:rPr>
        <w:t>15</w:t>
      </w:r>
      <w:r>
        <w:t>辆，最小车流量仅为</w:t>
      </w:r>
      <w:r>
        <w:rPr>
          <w:rFonts w:hint="eastAsia"/>
          <w:lang w:val="en-US" w:eastAsia="zh-CN"/>
        </w:rPr>
        <w:t>4</w:t>
      </w:r>
      <w:r>
        <w:t>辆。根据监测数据核算，整体上车流量较小。</w:t>
      </w:r>
    </w:p>
    <w:p>
      <w:pPr>
        <w:pStyle w:val="2"/>
        <w:rPr>
          <w:rFonts w:hint="default"/>
          <w:lang w:val="en-US" w:eastAsia="zh-CN"/>
        </w:rPr>
      </w:pPr>
    </w:p>
    <w:p>
      <w:pPr>
        <w:bidi w:val="0"/>
        <w:rPr>
          <w:rFonts w:hint="default"/>
          <w:lang w:val="en-US" w:eastAsia="zh-CN"/>
        </w:rPr>
        <w:sectPr>
          <w:footerReference r:id="rId9" w:type="default"/>
          <w:pgSz w:w="11906" w:h="16838"/>
          <w:pgMar w:top="1440" w:right="1800" w:bottom="1440" w:left="1800" w:header="992"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bidi w:val="0"/>
        <w:outlineLvl w:val="1"/>
      </w:pPr>
      <w:bookmarkStart w:id="112" w:name="_Toc11714"/>
      <w:r>
        <w:t>七 风险事故防范及应急措施调查</w:t>
      </w:r>
      <w:bookmarkEnd w:id="112"/>
    </w:p>
    <w:p>
      <w:pPr>
        <w:bidi w:val="0"/>
      </w:pPr>
      <w:r>
        <w:t>根据本工程施工期及运行期可能存在的环境风险事故的特点及环境影响评价文件有关内容确定本次竣工环境保护验收环境风险的调查内容。</w:t>
      </w:r>
    </w:p>
    <w:p>
      <w:pPr>
        <w:pStyle w:val="5"/>
        <w:bidi w:val="0"/>
        <w:outlineLvl w:val="0"/>
        <w:rPr>
          <w:rFonts w:ascii="宋体" w:hAnsi="宋体" w:eastAsia="宋体" w:cs="宋体"/>
          <w:szCs w:val="24"/>
        </w:rPr>
      </w:pPr>
      <w:bookmarkStart w:id="113" w:name="_Toc29456"/>
      <w:r>
        <w:t>7.1环境风险因素调查</w:t>
      </w:r>
      <w:bookmarkEnd w:id="113"/>
    </w:p>
    <w:p>
      <w:pPr>
        <w:bidi w:val="0"/>
        <w:outlineLvl w:val="1"/>
      </w:pPr>
      <w:bookmarkStart w:id="114" w:name="_Toc27092"/>
      <w:r>
        <w:t>（1）施工期环境风险调查</w:t>
      </w:r>
      <w:bookmarkEnd w:id="114"/>
    </w:p>
    <w:p>
      <w:pPr>
        <w:bidi w:val="0"/>
      </w:pPr>
      <w:r>
        <w:t>依据建设单位提供的资料，项目施工期未发生环境风险事故。</w:t>
      </w:r>
    </w:p>
    <w:p>
      <w:pPr>
        <w:bidi w:val="0"/>
        <w:outlineLvl w:val="1"/>
      </w:pPr>
      <w:bookmarkStart w:id="115" w:name="_Toc14260"/>
      <w:r>
        <w:t>（2）环境影响报告书风险分析评价</w:t>
      </w:r>
      <w:bookmarkEnd w:id="115"/>
    </w:p>
    <w:p>
      <w:pPr>
        <w:bidi w:val="0"/>
      </w:pPr>
      <w:r>
        <w:t>本项目主要为公路项目。本项目运营期除了可能发生车辆泄漏污染水体的环境污染事故外，其余为地质灾害等非环保上的风险。</w:t>
      </w:r>
    </w:p>
    <w:p>
      <w:pPr>
        <w:bidi w:val="0"/>
        <w:outlineLvl w:val="1"/>
      </w:pPr>
      <w:bookmarkStart w:id="116" w:name="_Toc25853"/>
      <w:r>
        <w:t>（3）验收调查阶段环境风险因素调查</w:t>
      </w:r>
      <w:bookmarkEnd w:id="116"/>
    </w:p>
    <w:p>
      <w:pPr>
        <w:bidi w:val="0"/>
      </w:pPr>
      <w:r>
        <w:t>结合道路工程的特点及同行业道路运行期可能存在的风险事故</w:t>
      </w:r>
      <w:r>
        <w:rPr>
          <w:rFonts w:hint="eastAsia"/>
          <w:lang w:eastAsia="zh-CN"/>
        </w:rPr>
        <w:t>，</w:t>
      </w:r>
      <w:r>
        <w:t>见</w:t>
      </w:r>
      <w:r>
        <w:rPr>
          <w:rFonts w:hint="eastAsia"/>
          <w:lang w:val="en-US" w:eastAsia="zh-CN"/>
        </w:rPr>
        <w:t>下</w:t>
      </w:r>
      <w:r>
        <w:t>表。</w:t>
      </w:r>
    </w:p>
    <w:p>
      <w:pPr>
        <w:pStyle w:val="16"/>
        <w:bidi w:val="0"/>
      </w:pPr>
      <w:r>
        <w:t>表7-1竣工验收调查风险事故类型</w:t>
      </w:r>
    </w:p>
    <w:tbl>
      <w:tblPr>
        <w:tblStyle w:val="20"/>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56"/>
        <w:gridCol w:w="1224"/>
        <w:gridCol w:w="6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9" w:hRule="atLeast"/>
        </w:trPr>
        <w:tc>
          <w:tcPr>
            <w:tcW w:w="635" w:type="pct"/>
            <w:vAlign w:val="top"/>
          </w:tcPr>
          <w:p>
            <w:pPr>
              <w:pStyle w:val="18"/>
              <w:bidi w:val="0"/>
            </w:pPr>
            <w:r>
              <w:t>序号</w:t>
            </w:r>
          </w:p>
        </w:tc>
        <w:tc>
          <w:tcPr>
            <w:tcW w:w="736" w:type="pct"/>
            <w:vAlign w:val="top"/>
          </w:tcPr>
          <w:p>
            <w:pPr>
              <w:pStyle w:val="18"/>
              <w:bidi w:val="0"/>
            </w:pPr>
            <w:r>
              <w:t>项目</w:t>
            </w:r>
          </w:p>
        </w:tc>
        <w:tc>
          <w:tcPr>
            <w:tcW w:w="3627" w:type="pct"/>
            <w:vAlign w:val="top"/>
          </w:tcPr>
          <w:p>
            <w:pPr>
              <w:pStyle w:val="18"/>
              <w:bidi w:val="0"/>
            </w:pPr>
            <w:r>
              <w:t>风险事故类型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trPr>
        <w:tc>
          <w:tcPr>
            <w:tcW w:w="635" w:type="pct"/>
            <w:vAlign w:val="top"/>
          </w:tcPr>
          <w:p>
            <w:pPr>
              <w:pStyle w:val="18"/>
              <w:bidi w:val="0"/>
            </w:pPr>
            <w:r>
              <w:t>1</w:t>
            </w:r>
          </w:p>
        </w:tc>
        <w:tc>
          <w:tcPr>
            <w:tcW w:w="736" w:type="pct"/>
            <w:vAlign w:val="top"/>
          </w:tcPr>
          <w:p>
            <w:pPr>
              <w:pStyle w:val="18"/>
              <w:bidi w:val="0"/>
            </w:pPr>
            <w:r>
              <w:t>水质污染</w:t>
            </w:r>
          </w:p>
        </w:tc>
        <w:tc>
          <w:tcPr>
            <w:tcW w:w="3627" w:type="pct"/>
            <w:vAlign w:val="top"/>
          </w:tcPr>
          <w:p>
            <w:pPr>
              <w:pStyle w:val="18"/>
              <w:bidi w:val="0"/>
            </w:pPr>
            <w:r>
              <w:t>车辆泄漏事故等原因导致水质污染</w:t>
            </w:r>
          </w:p>
        </w:tc>
      </w:tr>
    </w:tbl>
    <w:p>
      <w:pPr>
        <w:bidi w:val="0"/>
      </w:pPr>
      <w:r>
        <w:t>根据调查，本项目工程建成至今未发生因突发交通事故引发的危险品泄漏等事故。</w:t>
      </w:r>
    </w:p>
    <w:p>
      <w:pPr>
        <w:bidi w:val="0"/>
      </w:pPr>
      <w:r>
        <w:t>本次竣工验收调查建议，运行期应针对以上风险可能，制定出相应的风险防范措施，并积极向当地政府和相关部门建议，建立相关的管理制度并积极协助做好相关工作。</w:t>
      </w:r>
    </w:p>
    <w:p>
      <w:pPr>
        <w:pStyle w:val="5"/>
        <w:bidi w:val="0"/>
        <w:outlineLvl w:val="0"/>
      </w:pPr>
      <w:bookmarkStart w:id="117" w:name="_Toc20500"/>
      <w:r>
        <w:t>7.2环境风险防范措施及应急预案制定情况调查</w:t>
      </w:r>
      <w:bookmarkEnd w:id="117"/>
    </w:p>
    <w:p>
      <w:pPr>
        <w:bidi w:val="0"/>
      </w:pPr>
      <w:r>
        <w:t>为防止公路运行期环境风险事故发生造成的环境影响，建设单位针对</w:t>
      </w:r>
      <w:r>
        <w:rPr>
          <w:rFonts w:hint="eastAsia"/>
          <w:lang w:val="en-US" w:eastAsia="zh-CN"/>
        </w:rPr>
        <w:t>奎屯市</w:t>
      </w:r>
      <w:r>
        <w:t>交通运输局</w:t>
      </w:r>
      <w:r>
        <w:rPr>
          <w:rFonts w:hint="eastAsia"/>
          <w:lang w:val="en-US" w:eastAsia="zh-CN"/>
        </w:rPr>
        <w:t>开发区2017年基础设施建设项目配套道路及附属工程</w:t>
      </w:r>
      <w:r>
        <w:t>风险特点制定了环境保护风险事故防范及应急措施：</w:t>
      </w:r>
    </w:p>
    <w:p>
      <w:pPr>
        <w:bidi w:val="0"/>
      </w:pPr>
      <w:r>
        <w:t>（1)设立重大环境污染应急救援领导小组，由单位项目负责人任组长，日常管理人员组成日常管理机构成员。</w:t>
      </w:r>
    </w:p>
    <w:p>
      <w:pPr>
        <w:bidi w:val="0"/>
      </w:pPr>
      <w:r>
        <w:t>（2）采用分组轮流值班制度，并根据实际情况适当确定每一个班组的值班时</w:t>
      </w:r>
      <w:r>
        <w:rPr>
          <w:rFonts w:hint="eastAsia"/>
          <w:lang w:eastAsia="zh-CN"/>
        </w:rPr>
        <w:t>。</w:t>
      </w:r>
      <w:r>
        <w:rPr>
          <w:rFonts w:hint="eastAsia"/>
          <w:lang w:val="en-US" w:eastAsia="zh-CN"/>
        </w:rPr>
        <w:t>开发区2017年基础设施建设项目配套道路及附属工程</w:t>
      </w:r>
      <w:r>
        <w:t>竣工环境保护验收调查报告间，以保证工作质量。各班组应遵循目标明确、负责到人的工作原则，若发现问题，应在第一时间上报，并通过专项会议讨论研究事故原因及最佳处理措施，以确保事故得到及时有效的妥善解决。</w:t>
      </w:r>
    </w:p>
    <w:p>
      <w:pPr>
        <w:bidi w:val="0"/>
      </w:pPr>
      <w:r>
        <w:t>（3）成立了专门的巡检机构，负责公路沿线日常巡视检查、观察，发现水质污染等风险事故及时上报公司；公司即刻向有关行政部门汇报。</w:t>
      </w:r>
    </w:p>
    <w:p>
      <w:pPr>
        <w:bidi w:val="0"/>
      </w:pPr>
      <w:r>
        <w:t>（4）配备应急物资，如架板、砂杆、水泥、砂子、砖、编织袋、潜水泵、铁丝、铁锹、手推车，溢油应急装备和材料等。</w:t>
      </w:r>
    </w:p>
    <w:p>
      <w:pPr>
        <w:pStyle w:val="5"/>
        <w:bidi w:val="0"/>
        <w:outlineLvl w:val="0"/>
      </w:pPr>
      <w:bookmarkStart w:id="118" w:name="_Toc20202"/>
      <w:r>
        <w:t>7.3防范措施及应急预案的有效性分析</w:t>
      </w:r>
      <w:bookmarkEnd w:id="118"/>
    </w:p>
    <w:p>
      <w:pPr>
        <w:bidi w:val="0"/>
      </w:pPr>
      <w:r>
        <w:t>建设单位对环境风险事故防范工作十分重视，已采取了多种防范措施，均取得了应有的效果。公路运营以来，没有发生过因管理失误造成的重大的环境风险事故。</w:t>
      </w:r>
    </w:p>
    <w:p>
      <w:pPr>
        <w:pStyle w:val="5"/>
        <w:bidi w:val="0"/>
        <w:outlineLvl w:val="0"/>
      </w:pPr>
      <w:bookmarkStart w:id="119" w:name="_Toc1863"/>
      <w:r>
        <w:t>7.4竣工验收调查反馈</w:t>
      </w:r>
      <w:bookmarkEnd w:id="119"/>
    </w:p>
    <w:p>
      <w:pPr>
        <w:bidi w:val="0"/>
        <w:sectPr>
          <w:footerReference r:id="rId10" w:type="default"/>
          <w:pgSz w:w="11906" w:h="16838"/>
          <w:pgMar w:top="1440" w:right="1800" w:bottom="1440" w:left="1800" w:header="992" w:footer="992" w:gutter="0"/>
          <w:pgBorders>
            <w:top w:val="none" w:sz="0" w:space="0"/>
            <w:left w:val="none" w:sz="0" w:space="0"/>
            <w:bottom w:val="none" w:sz="0" w:space="0"/>
            <w:right w:val="none" w:sz="0" w:space="0"/>
          </w:pgBorders>
          <w:pgNumType w:fmt="decimal"/>
          <w:cols w:space="425" w:num="1"/>
          <w:docGrid w:type="lines" w:linePitch="312" w:charSpace="0"/>
        </w:sectPr>
      </w:pPr>
      <w:r>
        <w:t>定期进行应急预案演练，一旦发生突发环境事件应及时采取相关措施，减小事故后果。</w:t>
      </w:r>
    </w:p>
    <w:p>
      <w:pPr>
        <w:pStyle w:val="4"/>
        <w:bidi w:val="0"/>
        <w:outlineLvl w:val="1"/>
      </w:pPr>
      <w:bookmarkStart w:id="120" w:name="_Toc8200"/>
      <w:r>
        <w:t>八 环境管理状况及监测计划落实情况调查</w:t>
      </w:r>
      <w:bookmarkEnd w:id="120"/>
    </w:p>
    <w:p>
      <w:pPr>
        <w:pStyle w:val="5"/>
        <w:bidi w:val="0"/>
        <w:outlineLvl w:val="0"/>
      </w:pPr>
      <w:bookmarkStart w:id="121" w:name="_Toc12012"/>
      <w:r>
        <w:t>8.1环境管理机构调查</w:t>
      </w:r>
      <w:bookmarkEnd w:id="121"/>
    </w:p>
    <w:p>
      <w:pPr>
        <w:bidi w:val="0"/>
        <w:rPr>
          <w:rFonts w:ascii="宋体" w:hAnsi="宋体" w:eastAsia="宋体" w:cs="宋体"/>
          <w:sz w:val="24"/>
          <w:szCs w:val="24"/>
        </w:rPr>
      </w:pPr>
      <w:r>
        <w:t>建设单位的环境管理执行了国家的环境影响评价制度</w:t>
      </w:r>
      <w:r>
        <w:rPr>
          <w:rFonts w:hint="eastAsia" w:ascii="宋体" w:hAnsi="宋体" w:eastAsia="宋体" w:cs="宋体"/>
        </w:rPr>
        <w:t>、“三同时”制度</w:t>
      </w:r>
      <w:r>
        <w:t>，为加强环境管理设置有专门的环保机构。</w:t>
      </w:r>
      <w:r>
        <w:rPr>
          <w:rFonts w:hint="eastAsia"/>
          <w:lang w:val="en-US" w:eastAsia="zh-CN"/>
        </w:rPr>
        <w:t>开发区2017年基础设施建设项目配套道路及附属工程</w:t>
      </w:r>
      <w:r>
        <w:t>环境保护工作领导小组由项目负责组长，日常工作由</w:t>
      </w:r>
      <w:r>
        <w:rPr>
          <w:rFonts w:hint="eastAsia" w:ascii="宋体" w:hAnsi="宋体" w:eastAsia="宋体" w:cs="宋体"/>
          <w:spacing w:val="-1"/>
          <w:sz w:val="24"/>
          <w:szCs w:val="24"/>
          <w:lang w:val="en-US" w:eastAsia="zh-CN"/>
        </w:rPr>
        <w:t>新疆润盛投资发展有限公司</w:t>
      </w:r>
      <w:r>
        <w:rPr>
          <w:rFonts w:hint="eastAsia" w:ascii="宋体" w:hAnsi="宋体" w:cs="宋体"/>
          <w:spacing w:val="-1"/>
          <w:sz w:val="24"/>
          <w:szCs w:val="24"/>
          <w:lang w:val="en-US" w:eastAsia="zh-CN"/>
        </w:rPr>
        <w:t>和开发区</w:t>
      </w:r>
      <w:r>
        <w:t>管理人</w:t>
      </w:r>
      <w:r>
        <w:rPr>
          <w:rFonts w:ascii="宋体" w:hAnsi="宋体" w:eastAsia="宋体" w:cs="宋体"/>
          <w:spacing w:val="-8"/>
          <w:sz w:val="24"/>
          <w:szCs w:val="24"/>
        </w:rPr>
        <w:t>员</w:t>
      </w:r>
      <w:r>
        <w:rPr>
          <w:rFonts w:hint="eastAsia" w:ascii="宋体" w:hAnsi="宋体" w:cs="宋体"/>
          <w:spacing w:val="-8"/>
          <w:sz w:val="24"/>
          <w:szCs w:val="24"/>
          <w:lang w:val="en-US" w:eastAsia="zh-CN"/>
        </w:rPr>
        <w:t>共同</w:t>
      </w:r>
      <w:r>
        <w:rPr>
          <w:rFonts w:ascii="宋体" w:hAnsi="宋体" w:eastAsia="宋体" w:cs="宋体"/>
          <w:spacing w:val="-8"/>
          <w:sz w:val="24"/>
          <w:szCs w:val="24"/>
        </w:rPr>
        <w:t>负责。</w:t>
      </w:r>
    </w:p>
    <w:p>
      <w:pPr>
        <w:pStyle w:val="5"/>
        <w:bidi w:val="0"/>
        <w:outlineLvl w:val="0"/>
        <w:rPr>
          <w:rFonts w:ascii="Times New Roman" w:hAnsi="Times New Roman" w:cs="Times New Roman"/>
        </w:rPr>
      </w:pPr>
      <w:bookmarkStart w:id="122" w:name="_Toc23223"/>
      <w:r>
        <w:rPr>
          <w:rFonts w:ascii="Times New Roman" w:hAnsi="Times New Roman" w:cs="Times New Roman"/>
        </w:rPr>
        <w:t>8.2施工期环境管理</w:t>
      </w:r>
      <w:bookmarkEnd w:id="122"/>
    </w:p>
    <w:p>
      <w:pPr>
        <w:bidi w:val="0"/>
        <w:rPr>
          <w:color w:val="auto"/>
        </w:rPr>
      </w:pPr>
      <w:r>
        <w:rPr>
          <w:color w:val="auto"/>
        </w:rPr>
        <w:t>建设单位对本工程施工期实施全过程环境管理，认真贯彻环保法律法规，执行环评报告书中有关环境保护要求。周边居民走访及现场实地踏勘调查表明：本工程施工期至目前为止的试运行期未发生环境污染事件，环境保护主管部门亦未收到相关环保投诉。</w:t>
      </w:r>
    </w:p>
    <w:p>
      <w:pPr>
        <w:bidi w:val="0"/>
        <w:rPr>
          <w:color w:val="auto"/>
        </w:rPr>
      </w:pPr>
      <w:r>
        <w:rPr>
          <w:color w:val="auto"/>
        </w:rPr>
        <w:t>本项目施工期已经结束，随着水土保持措施的落实，经现场调查，本项目临时施工占地区的植物和植被现已恢复。</w:t>
      </w:r>
    </w:p>
    <w:p>
      <w:pPr>
        <w:bidi w:val="0"/>
        <w:rPr>
          <w:color w:val="auto"/>
        </w:rPr>
      </w:pPr>
      <w:r>
        <w:rPr>
          <w:rFonts w:hint="eastAsia" w:ascii="宋体" w:hAnsi="宋体" w:eastAsia="宋体" w:cs="宋体"/>
          <w:snapToGrid w:val="0"/>
          <w:color w:val="auto"/>
          <w:kern w:val="0"/>
          <w:sz w:val="24"/>
          <w:szCs w:val="24"/>
          <w:lang w:val="en-US" w:eastAsia="zh-CN" w:bidi="ar"/>
        </w:rPr>
        <w:t>本项目主体施工期较短</w:t>
      </w:r>
      <w:r>
        <w:rPr>
          <w:rFonts w:hint="eastAsia" w:ascii="宋体" w:hAnsi="宋体" w:cs="宋体"/>
          <w:snapToGrid w:val="0"/>
          <w:color w:val="auto"/>
          <w:kern w:val="0"/>
          <w:sz w:val="24"/>
          <w:szCs w:val="24"/>
          <w:lang w:val="en-US" w:eastAsia="zh-CN" w:bidi="ar"/>
        </w:rPr>
        <w:t>且在疫情期间，监测单位无法到达现场进行监测</w:t>
      </w:r>
      <w:r>
        <w:rPr>
          <w:rFonts w:hint="eastAsia" w:ascii="宋体" w:hAnsi="宋体" w:eastAsia="宋体" w:cs="宋体"/>
          <w:snapToGrid w:val="0"/>
          <w:color w:val="auto"/>
          <w:kern w:val="0"/>
          <w:sz w:val="24"/>
          <w:szCs w:val="24"/>
          <w:lang w:val="en-US" w:eastAsia="zh-CN" w:bidi="ar"/>
        </w:rPr>
        <w:t>，</w:t>
      </w:r>
      <w:r>
        <w:rPr>
          <w:rFonts w:hint="eastAsia" w:ascii="宋体" w:hAnsi="宋体" w:cs="宋体"/>
          <w:snapToGrid w:val="0"/>
          <w:color w:val="auto"/>
          <w:kern w:val="0"/>
          <w:sz w:val="24"/>
          <w:szCs w:val="24"/>
          <w:lang w:val="en-US" w:eastAsia="zh-CN" w:bidi="ar"/>
        </w:rPr>
        <w:t>故</w:t>
      </w:r>
      <w:r>
        <w:rPr>
          <w:rFonts w:hint="eastAsia" w:ascii="宋体" w:hAnsi="宋体" w:eastAsia="宋体" w:cs="宋体"/>
          <w:snapToGrid w:val="0"/>
          <w:color w:val="auto"/>
          <w:kern w:val="0"/>
          <w:sz w:val="24"/>
          <w:szCs w:val="24"/>
          <w:lang w:val="en-US" w:eastAsia="zh-CN" w:bidi="ar"/>
        </w:rPr>
        <w:t>施工期间未进行环境监测，经现场调查，本项目临时施工占地现已恢复</w:t>
      </w:r>
      <w:r>
        <w:rPr>
          <w:rFonts w:hint="eastAsia" w:ascii="宋体" w:hAnsi="宋体" w:cs="宋体"/>
          <w:snapToGrid w:val="0"/>
          <w:color w:val="auto"/>
          <w:kern w:val="0"/>
          <w:sz w:val="24"/>
          <w:szCs w:val="24"/>
          <w:lang w:val="en-US" w:eastAsia="zh-CN" w:bidi="ar"/>
        </w:rPr>
        <w:t>，无环境遗留问题</w:t>
      </w:r>
      <w:r>
        <w:rPr>
          <w:rFonts w:hint="eastAsia" w:ascii="宋体" w:hAnsi="宋体" w:eastAsia="宋体" w:cs="宋体"/>
          <w:snapToGrid w:val="0"/>
          <w:color w:val="auto"/>
          <w:kern w:val="0"/>
          <w:sz w:val="24"/>
          <w:szCs w:val="24"/>
          <w:lang w:val="en-US" w:eastAsia="zh-CN" w:bidi="ar"/>
        </w:rPr>
        <w:t>。</w:t>
      </w:r>
    </w:p>
    <w:p>
      <w:pPr>
        <w:pStyle w:val="5"/>
        <w:bidi w:val="0"/>
        <w:outlineLvl w:val="0"/>
        <w:rPr>
          <w:rFonts w:ascii="宋体" w:hAnsi="宋体" w:eastAsia="宋体" w:cs="宋体"/>
          <w:szCs w:val="24"/>
        </w:rPr>
      </w:pPr>
      <w:bookmarkStart w:id="123" w:name="_Toc25121"/>
      <w:r>
        <w:t>8.3运行期环境管理</w:t>
      </w:r>
      <w:bookmarkEnd w:id="123"/>
    </w:p>
    <w:p>
      <w:pPr>
        <w:bidi w:val="0"/>
      </w:pPr>
      <w:r>
        <w:t>运营期间，建设单位按照相关环境保护规定，主要做了以下方面的工作：组建了保洁专业队伍，负责枢纽区环卫工作，设置垃圾箱，定期清理处置；专人负责不定期巡查，防治水污染，保护河流水质；持续实施坝枢纽区绿化美化，以及不稳定边坡的防护等工作。</w:t>
      </w:r>
    </w:p>
    <w:p>
      <w:pPr>
        <w:pStyle w:val="5"/>
        <w:bidi w:val="0"/>
        <w:outlineLvl w:val="0"/>
      </w:pPr>
      <w:bookmarkStart w:id="124" w:name="_Toc12020"/>
      <w:r>
        <w:t>8.4环境监测计划落实情况调查</w:t>
      </w:r>
      <w:bookmarkEnd w:id="124"/>
    </w:p>
    <w:p>
      <w:pPr>
        <w:bidi w:val="0"/>
      </w:pPr>
      <w:r>
        <w:t>环评文件要求进行施工期环境监测，监测内容涉及生产、生活废水和水土保持。运行期结合本次竣工验收调查主要对公路涉及河流水质、环境空气进行了监测，对项目地生态恢复及水土保持作了调查。</w:t>
      </w:r>
    </w:p>
    <w:p>
      <w:pPr>
        <w:pStyle w:val="5"/>
        <w:bidi w:val="0"/>
        <w:outlineLvl w:val="0"/>
      </w:pPr>
      <w:bookmarkStart w:id="125" w:name="_Toc21751"/>
      <w:r>
        <w:t>8.5调查结果分析</w:t>
      </w:r>
      <w:bookmarkEnd w:id="125"/>
    </w:p>
    <w:p>
      <w:pPr>
        <w:bidi w:val="0"/>
      </w:pPr>
      <w:r>
        <w:t>调查结果表明：本工程认真执行了国家的环境影响评价制度、“三同时”制度，对施工期、试运行期全过程实行了环境管理，保证了本工程污染防治、生态保护措施得到了认真落实。同时，本工程按照环境影响报告书中的相关要求落实了运行期环境监测计划，进一步为环境管理提供了依据。工程施工期、至目前为止的运行期未发生环境污染事件，环境保护主管部门亦未收到相关环保投诉调查认为，本工程环境管理状况及监测计划落实情况较好，满足环评及环评批复中的相关要求。建设单位将继续完善企业内部环境管理制度，</w:t>
      </w:r>
    </w:p>
    <w:p>
      <w:pPr>
        <w:bidi w:val="0"/>
        <w:sectPr>
          <w:pgSz w:w="11906" w:h="16838"/>
          <w:pgMar w:top="1440" w:right="1800" w:bottom="1440" w:left="1800" w:header="992" w:footer="992" w:gutter="0"/>
          <w:pgBorders>
            <w:top w:val="none" w:sz="0" w:space="0"/>
            <w:left w:val="none" w:sz="0" w:space="0"/>
            <w:bottom w:val="none" w:sz="0" w:space="0"/>
            <w:right w:val="none" w:sz="0" w:space="0"/>
          </w:pgBorders>
          <w:pgNumType w:fmt="decimal"/>
          <w:cols w:space="425" w:num="1"/>
          <w:docGrid w:type="lines" w:linePitch="312" w:charSpace="0"/>
        </w:sectPr>
      </w:pPr>
      <w:r>
        <w:t>建立“环境意识”教育制度，不断提高职工的环境保护意识。</w:t>
      </w:r>
    </w:p>
    <w:p>
      <w:pPr>
        <w:pStyle w:val="4"/>
        <w:bidi w:val="0"/>
        <w:outlineLvl w:val="1"/>
      </w:pPr>
      <w:bookmarkStart w:id="126" w:name="_Toc23660"/>
      <w:r>
        <w:t>九 公众意见调查</w:t>
      </w:r>
      <w:bookmarkEnd w:id="126"/>
    </w:p>
    <w:p>
      <w:pPr>
        <w:pStyle w:val="5"/>
        <w:bidi w:val="0"/>
        <w:outlineLvl w:val="0"/>
      </w:pPr>
      <w:bookmarkStart w:id="127" w:name="_Toc15552"/>
      <w:r>
        <w:t>9.1调查目的</w:t>
      </w:r>
      <w:bookmarkEnd w:id="127"/>
    </w:p>
    <w:p>
      <w:pPr>
        <w:bidi w:val="0"/>
      </w:pPr>
      <w:r>
        <w:t>通过公众意见调查，核查设计、环评报告及环保部门批复对</w:t>
      </w:r>
      <w:r>
        <w:rPr>
          <w:rFonts w:hint="eastAsia"/>
          <w:lang w:val="en-US" w:eastAsia="zh-CN"/>
        </w:rPr>
        <w:t>开发区2017年基础设施建设项目配套道路及附属工程</w:t>
      </w:r>
      <w:r>
        <w:t>所提出的环保措施的落实情况，从受影响人群的角度评估工程施工期和试生产期对环境的影响程度及工程已采取环保措施的效果，以及工程施工期和试生产期对公众生活环境的影响程度，</w:t>
      </w:r>
    </w:p>
    <w:p>
      <w:pPr>
        <w:bidi w:val="0"/>
      </w:pPr>
      <w:r>
        <w:t>同时了解当地群众对工程环境保护工作的意见及建议，为改进工程环保措施提供依据。</w:t>
      </w:r>
    </w:p>
    <w:p>
      <w:pPr>
        <w:pStyle w:val="5"/>
        <w:bidi w:val="0"/>
        <w:outlineLvl w:val="0"/>
      </w:pPr>
      <w:bookmarkStart w:id="128" w:name="_Toc19995"/>
      <w:r>
        <w:t>9.2调查实施</w:t>
      </w:r>
      <w:bookmarkEnd w:id="128"/>
    </w:p>
    <w:p>
      <w:pPr>
        <w:pStyle w:val="6"/>
        <w:bidi w:val="0"/>
        <w:outlineLvl w:val="1"/>
      </w:pPr>
      <w:bookmarkStart w:id="129" w:name="_Toc32691"/>
      <w:r>
        <w:t>9.2.1调查范围和调查对象</w:t>
      </w:r>
      <w:bookmarkEnd w:id="129"/>
    </w:p>
    <w:p>
      <w:pPr>
        <w:keepNext w:val="0"/>
        <w:keepLines w:val="0"/>
        <w:widowControl/>
        <w:suppressLineNumbers w:val="0"/>
        <w:jc w:val="left"/>
      </w:pPr>
      <w:r>
        <w:t>公众意见调查范围为</w:t>
      </w:r>
      <w:r>
        <w:rPr>
          <w:rFonts w:hint="eastAsia"/>
          <w:lang w:val="en-US" w:eastAsia="zh-CN"/>
        </w:rPr>
        <w:t>开发区2017年基础设施建设项目配套道路及附属工程</w:t>
      </w:r>
      <w:r>
        <w:t>直接影响区，</w:t>
      </w:r>
      <w:r>
        <w:rPr>
          <w:rFonts w:hint="eastAsia" w:ascii="宋体" w:hAnsi="宋体" w:eastAsia="宋体" w:cs="宋体"/>
          <w:snapToGrid w:val="0"/>
          <w:color w:val="000000"/>
          <w:kern w:val="0"/>
          <w:sz w:val="24"/>
          <w:szCs w:val="24"/>
          <w:lang w:val="en-US" w:eastAsia="zh-CN" w:bidi="ar"/>
        </w:rPr>
        <w:t>调查对象以</w:t>
      </w:r>
      <w:r>
        <w:rPr>
          <w:rFonts w:hint="eastAsia" w:ascii="宋体" w:hAnsi="宋体" w:cs="宋体"/>
          <w:snapToGrid w:val="0"/>
          <w:color w:val="000000"/>
          <w:kern w:val="0"/>
          <w:sz w:val="24"/>
          <w:szCs w:val="24"/>
          <w:lang w:val="en-US" w:eastAsia="zh-CN" w:bidi="ar"/>
        </w:rPr>
        <w:t>项目</w:t>
      </w:r>
      <w:r>
        <w:rPr>
          <w:rFonts w:hint="eastAsia" w:ascii="宋体" w:hAnsi="宋体" w:eastAsia="宋体" w:cs="宋体"/>
          <w:snapToGrid w:val="0"/>
          <w:color w:val="000000"/>
          <w:kern w:val="0"/>
          <w:sz w:val="24"/>
          <w:szCs w:val="24"/>
          <w:lang w:val="en-US" w:eastAsia="zh-CN" w:bidi="ar"/>
        </w:rPr>
        <w:t>沿线直接受影响的居民。</w:t>
      </w:r>
    </w:p>
    <w:p>
      <w:pPr>
        <w:pStyle w:val="6"/>
        <w:bidi w:val="0"/>
        <w:outlineLvl w:val="1"/>
      </w:pPr>
      <w:bookmarkStart w:id="130" w:name="_Toc992"/>
      <w:r>
        <w:t>9.2.2调查方法</w:t>
      </w:r>
      <w:bookmarkEnd w:id="130"/>
    </w:p>
    <w:p>
      <w:pPr>
        <w:keepNext w:val="0"/>
        <w:keepLines w:val="0"/>
        <w:widowControl/>
        <w:suppressLineNumbers w:val="0"/>
        <w:jc w:val="left"/>
      </w:pPr>
      <w:r>
        <w:rPr>
          <w:rFonts w:hint="eastAsia" w:ascii="宋体" w:hAnsi="宋体" w:eastAsia="宋体" w:cs="宋体"/>
          <w:snapToGrid w:val="0"/>
          <w:color w:val="000000"/>
          <w:kern w:val="0"/>
          <w:sz w:val="24"/>
          <w:szCs w:val="24"/>
          <w:lang w:val="en-US" w:eastAsia="zh-CN" w:bidi="ar"/>
        </w:rPr>
        <w:t>本次公众意见调查方法主要以问卷调查方式与走访调查方式</w:t>
      </w:r>
      <w:r>
        <w:rPr>
          <w:rFonts w:hint="eastAsia" w:ascii="宋体" w:hAnsi="宋体" w:cs="宋体"/>
          <w:snapToGrid w:val="0"/>
          <w:color w:val="000000"/>
          <w:kern w:val="0"/>
          <w:sz w:val="24"/>
          <w:szCs w:val="24"/>
          <w:lang w:val="en-US" w:eastAsia="zh-CN" w:bidi="ar"/>
        </w:rPr>
        <w:t>相</w:t>
      </w:r>
      <w:r>
        <w:rPr>
          <w:rFonts w:hint="eastAsia" w:ascii="宋体" w:hAnsi="宋体" w:eastAsia="宋体" w:cs="宋体"/>
          <w:snapToGrid w:val="0"/>
          <w:color w:val="000000"/>
          <w:kern w:val="0"/>
          <w:sz w:val="24"/>
          <w:szCs w:val="24"/>
          <w:lang w:val="en-US" w:eastAsia="zh-CN" w:bidi="ar"/>
        </w:rPr>
        <w:t>结合。具体方式如下：</w:t>
      </w:r>
    </w:p>
    <w:p>
      <w:pPr>
        <w:keepNext w:val="0"/>
        <w:keepLines w:val="0"/>
        <w:widowControl/>
        <w:suppressLineNumbers w:val="0"/>
        <w:jc w:val="left"/>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）问卷调查方式：被调查对象根据不同人群按设定的沿线居民意见调查表或司乘人员意见调查表，采取划“√”方式作答。</w:t>
      </w:r>
    </w:p>
    <w:p>
      <w:pPr>
        <w:keepNext w:val="0"/>
        <w:keepLines w:val="0"/>
        <w:widowControl/>
        <w:suppressLineNumbers w:val="0"/>
        <w:jc w:val="left"/>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2</w:t>
      </w:r>
      <w:r>
        <w:rPr>
          <w:rFonts w:hint="eastAsia" w:ascii="宋体" w:hAnsi="宋体" w:eastAsia="宋体" w:cs="宋体"/>
          <w:snapToGrid w:val="0"/>
          <w:color w:val="000000"/>
          <w:kern w:val="0"/>
          <w:sz w:val="24"/>
          <w:szCs w:val="24"/>
          <w:lang w:val="en-US" w:eastAsia="zh-CN" w:bidi="ar"/>
        </w:rPr>
        <w:t>）走访问询：以咨询询问调查方式，重点对道路沿线直接受影响的居民及过往司乘人员以访问的形式进行调查；咨询当地有关行政主管部门，了解工程施工期和试运营期对敏感目标的影响程度及有无环境投诉情况。</w:t>
      </w:r>
    </w:p>
    <w:p>
      <w:pPr>
        <w:pStyle w:val="6"/>
        <w:bidi w:val="0"/>
        <w:outlineLvl w:val="1"/>
        <w:rPr>
          <w:rFonts w:hint="eastAsia" w:eastAsia="宋体"/>
          <w:lang w:val="en-US" w:eastAsia="zh-CN"/>
        </w:rPr>
      </w:pPr>
      <w:bookmarkStart w:id="131" w:name="_Toc3760"/>
      <w:r>
        <w:t>9.2.3调查</w:t>
      </w:r>
      <w:r>
        <w:rPr>
          <w:rFonts w:hint="eastAsia"/>
          <w:lang w:val="en-US" w:eastAsia="zh-CN"/>
        </w:rPr>
        <w:t>内容</w:t>
      </w:r>
      <w:bookmarkEnd w:id="131"/>
    </w:p>
    <w:p>
      <w:pPr>
        <w:keepNext w:val="0"/>
        <w:keepLines w:val="0"/>
        <w:widowControl/>
        <w:suppressLineNumbers w:val="0"/>
        <w:jc w:val="left"/>
        <w:outlineLvl w:val="2"/>
      </w:pPr>
      <w:bookmarkStart w:id="132" w:name="_Toc16810"/>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）沿线居民意见调查表</w:t>
      </w:r>
      <w:bookmarkEnd w:id="132"/>
    </w:p>
    <w:p>
      <w:pPr>
        <w:keepNext w:val="0"/>
        <w:keepLines w:val="0"/>
        <w:widowControl/>
        <w:suppressLineNumbers w:val="0"/>
        <w:jc w:val="left"/>
      </w:pPr>
      <w:r>
        <w:rPr>
          <w:rFonts w:hint="eastAsia" w:ascii="宋体" w:hAnsi="宋体" w:eastAsia="宋体" w:cs="宋体"/>
          <w:snapToGrid w:val="0"/>
          <w:color w:val="000000"/>
          <w:kern w:val="0"/>
          <w:sz w:val="24"/>
          <w:szCs w:val="24"/>
          <w:lang w:val="en-US" w:eastAsia="zh-CN" w:bidi="ar"/>
        </w:rPr>
        <w:t>沿线居民意见调查表及内容见下表。</w:t>
      </w:r>
    </w:p>
    <w:p>
      <w:pPr>
        <w:pStyle w:val="16"/>
        <w:bidi w:val="0"/>
        <w:rPr>
          <w:rFonts w:hint="default" w:eastAsia="宋体"/>
          <w:lang w:val="en-US" w:eastAsia="zh-CN"/>
        </w:rPr>
      </w:pPr>
      <w:r>
        <w:t>表9-1</w:t>
      </w:r>
      <w:r>
        <w:rPr>
          <w:rFonts w:hint="eastAsia"/>
          <w:lang w:val="en-US" w:eastAsia="zh-CN"/>
        </w:rPr>
        <w:t xml:space="preserve"> </w:t>
      </w:r>
      <w:r>
        <w:t xml:space="preserve"> </w:t>
      </w:r>
      <w:r>
        <w:rPr>
          <w:rFonts w:hint="eastAsia"/>
          <w:lang w:val="en-US" w:eastAsia="zh-CN"/>
        </w:rPr>
        <w:t>沿线居民意见调查表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2"/>
        <w:gridCol w:w="1222"/>
        <w:gridCol w:w="522"/>
        <w:gridCol w:w="235"/>
        <w:gridCol w:w="862"/>
        <w:gridCol w:w="600"/>
        <w:gridCol w:w="355"/>
        <w:gridCol w:w="683"/>
        <w:gridCol w:w="631"/>
        <w:gridCol w:w="1060"/>
        <w:gridCol w:w="12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Align w:val="center"/>
          </w:tcPr>
          <w:p>
            <w:pPr>
              <w:pStyle w:val="18"/>
              <w:widowControl w:val="0"/>
              <w:bidi w:val="0"/>
              <w:rPr>
                <w:rFonts w:hint="default"/>
                <w:lang w:val="en-US" w:eastAsia="zh-CN"/>
              </w:rPr>
            </w:pPr>
            <w:r>
              <w:rPr>
                <w:rFonts w:hint="eastAsia"/>
                <w:lang w:val="en-US" w:eastAsia="zh-CN"/>
              </w:rPr>
              <w:t>工程概况</w:t>
            </w:r>
          </w:p>
        </w:tc>
        <w:tc>
          <w:tcPr>
            <w:tcW w:w="4376" w:type="pct"/>
            <w:gridSpan w:val="10"/>
            <w:vAlign w:val="center"/>
          </w:tcPr>
          <w:p>
            <w:pPr>
              <w:pStyle w:val="18"/>
              <w:widowControl w:val="0"/>
              <w:bidi w:val="0"/>
            </w:pPr>
            <w:r>
              <w:rPr>
                <w:rFonts w:hint="eastAsia"/>
                <w:lang w:val="en-US" w:eastAsia="zh-CN"/>
              </w:rPr>
              <w:t>建设单位：新疆润盛投资发展有限公司</w:t>
            </w:r>
          </w:p>
          <w:p>
            <w:pPr>
              <w:pStyle w:val="18"/>
              <w:widowControl w:val="0"/>
              <w:bidi w:val="0"/>
            </w:pPr>
            <w:r>
              <w:rPr>
                <w:rFonts w:hint="eastAsia"/>
                <w:lang w:val="en-US" w:eastAsia="zh-CN"/>
              </w:rPr>
              <w:t>建设地点：项目位于奎屯市开发区内</w:t>
            </w:r>
          </w:p>
          <w:p>
            <w:pPr>
              <w:pStyle w:val="18"/>
              <w:widowControl w:val="0"/>
              <w:bidi w:val="0"/>
              <w:rPr>
                <w:rFonts w:hint="eastAsia"/>
                <w:lang w:eastAsia="zh-CN"/>
              </w:rPr>
            </w:pPr>
            <w:r>
              <w:rPr>
                <w:rFonts w:hint="eastAsia"/>
                <w:lang w:val="en-US" w:eastAsia="zh-CN"/>
              </w:rPr>
              <w:t>项目规模及组成：</w:t>
            </w:r>
            <w:r>
              <w:rPr>
                <w:rFonts w:hint="default"/>
              </w:rPr>
              <w:t>本项目建设道路总长度17.39km，属道路新建、改扩建项目，其中新建、改扩建道路各3条</w:t>
            </w:r>
            <w:r>
              <w:rPr>
                <w:rFonts w:hint="eastAsia"/>
                <w:lang w:eastAsia="zh-CN"/>
              </w:rPr>
              <w:t>。</w:t>
            </w:r>
          </w:p>
          <w:p>
            <w:pPr>
              <w:pStyle w:val="18"/>
              <w:widowControl w:val="0"/>
              <w:bidi w:val="0"/>
              <w:rPr>
                <w:rFonts w:hint="default"/>
                <w:lang w:val="en-US" w:eastAsia="zh-CN"/>
              </w:rPr>
            </w:pPr>
            <w:r>
              <w:rPr>
                <w:rFonts w:hint="eastAsia"/>
                <w:lang w:val="en-US" w:eastAsia="zh-CN"/>
              </w:rPr>
              <w:t>项目实际总投资23300万元。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restart"/>
            <w:vAlign w:val="center"/>
          </w:tcPr>
          <w:p>
            <w:pPr>
              <w:pStyle w:val="18"/>
              <w:widowControl w:val="0"/>
              <w:bidi w:val="0"/>
              <w:rPr>
                <w:rFonts w:hint="default"/>
                <w:lang w:val="en-US" w:eastAsia="zh-CN"/>
              </w:rPr>
            </w:pPr>
            <w:r>
              <w:rPr>
                <w:rFonts w:hint="eastAsia"/>
                <w:lang w:val="en-US" w:eastAsia="zh-CN"/>
              </w:rPr>
              <w:t>基本情况</w:t>
            </w:r>
          </w:p>
        </w:tc>
        <w:tc>
          <w:tcPr>
            <w:tcW w:w="717" w:type="pct"/>
            <w:vAlign w:val="center"/>
          </w:tcPr>
          <w:p>
            <w:pPr>
              <w:pStyle w:val="18"/>
              <w:widowControl w:val="0"/>
              <w:bidi w:val="0"/>
              <w:rPr>
                <w:rFonts w:hint="default"/>
                <w:lang w:val="en-US" w:eastAsia="zh-CN"/>
              </w:rPr>
            </w:pPr>
            <w:r>
              <w:rPr>
                <w:rFonts w:hint="eastAsia"/>
                <w:lang w:val="en-US" w:eastAsia="zh-CN"/>
              </w:rPr>
              <w:t>姓名</w:t>
            </w:r>
          </w:p>
        </w:tc>
        <w:tc>
          <w:tcPr>
            <w:tcW w:w="444" w:type="pct"/>
            <w:gridSpan w:val="2"/>
            <w:vAlign w:val="center"/>
          </w:tcPr>
          <w:p>
            <w:pPr>
              <w:pStyle w:val="18"/>
              <w:widowControl w:val="0"/>
              <w:bidi w:val="0"/>
              <w:rPr>
                <w:rFonts w:hint="default"/>
                <w:lang w:val="en-US" w:eastAsia="zh-CN"/>
              </w:rPr>
            </w:pPr>
          </w:p>
        </w:tc>
        <w:tc>
          <w:tcPr>
            <w:tcW w:w="505" w:type="pct"/>
            <w:vAlign w:val="center"/>
          </w:tcPr>
          <w:p>
            <w:pPr>
              <w:pStyle w:val="18"/>
              <w:widowControl w:val="0"/>
              <w:bidi w:val="0"/>
              <w:rPr>
                <w:rFonts w:hint="default"/>
                <w:lang w:val="en-US" w:eastAsia="zh-CN"/>
              </w:rPr>
            </w:pPr>
            <w:r>
              <w:rPr>
                <w:rFonts w:hint="eastAsia"/>
                <w:lang w:val="en-US" w:eastAsia="zh-CN"/>
              </w:rPr>
              <w:t>年龄</w:t>
            </w:r>
          </w:p>
        </w:tc>
        <w:tc>
          <w:tcPr>
            <w:tcW w:w="352" w:type="pct"/>
            <w:vAlign w:val="center"/>
          </w:tcPr>
          <w:p>
            <w:pPr>
              <w:pStyle w:val="18"/>
              <w:widowControl w:val="0"/>
              <w:bidi w:val="0"/>
              <w:rPr>
                <w:rFonts w:hint="default"/>
                <w:lang w:val="en-US" w:eastAsia="zh-CN"/>
              </w:rPr>
            </w:pPr>
          </w:p>
        </w:tc>
        <w:tc>
          <w:tcPr>
            <w:tcW w:w="609" w:type="pct"/>
            <w:gridSpan w:val="2"/>
            <w:vAlign w:val="center"/>
          </w:tcPr>
          <w:p>
            <w:pPr>
              <w:pStyle w:val="18"/>
              <w:widowControl w:val="0"/>
              <w:bidi w:val="0"/>
              <w:rPr>
                <w:rFonts w:hint="default"/>
                <w:lang w:val="en-US" w:eastAsia="zh-CN"/>
              </w:rPr>
            </w:pPr>
            <w:r>
              <w:rPr>
                <w:rFonts w:hint="eastAsia"/>
                <w:lang w:val="en-US" w:eastAsia="zh-CN"/>
              </w:rPr>
              <w:t>民族</w:t>
            </w:r>
          </w:p>
        </w:tc>
        <w:tc>
          <w:tcPr>
            <w:tcW w:w="370" w:type="pct"/>
            <w:vAlign w:val="center"/>
          </w:tcPr>
          <w:p>
            <w:pPr>
              <w:pStyle w:val="18"/>
              <w:widowControl w:val="0"/>
              <w:bidi w:val="0"/>
              <w:rPr>
                <w:rFonts w:hint="default"/>
                <w:lang w:val="en-US" w:eastAsia="zh-CN"/>
              </w:rPr>
            </w:pPr>
          </w:p>
        </w:tc>
        <w:tc>
          <w:tcPr>
            <w:tcW w:w="621" w:type="pct"/>
            <w:vAlign w:val="center"/>
          </w:tcPr>
          <w:p>
            <w:pPr>
              <w:pStyle w:val="18"/>
              <w:widowControl w:val="0"/>
              <w:bidi w:val="0"/>
              <w:rPr>
                <w:rFonts w:hint="default"/>
                <w:lang w:val="en-US" w:eastAsia="zh-CN"/>
              </w:rPr>
            </w:pPr>
            <w:r>
              <w:rPr>
                <w:rFonts w:hint="eastAsia"/>
                <w:lang w:val="en-US" w:eastAsia="zh-CN"/>
              </w:rPr>
              <w:t>文化程度</w:t>
            </w: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continue"/>
            <w:vAlign w:val="center"/>
          </w:tcPr>
          <w:p>
            <w:pPr>
              <w:pStyle w:val="18"/>
              <w:widowControl w:val="0"/>
              <w:bidi w:val="0"/>
              <w:rPr>
                <w:rFonts w:hint="default"/>
                <w:lang w:val="en-US" w:eastAsia="zh-CN"/>
              </w:rPr>
            </w:pPr>
          </w:p>
        </w:tc>
        <w:tc>
          <w:tcPr>
            <w:tcW w:w="1666" w:type="pct"/>
            <w:gridSpan w:val="4"/>
            <w:vAlign w:val="center"/>
          </w:tcPr>
          <w:p>
            <w:pPr>
              <w:pStyle w:val="18"/>
              <w:widowControl w:val="0"/>
              <w:bidi w:val="0"/>
              <w:rPr>
                <w:rFonts w:hint="default"/>
                <w:lang w:val="en-US" w:eastAsia="zh-CN"/>
              </w:rPr>
            </w:pPr>
            <w:r>
              <w:rPr>
                <w:rFonts w:hint="eastAsia"/>
                <w:lang w:val="en-US" w:eastAsia="zh-CN"/>
              </w:rPr>
              <w:t>与本项目的关系</w:t>
            </w:r>
          </w:p>
        </w:tc>
        <w:tc>
          <w:tcPr>
            <w:tcW w:w="961" w:type="pct"/>
            <w:gridSpan w:val="3"/>
            <w:vAlign w:val="center"/>
          </w:tcPr>
          <w:p>
            <w:pPr>
              <w:pStyle w:val="18"/>
              <w:widowControl w:val="0"/>
              <w:bidi w:val="0"/>
              <w:rPr>
                <w:rFonts w:hint="default"/>
                <w:lang w:val="en-US" w:eastAsia="zh-CN"/>
              </w:rPr>
            </w:pPr>
            <w:r>
              <w:rPr>
                <w:rFonts w:hint="eastAsia"/>
                <w:lang w:val="en-US" w:eastAsia="zh-CN"/>
              </w:rPr>
              <w:t>拆迁户（）征地户（）</w:t>
            </w:r>
          </w:p>
        </w:tc>
        <w:tc>
          <w:tcPr>
            <w:tcW w:w="992" w:type="pct"/>
            <w:gridSpan w:val="2"/>
            <w:vAlign w:val="center"/>
          </w:tcPr>
          <w:p>
            <w:pPr>
              <w:pStyle w:val="18"/>
              <w:widowControl w:val="0"/>
              <w:bidi w:val="0"/>
              <w:rPr>
                <w:rFonts w:hint="default"/>
                <w:lang w:val="en-US" w:eastAsia="zh-CN"/>
              </w:rPr>
            </w:pPr>
            <w:r>
              <w:rPr>
                <w:rFonts w:hint="eastAsia"/>
                <w:lang w:val="en-US" w:eastAsia="zh-CN"/>
              </w:rPr>
              <w:t>无直接关系</w:t>
            </w: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continue"/>
            <w:vAlign w:val="center"/>
          </w:tcPr>
          <w:p>
            <w:pPr>
              <w:pStyle w:val="18"/>
              <w:widowControl w:val="0"/>
              <w:bidi w:val="0"/>
              <w:rPr>
                <w:rFonts w:hint="default"/>
                <w:lang w:val="en-US" w:eastAsia="zh-CN"/>
              </w:rPr>
            </w:pPr>
          </w:p>
        </w:tc>
        <w:tc>
          <w:tcPr>
            <w:tcW w:w="1022" w:type="pct"/>
            <w:gridSpan w:val="2"/>
            <w:vAlign w:val="center"/>
          </w:tcPr>
          <w:p>
            <w:pPr>
              <w:pStyle w:val="18"/>
              <w:widowControl w:val="0"/>
              <w:bidi w:val="0"/>
              <w:rPr>
                <w:rFonts w:hint="default"/>
                <w:lang w:val="en-US" w:eastAsia="zh-CN"/>
              </w:rPr>
            </w:pPr>
            <w:r>
              <w:rPr>
                <w:rFonts w:hint="eastAsia"/>
                <w:lang w:val="en-US" w:eastAsia="zh-CN"/>
              </w:rPr>
              <w:t>单位或住址</w:t>
            </w:r>
          </w:p>
        </w:tc>
        <w:tc>
          <w:tcPr>
            <w:tcW w:w="644" w:type="pct"/>
            <w:gridSpan w:val="2"/>
            <w:vAlign w:val="center"/>
          </w:tcPr>
          <w:p>
            <w:pPr>
              <w:pStyle w:val="18"/>
              <w:widowControl w:val="0"/>
              <w:bidi w:val="0"/>
              <w:rPr>
                <w:rFonts w:hint="default"/>
                <w:lang w:val="en-US" w:eastAsia="zh-CN"/>
              </w:rPr>
            </w:pPr>
          </w:p>
        </w:tc>
        <w:tc>
          <w:tcPr>
            <w:tcW w:w="560" w:type="pct"/>
            <w:gridSpan w:val="2"/>
            <w:vAlign w:val="center"/>
          </w:tcPr>
          <w:p>
            <w:pPr>
              <w:pStyle w:val="18"/>
              <w:widowControl w:val="0"/>
              <w:bidi w:val="0"/>
              <w:rPr>
                <w:rFonts w:hint="default"/>
                <w:lang w:val="en-US" w:eastAsia="zh-CN"/>
              </w:rPr>
            </w:pPr>
            <w:r>
              <w:rPr>
                <w:rFonts w:hint="eastAsia"/>
                <w:lang w:val="en-US" w:eastAsia="zh-CN"/>
              </w:rPr>
              <w:t>职务</w:t>
            </w:r>
          </w:p>
        </w:tc>
        <w:tc>
          <w:tcPr>
            <w:tcW w:w="400" w:type="pct"/>
            <w:vAlign w:val="center"/>
          </w:tcPr>
          <w:p>
            <w:pPr>
              <w:pStyle w:val="18"/>
              <w:widowControl w:val="0"/>
              <w:bidi w:val="0"/>
              <w:rPr>
                <w:rFonts w:hint="eastAsia"/>
                <w:lang w:val="en-US" w:eastAsia="zh-CN"/>
              </w:rPr>
            </w:pPr>
          </w:p>
        </w:tc>
        <w:tc>
          <w:tcPr>
            <w:tcW w:w="992" w:type="pct"/>
            <w:gridSpan w:val="2"/>
            <w:vAlign w:val="center"/>
          </w:tcPr>
          <w:p>
            <w:pPr>
              <w:pStyle w:val="18"/>
              <w:widowControl w:val="0"/>
              <w:bidi w:val="0"/>
              <w:rPr>
                <w:rFonts w:hint="eastAsia"/>
                <w:lang w:val="en-US" w:eastAsia="zh-CN"/>
              </w:rPr>
            </w:pPr>
            <w:r>
              <w:rPr>
                <w:rFonts w:hint="eastAsia"/>
                <w:lang w:val="en-US" w:eastAsia="zh-CN"/>
              </w:rPr>
              <w:t>职业</w:t>
            </w: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Align w:val="center"/>
          </w:tcPr>
          <w:p>
            <w:pPr>
              <w:pStyle w:val="18"/>
              <w:widowControl w:val="0"/>
              <w:bidi w:val="0"/>
              <w:rPr>
                <w:rFonts w:hint="default"/>
                <w:lang w:val="en-US" w:eastAsia="zh-CN"/>
              </w:rPr>
            </w:pPr>
            <w:r>
              <w:rPr>
                <w:rFonts w:hint="eastAsia"/>
                <w:lang w:val="en-US" w:eastAsia="zh-CN"/>
              </w:rPr>
              <w:t>基本态度</w:t>
            </w:r>
          </w:p>
        </w:tc>
        <w:tc>
          <w:tcPr>
            <w:tcW w:w="1022" w:type="pct"/>
            <w:gridSpan w:val="2"/>
            <w:vAlign w:val="center"/>
          </w:tcPr>
          <w:p>
            <w:pPr>
              <w:pStyle w:val="18"/>
              <w:widowControl w:val="0"/>
              <w:bidi w:val="0"/>
              <w:rPr>
                <w:rFonts w:hint="default"/>
                <w:lang w:val="en-US" w:eastAsia="zh-CN"/>
              </w:rPr>
            </w:pPr>
            <w:r>
              <w:rPr>
                <w:rFonts w:hint="eastAsia"/>
                <w:lang w:val="en-US" w:eastAsia="zh-CN"/>
              </w:rPr>
              <w:t>修建该公路是否有利于本地区的经济发展</w:t>
            </w:r>
          </w:p>
        </w:tc>
        <w:tc>
          <w:tcPr>
            <w:tcW w:w="644" w:type="pct"/>
            <w:gridSpan w:val="2"/>
            <w:vAlign w:val="center"/>
          </w:tcPr>
          <w:p>
            <w:pPr>
              <w:pStyle w:val="18"/>
              <w:widowControl w:val="0"/>
              <w:bidi w:val="0"/>
              <w:rPr>
                <w:rFonts w:hint="eastAsia"/>
                <w:lang w:val="en-US" w:eastAsia="zh-CN"/>
              </w:rPr>
            </w:pPr>
            <w:r>
              <w:rPr>
                <w:rFonts w:hint="eastAsia"/>
                <w:lang w:val="en-US" w:eastAsia="zh-CN"/>
              </w:rPr>
              <w:t>有利（）</w:t>
            </w:r>
          </w:p>
        </w:tc>
        <w:tc>
          <w:tcPr>
            <w:tcW w:w="961" w:type="pct"/>
            <w:gridSpan w:val="3"/>
            <w:vAlign w:val="center"/>
          </w:tcPr>
          <w:p>
            <w:pPr>
              <w:pStyle w:val="18"/>
              <w:widowControl w:val="0"/>
              <w:bidi w:val="0"/>
              <w:rPr>
                <w:rFonts w:hint="default"/>
                <w:lang w:val="en-US" w:eastAsia="zh-CN"/>
              </w:rPr>
            </w:pPr>
            <w:r>
              <w:rPr>
                <w:rFonts w:hint="eastAsia"/>
                <w:lang w:val="en-US" w:eastAsia="zh-CN"/>
              </w:rPr>
              <w:t>不利（）</w:t>
            </w:r>
          </w:p>
        </w:tc>
        <w:tc>
          <w:tcPr>
            <w:tcW w:w="992" w:type="pct"/>
            <w:gridSpan w:val="2"/>
            <w:vAlign w:val="center"/>
          </w:tcPr>
          <w:p>
            <w:pPr>
              <w:pStyle w:val="18"/>
              <w:widowControl w:val="0"/>
              <w:bidi w:val="0"/>
              <w:rPr>
                <w:rFonts w:hint="default"/>
                <w:lang w:val="en-US" w:eastAsia="zh-CN"/>
              </w:rPr>
            </w:pPr>
            <w:r>
              <w:rPr>
                <w:rFonts w:hint="eastAsia"/>
                <w:lang w:val="en-US" w:eastAsia="zh-CN"/>
              </w:rPr>
              <w:t>不知道（）</w:t>
            </w: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restart"/>
            <w:vAlign w:val="center"/>
          </w:tcPr>
          <w:p>
            <w:pPr>
              <w:pStyle w:val="18"/>
              <w:widowControl w:val="0"/>
              <w:bidi w:val="0"/>
              <w:rPr>
                <w:rFonts w:hint="default"/>
                <w:lang w:val="en-US" w:eastAsia="zh-CN"/>
              </w:rPr>
            </w:pPr>
            <w:r>
              <w:rPr>
                <w:rFonts w:hint="eastAsia"/>
                <w:lang w:val="en-US" w:eastAsia="zh-CN"/>
              </w:rPr>
              <w:t>施工期</w:t>
            </w:r>
          </w:p>
        </w:tc>
        <w:tc>
          <w:tcPr>
            <w:tcW w:w="1022" w:type="pct"/>
            <w:gridSpan w:val="2"/>
            <w:vAlign w:val="center"/>
          </w:tcPr>
          <w:p>
            <w:pPr>
              <w:pStyle w:val="18"/>
              <w:widowControl w:val="0"/>
              <w:bidi w:val="0"/>
              <w:rPr>
                <w:rFonts w:hint="default"/>
                <w:lang w:val="en-US" w:eastAsia="zh-CN"/>
              </w:rPr>
            </w:pPr>
            <w:r>
              <w:rPr>
                <w:rFonts w:hint="eastAsia"/>
                <w:lang w:val="en-US" w:eastAsia="zh-CN"/>
              </w:rPr>
              <w:t>施工期对您影响最大的方面是什么</w:t>
            </w:r>
          </w:p>
        </w:tc>
        <w:tc>
          <w:tcPr>
            <w:tcW w:w="644" w:type="pct"/>
            <w:gridSpan w:val="2"/>
            <w:vAlign w:val="center"/>
          </w:tcPr>
          <w:p>
            <w:pPr>
              <w:pStyle w:val="18"/>
              <w:widowControl w:val="0"/>
              <w:bidi w:val="0"/>
              <w:rPr>
                <w:rFonts w:hint="eastAsia"/>
                <w:lang w:val="en-US" w:eastAsia="zh-CN"/>
              </w:rPr>
            </w:pPr>
            <w:r>
              <w:rPr>
                <w:rFonts w:hint="eastAsia"/>
                <w:lang w:val="en-US" w:eastAsia="zh-CN"/>
              </w:rPr>
              <w:t>噪声（）</w:t>
            </w:r>
          </w:p>
        </w:tc>
        <w:tc>
          <w:tcPr>
            <w:tcW w:w="961" w:type="pct"/>
            <w:gridSpan w:val="3"/>
            <w:vAlign w:val="center"/>
          </w:tcPr>
          <w:p>
            <w:pPr>
              <w:pStyle w:val="18"/>
              <w:widowControl w:val="0"/>
              <w:bidi w:val="0"/>
              <w:rPr>
                <w:rFonts w:hint="default"/>
                <w:lang w:val="en-US" w:eastAsia="zh-CN"/>
              </w:rPr>
            </w:pPr>
            <w:r>
              <w:rPr>
                <w:rFonts w:hint="eastAsia"/>
                <w:lang w:val="en-US" w:eastAsia="zh-CN"/>
              </w:rPr>
              <w:t>灰尘（）</w:t>
            </w:r>
          </w:p>
        </w:tc>
        <w:tc>
          <w:tcPr>
            <w:tcW w:w="992" w:type="pct"/>
            <w:gridSpan w:val="2"/>
            <w:vAlign w:val="center"/>
          </w:tcPr>
          <w:p>
            <w:pPr>
              <w:pStyle w:val="18"/>
              <w:widowControl w:val="0"/>
              <w:bidi w:val="0"/>
              <w:rPr>
                <w:rFonts w:hint="default"/>
                <w:lang w:val="en-US" w:eastAsia="zh-CN"/>
              </w:rPr>
            </w:pPr>
            <w:r>
              <w:rPr>
                <w:rFonts w:hint="eastAsia"/>
                <w:lang w:val="en-US" w:eastAsia="zh-CN"/>
              </w:rPr>
              <w:t>灌溉泄洪（）</w:t>
            </w:r>
          </w:p>
        </w:tc>
        <w:tc>
          <w:tcPr>
            <w:tcW w:w="756" w:type="pct"/>
            <w:vAlign w:val="center"/>
          </w:tcPr>
          <w:p>
            <w:pPr>
              <w:pStyle w:val="18"/>
              <w:widowControl w:val="0"/>
              <w:bidi w:val="0"/>
              <w:rPr>
                <w:rFonts w:hint="default"/>
                <w:lang w:val="en-US" w:eastAsia="zh-CN"/>
              </w:rPr>
            </w:pPr>
            <w:r>
              <w:rPr>
                <w:rFonts w:hint="eastAsia"/>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continue"/>
            <w:vAlign w:val="center"/>
          </w:tcPr>
          <w:p>
            <w:pPr>
              <w:pStyle w:val="18"/>
              <w:widowControl w:val="0"/>
              <w:bidi w:val="0"/>
              <w:rPr>
                <w:rFonts w:hint="default"/>
                <w:lang w:val="en-US" w:eastAsia="zh-CN"/>
              </w:rPr>
            </w:pPr>
          </w:p>
        </w:tc>
        <w:tc>
          <w:tcPr>
            <w:tcW w:w="1022" w:type="pct"/>
            <w:gridSpan w:val="2"/>
            <w:vAlign w:val="center"/>
          </w:tcPr>
          <w:p>
            <w:pPr>
              <w:pStyle w:val="18"/>
              <w:widowControl w:val="0"/>
              <w:bidi w:val="0"/>
              <w:rPr>
                <w:rFonts w:hint="default"/>
                <w:lang w:val="en-US" w:eastAsia="zh-CN"/>
              </w:rPr>
            </w:pPr>
            <w:r>
              <w:rPr>
                <w:rFonts w:hint="eastAsia"/>
                <w:lang w:val="en-US" w:eastAsia="zh-CN"/>
              </w:rPr>
              <w:t>施工期是否对河流产生污染</w:t>
            </w:r>
          </w:p>
        </w:tc>
        <w:tc>
          <w:tcPr>
            <w:tcW w:w="644" w:type="pct"/>
            <w:gridSpan w:val="2"/>
            <w:vAlign w:val="center"/>
          </w:tcPr>
          <w:p>
            <w:pPr>
              <w:pStyle w:val="18"/>
              <w:widowControl w:val="0"/>
              <w:bidi w:val="0"/>
              <w:rPr>
                <w:rFonts w:hint="default"/>
                <w:lang w:val="en-US" w:eastAsia="zh-CN"/>
              </w:rPr>
            </w:pPr>
            <w:r>
              <w:rPr>
                <w:rFonts w:hint="eastAsia"/>
                <w:lang w:val="en-US" w:eastAsia="zh-CN"/>
              </w:rPr>
              <w:t>是（）</w:t>
            </w:r>
          </w:p>
        </w:tc>
        <w:tc>
          <w:tcPr>
            <w:tcW w:w="961" w:type="pct"/>
            <w:gridSpan w:val="3"/>
            <w:vAlign w:val="center"/>
          </w:tcPr>
          <w:p>
            <w:pPr>
              <w:pStyle w:val="18"/>
              <w:widowControl w:val="0"/>
              <w:bidi w:val="0"/>
              <w:rPr>
                <w:rFonts w:hint="default"/>
                <w:lang w:val="en-US" w:eastAsia="zh-CN"/>
              </w:rPr>
            </w:pPr>
            <w:r>
              <w:rPr>
                <w:rFonts w:hint="eastAsia"/>
                <w:lang w:val="en-US" w:eastAsia="zh-CN"/>
              </w:rPr>
              <w:t>否（）</w:t>
            </w:r>
          </w:p>
        </w:tc>
        <w:tc>
          <w:tcPr>
            <w:tcW w:w="992" w:type="pct"/>
            <w:gridSpan w:val="2"/>
            <w:vAlign w:val="center"/>
          </w:tcPr>
          <w:p>
            <w:pPr>
              <w:pStyle w:val="18"/>
              <w:widowControl w:val="0"/>
              <w:bidi w:val="0"/>
              <w:rPr>
                <w:rFonts w:hint="default"/>
                <w:lang w:val="en-US" w:eastAsia="zh-CN"/>
              </w:rPr>
            </w:pPr>
            <w:r>
              <w:rPr>
                <w:rFonts w:hint="eastAsia"/>
                <w:lang w:val="en-US" w:eastAsia="zh-CN"/>
              </w:rPr>
              <w:t>不知道（）</w:t>
            </w: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continue"/>
            <w:vAlign w:val="center"/>
          </w:tcPr>
          <w:p>
            <w:pPr>
              <w:pStyle w:val="18"/>
              <w:widowControl w:val="0"/>
              <w:bidi w:val="0"/>
              <w:rPr>
                <w:rFonts w:hint="default"/>
                <w:lang w:val="en-US" w:eastAsia="zh-CN"/>
              </w:rPr>
            </w:pPr>
          </w:p>
        </w:tc>
        <w:tc>
          <w:tcPr>
            <w:tcW w:w="1022" w:type="pct"/>
            <w:gridSpan w:val="2"/>
            <w:vAlign w:val="center"/>
          </w:tcPr>
          <w:p>
            <w:pPr>
              <w:pStyle w:val="18"/>
              <w:widowControl w:val="0"/>
              <w:bidi w:val="0"/>
              <w:rPr>
                <w:rFonts w:hint="default"/>
                <w:lang w:val="en-US" w:eastAsia="zh-CN"/>
              </w:rPr>
            </w:pPr>
            <w:r>
              <w:rPr>
                <w:rFonts w:hint="eastAsia"/>
                <w:lang w:val="en-US" w:eastAsia="zh-CN"/>
              </w:rPr>
              <w:t>居民区附近</w:t>
            </w:r>
            <w:r>
              <w:rPr>
                <w:rFonts w:hint="default"/>
                <w:lang w:val="en-US" w:eastAsia="zh-CN"/>
              </w:rPr>
              <w:t>150m</w:t>
            </w:r>
            <w:r>
              <w:rPr>
                <w:rFonts w:hint="eastAsia"/>
                <w:lang w:val="en-US" w:eastAsia="zh-CN"/>
              </w:rPr>
              <w:t>内，是否曾设有料场或搅拌站</w:t>
            </w:r>
          </w:p>
        </w:tc>
        <w:tc>
          <w:tcPr>
            <w:tcW w:w="644" w:type="pct"/>
            <w:gridSpan w:val="2"/>
            <w:vAlign w:val="center"/>
          </w:tcPr>
          <w:p>
            <w:pPr>
              <w:pStyle w:val="18"/>
              <w:widowControl w:val="0"/>
              <w:bidi w:val="0"/>
              <w:rPr>
                <w:rFonts w:hint="default"/>
                <w:lang w:val="en-US" w:eastAsia="zh-CN"/>
              </w:rPr>
            </w:pPr>
            <w:r>
              <w:rPr>
                <w:rFonts w:hint="eastAsia"/>
                <w:lang w:val="en-US" w:eastAsia="zh-CN"/>
              </w:rPr>
              <w:t>有（）</w:t>
            </w:r>
          </w:p>
        </w:tc>
        <w:tc>
          <w:tcPr>
            <w:tcW w:w="961" w:type="pct"/>
            <w:gridSpan w:val="3"/>
            <w:vAlign w:val="center"/>
          </w:tcPr>
          <w:p>
            <w:pPr>
              <w:pStyle w:val="18"/>
              <w:widowControl w:val="0"/>
              <w:bidi w:val="0"/>
              <w:rPr>
                <w:rFonts w:hint="default"/>
                <w:lang w:val="en-US" w:eastAsia="zh-CN"/>
              </w:rPr>
            </w:pPr>
            <w:r>
              <w:rPr>
                <w:rFonts w:hint="eastAsia"/>
                <w:lang w:val="en-US" w:eastAsia="zh-CN"/>
              </w:rPr>
              <w:t>没有（）</w:t>
            </w:r>
          </w:p>
        </w:tc>
        <w:tc>
          <w:tcPr>
            <w:tcW w:w="992" w:type="pct"/>
            <w:gridSpan w:val="2"/>
            <w:vAlign w:val="center"/>
          </w:tcPr>
          <w:p>
            <w:pPr>
              <w:pStyle w:val="18"/>
              <w:widowControl w:val="0"/>
              <w:bidi w:val="0"/>
              <w:rPr>
                <w:rFonts w:hint="default"/>
                <w:lang w:val="en-US" w:eastAsia="zh-CN"/>
              </w:rPr>
            </w:pPr>
            <w:r>
              <w:rPr>
                <w:rFonts w:hint="eastAsia"/>
                <w:lang w:val="en-US" w:eastAsia="zh-CN"/>
              </w:rPr>
              <w:t>没注意（）</w:t>
            </w: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continue"/>
            <w:vAlign w:val="center"/>
          </w:tcPr>
          <w:p>
            <w:pPr>
              <w:pStyle w:val="18"/>
              <w:widowControl w:val="0"/>
              <w:bidi w:val="0"/>
              <w:rPr>
                <w:rFonts w:hint="default"/>
                <w:lang w:val="en-US" w:eastAsia="zh-CN"/>
              </w:rPr>
            </w:pPr>
          </w:p>
        </w:tc>
        <w:tc>
          <w:tcPr>
            <w:tcW w:w="1022" w:type="pct"/>
            <w:gridSpan w:val="2"/>
            <w:vAlign w:val="center"/>
          </w:tcPr>
          <w:p>
            <w:pPr>
              <w:pStyle w:val="18"/>
              <w:widowControl w:val="0"/>
              <w:bidi w:val="0"/>
              <w:rPr>
                <w:rFonts w:hint="eastAsia"/>
                <w:lang w:val="en-US" w:eastAsia="zh-CN"/>
              </w:rPr>
            </w:pPr>
            <w:r>
              <w:rPr>
                <w:rFonts w:hint="eastAsia"/>
                <w:lang w:val="en-US" w:eastAsia="zh-CN"/>
              </w:rPr>
              <w:t>夜间</w:t>
            </w:r>
            <w:r>
              <w:rPr>
                <w:rFonts w:hint="default"/>
                <w:lang w:val="en-US" w:eastAsia="zh-CN"/>
              </w:rPr>
              <w:t>22</w:t>
            </w:r>
            <w:r>
              <w:rPr>
                <w:rFonts w:hint="eastAsia"/>
                <w:lang w:val="en-US" w:eastAsia="zh-CN"/>
              </w:rPr>
              <w:t>：</w:t>
            </w:r>
            <w:r>
              <w:rPr>
                <w:rFonts w:hint="default"/>
                <w:lang w:val="en-US" w:eastAsia="zh-CN"/>
              </w:rPr>
              <w:t>00-</w:t>
            </w:r>
            <w:r>
              <w:rPr>
                <w:rFonts w:hint="eastAsia"/>
                <w:lang w:val="en-US" w:eastAsia="zh-CN"/>
              </w:rPr>
              <w:t>早上</w:t>
            </w:r>
            <w:r>
              <w:rPr>
                <w:rFonts w:hint="default"/>
                <w:lang w:val="en-US" w:eastAsia="zh-CN"/>
              </w:rPr>
              <w:t>06:00</w:t>
            </w:r>
            <w:r>
              <w:rPr>
                <w:rFonts w:hint="eastAsia"/>
                <w:lang w:val="en-US" w:eastAsia="zh-CN"/>
              </w:rPr>
              <w:t>时段内，是否有使用高噪声机械施工现象</w:t>
            </w:r>
          </w:p>
        </w:tc>
        <w:tc>
          <w:tcPr>
            <w:tcW w:w="644" w:type="pct"/>
            <w:gridSpan w:val="2"/>
            <w:vAlign w:val="center"/>
          </w:tcPr>
          <w:p>
            <w:pPr>
              <w:pStyle w:val="18"/>
              <w:widowControl w:val="0"/>
              <w:bidi w:val="0"/>
              <w:rPr>
                <w:rFonts w:hint="default"/>
                <w:lang w:val="en-US" w:eastAsia="zh-CN"/>
              </w:rPr>
            </w:pPr>
            <w:r>
              <w:rPr>
                <w:rFonts w:hint="eastAsia"/>
                <w:lang w:val="en-US" w:eastAsia="zh-CN"/>
              </w:rPr>
              <w:t>常有（）</w:t>
            </w:r>
          </w:p>
        </w:tc>
        <w:tc>
          <w:tcPr>
            <w:tcW w:w="961" w:type="pct"/>
            <w:gridSpan w:val="3"/>
            <w:vAlign w:val="center"/>
          </w:tcPr>
          <w:p>
            <w:pPr>
              <w:pStyle w:val="18"/>
              <w:widowControl w:val="0"/>
              <w:bidi w:val="0"/>
              <w:rPr>
                <w:rFonts w:hint="default"/>
                <w:lang w:val="en-US" w:eastAsia="zh-CN"/>
              </w:rPr>
            </w:pPr>
            <w:r>
              <w:rPr>
                <w:rFonts w:hint="eastAsia"/>
                <w:lang w:val="en-US" w:eastAsia="zh-CN"/>
              </w:rPr>
              <w:t>偶尔有（）</w:t>
            </w:r>
          </w:p>
        </w:tc>
        <w:tc>
          <w:tcPr>
            <w:tcW w:w="992" w:type="pct"/>
            <w:gridSpan w:val="2"/>
            <w:vAlign w:val="center"/>
          </w:tcPr>
          <w:p>
            <w:pPr>
              <w:pStyle w:val="18"/>
              <w:widowControl w:val="0"/>
              <w:bidi w:val="0"/>
              <w:rPr>
                <w:rFonts w:hint="default"/>
                <w:lang w:val="en-US" w:eastAsia="zh-CN"/>
              </w:rPr>
            </w:pPr>
            <w:r>
              <w:rPr>
                <w:rFonts w:hint="eastAsia"/>
                <w:lang w:val="en-US" w:eastAsia="zh-CN"/>
              </w:rPr>
              <w:t>没有（）</w:t>
            </w: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continue"/>
            <w:vAlign w:val="center"/>
          </w:tcPr>
          <w:p>
            <w:pPr>
              <w:pStyle w:val="18"/>
              <w:widowControl w:val="0"/>
              <w:bidi w:val="0"/>
              <w:rPr>
                <w:rFonts w:hint="default"/>
                <w:lang w:val="en-US" w:eastAsia="zh-CN"/>
              </w:rPr>
            </w:pPr>
          </w:p>
        </w:tc>
        <w:tc>
          <w:tcPr>
            <w:tcW w:w="1022" w:type="pct"/>
            <w:gridSpan w:val="2"/>
            <w:vAlign w:val="center"/>
          </w:tcPr>
          <w:p>
            <w:pPr>
              <w:pStyle w:val="18"/>
              <w:widowControl w:val="0"/>
              <w:bidi w:val="0"/>
              <w:rPr>
                <w:rFonts w:hint="eastAsia"/>
                <w:lang w:val="en-US" w:eastAsia="zh-CN"/>
              </w:rPr>
            </w:pPr>
            <w:r>
              <w:rPr>
                <w:rFonts w:hint="eastAsia"/>
                <w:lang w:val="en-US" w:eastAsia="zh-CN"/>
              </w:rPr>
              <w:t>公路临时占地是否采取了复垦、恢复等措施</w:t>
            </w:r>
          </w:p>
        </w:tc>
        <w:tc>
          <w:tcPr>
            <w:tcW w:w="644" w:type="pct"/>
            <w:gridSpan w:val="2"/>
            <w:vAlign w:val="center"/>
          </w:tcPr>
          <w:p>
            <w:pPr>
              <w:pStyle w:val="18"/>
              <w:widowControl w:val="0"/>
              <w:bidi w:val="0"/>
              <w:rPr>
                <w:rFonts w:hint="default"/>
                <w:lang w:val="en-US" w:eastAsia="zh-CN"/>
              </w:rPr>
            </w:pPr>
            <w:r>
              <w:rPr>
                <w:rFonts w:hint="eastAsia"/>
                <w:lang w:val="en-US" w:eastAsia="zh-CN"/>
              </w:rPr>
              <w:t>是（）</w:t>
            </w:r>
          </w:p>
        </w:tc>
        <w:tc>
          <w:tcPr>
            <w:tcW w:w="961" w:type="pct"/>
            <w:gridSpan w:val="3"/>
            <w:vAlign w:val="center"/>
          </w:tcPr>
          <w:p>
            <w:pPr>
              <w:pStyle w:val="18"/>
              <w:widowControl w:val="0"/>
              <w:bidi w:val="0"/>
              <w:rPr>
                <w:rFonts w:hint="default"/>
                <w:lang w:val="en-US" w:eastAsia="zh-CN"/>
              </w:rPr>
            </w:pPr>
            <w:r>
              <w:rPr>
                <w:rFonts w:hint="eastAsia"/>
                <w:lang w:val="en-US" w:eastAsia="zh-CN"/>
              </w:rPr>
              <w:t>否（）（</w:t>
            </w:r>
          </w:p>
        </w:tc>
        <w:tc>
          <w:tcPr>
            <w:tcW w:w="992" w:type="pct"/>
            <w:gridSpan w:val="2"/>
            <w:vAlign w:val="center"/>
          </w:tcPr>
          <w:p>
            <w:pPr>
              <w:pStyle w:val="18"/>
              <w:widowControl w:val="0"/>
              <w:bidi w:val="0"/>
              <w:rPr>
                <w:rFonts w:hint="default"/>
                <w:lang w:val="en-US" w:eastAsia="zh-CN"/>
              </w:rPr>
            </w:pP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continue"/>
            <w:vAlign w:val="center"/>
          </w:tcPr>
          <w:p>
            <w:pPr>
              <w:pStyle w:val="18"/>
              <w:widowControl w:val="0"/>
              <w:bidi w:val="0"/>
              <w:rPr>
                <w:rFonts w:hint="default"/>
                <w:lang w:val="en-US" w:eastAsia="zh-CN"/>
              </w:rPr>
            </w:pPr>
          </w:p>
        </w:tc>
        <w:tc>
          <w:tcPr>
            <w:tcW w:w="1022" w:type="pct"/>
            <w:gridSpan w:val="2"/>
            <w:vAlign w:val="center"/>
          </w:tcPr>
          <w:p>
            <w:pPr>
              <w:pStyle w:val="18"/>
              <w:widowControl w:val="0"/>
              <w:bidi w:val="0"/>
              <w:rPr>
                <w:rFonts w:hint="eastAsia"/>
                <w:lang w:val="en-US" w:eastAsia="zh-CN"/>
              </w:rPr>
            </w:pPr>
            <w:r>
              <w:rPr>
                <w:rFonts w:hint="eastAsia"/>
                <w:lang w:val="en-US" w:eastAsia="zh-CN"/>
              </w:rPr>
              <w:t>占压农业水利设施时，是否采取了临时应急措施</w:t>
            </w:r>
          </w:p>
        </w:tc>
        <w:tc>
          <w:tcPr>
            <w:tcW w:w="644" w:type="pct"/>
            <w:gridSpan w:val="2"/>
            <w:vAlign w:val="center"/>
          </w:tcPr>
          <w:p>
            <w:pPr>
              <w:pStyle w:val="18"/>
              <w:widowControl w:val="0"/>
              <w:bidi w:val="0"/>
              <w:rPr>
                <w:rFonts w:hint="default"/>
                <w:lang w:val="en-US" w:eastAsia="zh-CN"/>
              </w:rPr>
            </w:pPr>
            <w:r>
              <w:rPr>
                <w:rFonts w:hint="eastAsia"/>
                <w:lang w:val="en-US" w:eastAsia="zh-CN"/>
              </w:rPr>
              <w:t>是（）</w:t>
            </w:r>
          </w:p>
        </w:tc>
        <w:tc>
          <w:tcPr>
            <w:tcW w:w="961" w:type="pct"/>
            <w:gridSpan w:val="3"/>
            <w:vAlign w:val="center"/>
          </w:tcPr>
          <w:p>
            <w:pPr>
              <w:pStyle w:val="18"/>
              <w:widowControl w:val="0"/>
              <w:bidi w:val="0"/>
              <w:rPr>
                <w:rFonts w:hint="default"/>
                <w:lang w:val="en-US" w:eastAsia="zh-CN"/>
              </w:rPr>
            </w:pPr>
            <w:r>
              <w:rPr>
                <w:rFonts w:hint="eastAsia"/>
                <w:lang w:val="en-US" w:eastAsia="zh-CN"/>
              </w:rPr>
              <w:t>否（）</w:t>
            </w:r>
          </w:p>
        </w:tc>
        <w:tc>
          <w:tcPr>
            <w:tcW w:w="992" w:type="pct"/>
            <w:gridSpan w:val="2"/>
            <w:vAlign w:val="center"/>
          </w:tcPr>
          <w:p>
            <w:pPr>
              <w:pStyle w:val="18"/>
              <w:widowControl w:val="0"/>
              <w:bidi w:val="0"/>
              <w:rPr>
                <w:rFonts w:hint="default"/>
                <w:lang w:val="en-US" w:eastAsia="zh-CN"/>
              </w:rPr>
            </w:pP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continue"/>
            <w:vAlign w:val="center"/>
          </w:tcPr>
          <w:p>
            <w:pPr>
              <w:pStyle w:val="18"/>
              <w:widowControl w:val="0"/>
              <w:bidi w:val="0"/>
              <w:rPr>
                <w:rFonts w:hint="default"/>
                <w:lang w:val="en-US" w:eastAsia="zh-CN"/>
              </w:rPr>
            </w:pPr>
          </w:p>
        </w:tc>
        <w:tc>
          <w:tcPr>
            <w:tcW w:w="1022" w:type="pct"/>
            <w:gridSpan w:val="2"/>
            <w:vAlign w:val="center"/>
          </w:tcPr>
          <w:p>
            <w:pPr>
              <w:pStyle w:val="18"/>
              <w:widowControl w:val="0"/>
              <w:bidi w:val="0"/>
              <w:rPr>
                <w:rFonts w:hint="eastAsia"/>
                <w:lang w:val="en-US" w:eastAsia="zh-CN"/>
              </w:rPr>
            </w:pPr>
            <w:r>
              <w:rPr>
                <w:rFonts w:hint="eastAsia"/>
                <w:lang w:val="en-US" w:eastAsia="zh-CN"/>
              </w:rPr>
              <w:t>取土场、弃土场是否采取了利用、恢复措施</w:t>
            </w:r>
          </w:p>
        </w:tc>
        <w:tc>
          <w:tcPr>
            <w:tcW w:w="644" w:type="pct"/>
            <w:gridSpan w:val="2"/>
            <w:vAlign w:val="center"/>
          </w:tcPr>
          <w:p>
            <w:pPr>
              <w:pStyle w:val="18"/>
              <w:widowControl w:val="0"/>
              <w:bidi w:val="0"/>
              <w:rPr>
                <w:rFonts w:hint="default"/>
                <w:lang w:val="en-US" w:eastAsia="zh-CN"/>
              </w:rPr>
            </w:pPr>
            <w:r>
              <w:rPr>
                <w:rFonts w:hint="eastAsia"/>
                <w:lang w:val="en-US" w:eastAsia="zh-CN"/>
              </w:rPr>
              <w:t>是（）</w:t>
            </w:r>
          </w:p>
        </w:tc>
        <w:tc>
          <w:tcPr>
            <w:tcW w:w="961" w:type="pct"/>
            <w:gridSpan w:val="3"/>
            <w:vAlign w:val="center"/>
          </w:tcPr>
          <w:p>
            <w:pPr>
              <w:pStyle w:val="18"/>
              <w:widowControl w:val="0"/>
              <w:bidi w:val="0"/>
              <w:rPr>
                <w:rFonts w:hint="default"/>
                <w:lang w:val="en-US" w:eastAsia="zh-CN"/>
              </w:rPr>
            </w:pPr>
            <w:r>
              <w:rPr>
                <w:rFonts w:hint="eastAsia"/>
                <w:lang w:val="en-US" w:eastAsia="zh-CN"/>
              </w:rPr>
              <w:t>否（）</w:t>
            </w:r>
          </w:p>
        </w:tc>
        <w:tc>
          <w:tcPr>
            <w:tcW w:w="992" w:type="pct"/>
            <w:gridSpan w:val="2"/>
            <w:vAlign w:val="center"/>
          </w:tcPr>
          <w:p>
            <w:pPr>
              <w:pStyle w:val="18"/>
              <w:widowControl w:val="0"/>
              <w:bidi w:val="0"/>
              <w:rPr>
                <w:rFonts w:hint="default"/>
                <w:lang w:val="en-US" w:eastAsia="zh-CN"/>
              </w:rPr>
            </w:pP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restart"/>
            <w:vAlign w:val="center"/>
          </w:tcPr>
          <w:p>
            <w:pPr>
              <w:pStyle w:val="18"/>
              <w:widowControl w:val="0"/>
              <w:bidi w:val="0"/>
              <w:rPr>
                <w:rFonts w:hint="default"/>
                <w:lang w:val="en-US" w:eastAsia="zh-CN"/>
              </w:rPr>
            </w:pPr>
            <w:r>
              <w:rPr>
                <w:rFonts w:hint="eastAsia"/>
                <w:lang w:val="en-US" w:eastAsia="zh-CN"/>
              </w:rPr>
              <w:t>试运行期</w:t>
            </w:r>
          </w:p>
        </w:tc>
        <w:tc>
          <w:tcPr>
            <w:tcW w:w="1022" w:type="pct"/>
            <w:gridSpan w:val="2"/>
            <w:vAlign w:val="center"/>
          </w:tcPr>
          <w:p>
            <w:pPr>
              <w:pStyle w:val="18"/>
              <w:widowControl w:val="0"/>
              <w:bidi w:val="0"/>
              <w:rPr>
                <w:rFonts w:hint="eastAsia"/>
                <w:lang w:val="en-US" w:eastAsia="zh-CN"/>
              </w:rPr>
            </w:pPr>
            <w:r>
              <w:rPr>
                <w:rFonts w:hint="eastAsia"/>
                <w:lang w:val="en-US" w:eastAsia="zh-CN"/>
              </w:rPr>
              <w:t>公路建成后对您影响较大的是</w:t>
            </w:r>
          </w:p>
        </w:tc>
        <w:tc>
          <w:tcPr>
            <w:tcW w:w="644" w:type="pct"/>
            <w:gridSpan w:val="2"/>
            <w:vAlign w:val="center"/>
          </w:tcPr>
          <w:p>
            <w:pPr>
              <w:pStyle w:val="18"/>
              <w:widowControl w:val="0"/>
              <w:bidi w:val="0"/>
              <w:rPr>
                <w:rFonts w:hint="default"/>
                <w:lang w:val="en-US" w:eastAsia="zh-CN"/>
              </w:rPr>
            </w:pPr>
            <w:r>
              <w:rPr>
                <w:rFonts w:hint="eastAsia"/>
                <w:lang w:val="en-US" w:eastAsia="zh-CN"/>
              </w:rPr>
              <w:t>噪声（）</w:t>
            </w:r>
          </w:p>
        </w:tc>
        <w:tc>
          <w:tcPr>
            <w:tcW w:w="961" w:type="pct"/>
            <w:gridSpan w:val="3"/>
            <w:vAlign w:val="center"/>
          </w:tcPr>
          <w:p>
            <w:pPr>
              <w:pStyle w:val="18"/>
              <w:widowControl w:val="0"/>
              <w:bidi w:val="0"/>
              <w:rPr>
                <w:rFonts w:hint="default"/>
                <w:lang w:val="en-US" w:eastAsia="zh-CN"/>
              </w:rPr>
            </w:pPr>
            <w:r>
              <w:rPr>
                <w:rFonts w:hint="eastAsia"/>
                <w:lang w:val="en-US" w:eastAsia="zh-CN"/>
              </w:rPr>
              <w:t>汽车尾气（）</w:t>
            </w:r>
          </w:p>
        </w:tc>
        <w:tc>
          <w:tcPr>
            <w:tcW w:w="992" w:type="pct"/>
            <w:gridSpan w:val="2"/>
            <w:vAlign w:val="center"/>
          </w:tcPr>
          <w:p>
            <w:pPr>
              <w:pStyle w:val="18"/>
              <w:widowControl w:val="0"/>
              <w:bidi w:val="0"/>
              <w:rPr>
                <w:rFonts w:hint="default"/>
                <w:lang w:val="en-US" w:eastAsia="zh-CN"/>
              </w:rPr>
            </w:pPr>
            <w:r>
              <w:rPr>
                <w:rFonts w:hint="eastAsia"/>
                <w:lang w:val="en-US" w:eastAsia="zh-CN"/>
              </w:rPr>
              <w:t>灰尘（）</w:t>
            </w:r>
          </w:p>
        </w:tc>
        <w:tc>
          <w:tcPr>
            <w:tcW w:w="756" w:type="pct"/>
            <w:vAlign w:val="center"/>
          </w:tcPr>
          <w:p>
            <w:pPr>
              <w:pStyle w:val="18"/>
              <w:widowControl w:val="0"/>
              <w:bidi w:val="0"/>
              <w:rPr>
                <w:rFonts w:hint="default"/>
                <w:lang w:val="en-US" w:eastAsia="zh-CN"/>
              </w:rPr>
            </w:pPr>
            <w:r>
              <w:rPr>
                <w:rFonts w:hint="eastAsia"/>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continue"/>
            <w:vAlign w:val="center"/>
          </w:tcPr>
          <w:p>
            <w:pPr>
              <w:pStyle w:val="18"/>
              <w:widowControl w:val="0"/>
              <w:bidi w:val="0"/>
              <w:rPr>
                <w:rFonts w:hint="default"/>
                <w:lang w:val="en-US" w:eastAsia="zh-CN"/>
              </w:rPr>
            </w:pPr>
          </w:p>
        </w:tc>
        <w:tc>
          <w:tcPr>
            <w:tcW w:w="1022" w:type="pct"/>
            <w:gridSpan w:val="2"/>
            <w:vAlign w:val="center"/>
          </w:tcPr>
          <w:p>
            <w:pPr>
              <w:pStyle w:val="18"/>
              <w:widowControl w:val="0"/>
              <w:bidi w:val="0"/>
              <w:rPr>
                <w:rFonts w:hint="eastAsia"/>
                <w:lang w:val="en-US" w:eastAsia="zh-CN"/>
              </w:rPr>
            </w:pPr>
            <w:r>
              <w:rPr>
                <w:rFonts w:hint="eastAsia"/>
                <w:lang w:val="en-US" w:eastAsia="zh-CN"/>
              </w:rPr>
              <w:t>公路建成后的通行是否满意</w:t>
            </w:r>
          </w:p>
        </w:tc>
        <w:tc>
          <w:tcPr>
            <w:tcW w:w="644" w:type="pct"/>
            <w:gridSpan w:val="2"/>
            <w:vAlign w:val="center"/>
          </w:tcPr>
          <w:p>
            <w:pPr>
              <w:pStyle w:val="18"/>
              <w:widowControl w:val="0"/>
              <w:bidi w:val="0"/>
              <w:rPr>
                <w:rFonts w:hint="default"/>
                <w:lang w:val="en-US" w:eastAsia="zh-CN"/>
              </w:rPr>
            </w:pPr>
            <w:r>
              <w:rPr>
                <w:rFonts w:hint="eastAsia"/>
                <w:lang w:val="en-US" w:eastAsia="zh-CN"/>
              </w:rPr>
              <w:t>满意（）</w:t>
            </w:r>
          </w:p>
        </w:tc>
        <w:tc>
          <w:tcPr>
            <w:tcW w:w="961" w:type="pct"/>
            <w:gridSpan w:val="3"/>
            <w:vAlign w:val="center"/>
          </w:tcPr>
          <w:p>
            <w:pPr>
              <w:pStyle w:val="18"/>
              <w:widowControl w:val="0"/>
              <w:bidi w:val="0"/>
              <w:rPr>
                <w:rFonts w:hint="default"/>
                <w:lang w:val="en-US" w:eastAsia="zh-CN"/>
              </w:rPr>
            </w:pPr>
            <w:r>
              <w:rPr>
                <w:rFonts w:hint="eastAsia"/>
                <w:lang w:val="en-US" w:eastAsia="zh-CN"/>
              </w:rPr>
              <w:t>基本满意（）</w:t>
            </w:r>
          </w:p>
        </w:tc>
        <w:tc>
          <w:tcPr>
            <w:tcW w:w="992" w:type="pct"/>
            <w:gridSpan w:val="2"/>
            <w:vAlign w:val="center"/>
          </w:tcPr>
          <w:p>
            <w:pPr>
              <w:pStyle w:val="18"/>
              <w:widowControl w:val="0"/>
              <w:bidi w:val="0"/>
              <w:rPr>
                <w:rFonts w:hint="default"/>
                <w:lang w:val="en-US" w:eastAsia="zh-CN"/>
              </w:rPr>
            </w:pPr>
            <w:r>
              <w:rPr>
                <w:rFonts w:hint="eastAsia"/>
                <w:lang w:val="en-US" w:eastAsia="zh-CN"/>
              </w:rPr>
              <w:t>不满意（）</w:t>
            </w: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3" w:type="pct"/>
            <w:vMerge w:val="continue"/>
            <w:vAlign w:val="center"/>
          </w:tcPr>
          <w:p>
            <w:pPr>
              <w:pStyle w:val="18"/>
              <w:widowControl w:val="0"/>
              <w:bidi w:val="0"/>
              <w:rPr>
                <w:rFonts w:hint="default"/>
                <w:lang w:val="en-US" w:eastAsia="zh-CN"/>
              </w:rPr>
            </w:pPr>
          </w:p>
        </w:tc>
        <w:tc>
          <w:tcPr>
            <w:tcW w:w="1022" w:type="pct"/>
            <w:gridSpan w:val="2"/>
            <w:vAlign w:val="center"/>
          </w:tcPr>
          <w:p>
            <w:pPr>
              <w:pStyle w:val="18"/>
              <w:widowControl w:val="0"/>
              <w:bidi w:val="0"/>
              <w:rPr>
                <w:rFonts w:hint="eastAsia"/>
                <w:lang w:val="en-US" w:eastAsia="zh-CN"/>
              </w:rPr>
            </w:pPr>
            <w:r>
              <w:rPr>
                <w:rFonts w:hint="eastAsia"/>
                <w:lang w:val="en-US" w:eastAsia="zh-CN"/>
              </w:rPr>
              <w:t>附近通道内是否有积水现象</w:t>
            </w:r>
          </w:p>
        </w:tc>
        <w:tc>
          <w:tcPr>
            <w:tcW w:w="644" w:type="pct"/>
            <w:gridSpan w:val="2"/>
            <w:vAlign w:val="center"/>
          </w:tcPr>
          <w:p>
            <w:pPr>
              <w:pStyle w:val="18"/>
              <w:widowControl w:val="0"/>
              <w:bidi w:val="0"/>
              <w:rPr>
                <w:rFonts w:hint="default"/>
                <w:lang w:val="en-US" w:eastAsia="zh-CN"/>
              </w:rPr>
            </w:pPr>
            <w:r>
              <w:rPr>
                <w:rFonts w:hint="eastAsia"/>
                <w:lang w:val="en-US" w:eastAsia="zh-CN"/>
              </w:rPr>
              <w:t>经常有（）</w:t>
            </w:r>
          </w:p>
        </w:tc>
        <w:tc>
          <w:tcPr>
            <w:tcW w:w="961" w:type="pct"/>
            <w:gridSpan w:val="3"/>
            <w:vAlign w:val="center"/>
          </w:tcPr>
          <w:p>
            <w:pPr>
              <w:pStyle w:val="18"/>
              <w:widowControl w:val="0"/>
              <w:bidi w:val="0"/>
              <w:rPr>
                <w:rFonts w:hint="default"/>
                <w:lang w:val="en-US" w:eastAsia="zh-CN"/>
              </w:rPr>
            </w:pPr>
            <w:r>
              <w:rPr>
                <w:rFonts w:hint="eastAsia"/>
                <w:lang w:val="en-US" w:eastAsia="zh-CN"/>
              </w:rPr>
              <w:t>偶尔有（）</w:t>
            </w:r>
          </w:p>
        </w:tc>
        <w:tc>
          <w:tcPr>
            <w:tcW w:w="992" w:type="pct"/>
            <w:gridSpan w:val="2"/>
            <w:vAlign w:val="center"/>
          </w:tcPr>
          <w:p>
            <w:pPr>
              <w:pStyle w:val="18"/>
              <w:widowControl w:val="0"/>
              <w:bidi w:val="0"/>
              <w:rPr>
                <w:rFonts w:hint="default"/>
                <w:lang w:val="en-US" w:eastAsia="zh-CN"/>
              </w:rPr>
            </w:pPr>
            <w:r>
              <w:rPr>
                <w:rFonts w:hint="eastAsia"/>
                <w:lang w:val="en-US" w:eastAsia="zh-CN"/>
              </w:rPr>
              <w:t>没有（）</w:t>
            </w:r>
          </w:p>
        </w:tc>
        <w:tc>
          <w:tcPr>
            <w:tcW w:w="756" w:type="pct"/>
            <w:vAlign w:val="center"/>
          </w:tcPr>
          <w:p>
            <w:pPr>
              <w:pStyle w:val="18"/>
              <w:widowControl w:val="0"/>
              <w:bidi w:val="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3" w:type="pct"/>
            <w:vMerge w:val="continue"/>
            <w:vAlign w:val="center"/>
          </w:tcPr>
          <w:p>
            <w:pPr>
              <w:pStyle w:val="18"/>
              <w:widowControl w:val="0"/>
              <w:bidi w:val="0"/>
              <w:rPr>
                <w:rFonts w:hint="default"/>
                <w:lang w:val="en-US" w:eastAsia="zh-CN"/>
              </w:rPr>
            </w:pPr>
          </w:p>
        </w:tc>
        <w:tc>
          <w:tcPr>
            <w:tcW w:w="1022" w:type="pct"/>
            <w:gridSpan w:val="2"/>
            <w:vAlign w:val="center"/>
          </w:tcPr>
          <w:p>
            <w:pPr>
              <w:pStyle w:val="18"/>
              <w:widowControl w:val="0"/>
              <w:bidi w:val="0"/>
              <w:rPr>
                <w:rFonts w:hint="eastAsia"/>
                <w:lang w:val="en-US" w:eastAsia="zh-CN"/>
              </w:rPr>
            </w:pPr>
            <w:r>
              <w:rPr>
                <w:rFonts w:hint="eastAsia"/>
                <w:lang w:val="en-US" w:eastAsia="zh-CN"/>
              </w:rPr>
              <w:t>建议采取何种措施减轻影响</w:t>
            </w:r>
          </w:p>
        </w:tc>
        <w:tc>
          <w:tcPr>
            <w:tcW w:w="644" w:type="pct"/>
            <w:gridSpan w:val="2"/>
            <w:vAlign w:val="center"/>
          </w:tcPr>
          <w:p>
            <w:pPr>
              <w:pStyle w:val="18"/>
              <w:widowControl w:val="0"/>
              <w:bidi w:val="0"/>
              <w:rPr>
                <w:rFonts w:hint="default"/>
                <w:lang w:val="en-US" w:eastAsia="zh-CN"/>
              </w:rPr>
            </w:pPr>
            <w:r>
              <w:rPr>
                <w:rFonts w:hint="eastAsia"/>
                <w:lang w:val="en-US" w:eastAsia="zh-CN"/>
              </w:rPr>
              <w:t>绿化（）</w:t>
            </w:r>
          </w:p>
        </w:tc>
        <w:tc>
          <w:tcPr>
            <w:tcW w:w="961" w:type="pct"/>
            <w:gridSpan w:val="3"/>
            <w:vAlign w:val="center"/>
          </w:tcPr>
          <w:p>
            <w:pPr>
              <w:pStyle w:val="18"/>
              <w:widowControl w:val="0"/>
              <w:bidi w:val="0"/>
              <w:rPr>
                <w:rFonts w:hint="default"/>
                <w:lang w:val="en-US" w:eastAsia="zh-CN"/>
              </w:rPr>
            </w:pPr>
            <w:r>
              <w:rPr>
                <w:rFonts w:hint="eastAsia"/>
                <w:lang w:val="en-US" w:eastAsia="zh-CN"/>
              </w:rPr>
              <w:t>声屏障（）</w:t>
            </w:r>
          </w:p>
        </w:tc>
        <w:tc>
          <w:tcPr>
            <w:tcW w:w="992" w:type="pct"/>
            <w:gridSpan w:val="2"/>
            <w:vAlign w:val="center"/>
          </w:tcPr>
          <w:p>
            <w:pPr>
              <w:pStyle w:val="18"/>
              <w:widowControl w:val="0"/>
              <w:bidi w:val="0"/>
              <w:rPr>
                <w:rFonts w:hint="default"/>
                <w:lang w:val="en-US" w:eastAsia="zh-CN"/>
              </w:rPr>
            </w:pPr>
            <w:r>
              <w:rPr>
                <w:rFonts w:hint="eastAsia"/>
                <w:lang w:val="en-US" w:eastAsia="zh-CN"/>
              </w:rPr>
              <w:t>限速（）</w:t>
            </w:r>
          </w:p>
        </w:tc>
        <w:tc>
          <w:tcPr>
            <w:tcW w:w="756" w:type="pct"/>
            <w:vAlign w:val="center"/>
          </w:tcPr>
          <w:p>
            <w:pPr>
              <w:pStyle w:val="18"/>
              <w:widowControl w:val="0"/>
              <w:bidi w:val="0"/>
              <w:rPr>
                <w:rFonts w:hint="default"/>
                <w:lang w:val="en-US" w:eastAsia="zh-CN"/>
              </w:rPr>
            </w:pPr>
            <w:r>
              <w:rPr>
                <w:rFonts w:hint="eastAsia"/>
                <w:lang w:val="en-US" w:eastAsia="zh-CN"/>
              </w:rPr>
              <w:t>其他（）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46" w:type="pct"/>
            <w:gridSpan w:val="3"/>
            <w:vAlign w:val="center"/>
          </w:tcPr>
          <w:p>
            <w:pPr>
              <w:pStyle w:val="18"/>
              <w:widowControl w:val="0"/>
              <w:bidi w:val="0"/>
              <w:rPr>
                <w:rFonts w:hint="eastAsia"/>
                <w:lang w:val="en-US" w:eastAsia="zh-CN"/>
              </w:rPr>
            </w:pPr>
            <w:r>
              <w:rPr>
                <w:rFonts w:hint="eastAsia"/>
                <w:lang w:val="en-US" w:eastAsia="zh-CN"/>
              </w:rPr>
              <w:t>您对本公路工程环境保护工作的总体评价</w:t>
            </w:r>
          </w:p>
        </w:tc>
        <w:tc>
          <w:tcPr>
            <w:tcW w:w="644" w:type="pct"/>
            <w:gridSpan w:val="2"/>
            <w:vAlign w:val="center"/>
          </w:tcPr>
          <w:p>
            <w:pPr>
              <w:pStyle w:val="18"/>
              <w:widowControl w:val="0"/>
              <w:bidi w:val="0"/>
              <w:rPr>
                <w:rFonts w:hint="default"/>
                <w:lang w:val="en-US" w:eastAsia="zh-CN"/>
              </w:rPr>
            </w:pPr>
            <w:r>
              <w:rPr>
                <w:rFonts w:hint="eastAsia"/>
                <w:lang w:val="en-US" w:eastAsia="zh-CN"/>
              </w:rPr>
              <w:t>满意（）</w:t>
            </w:r>
          </w:p>
        </w:tc>
        <w:tc>
          <w:tcPr>
            <w:tcW w:w="961" w:type="pct"/>
            <w:gridSpan w:val="3"/>
            <w:vAlign w:val="center"/>
          </w:tcPr>
          <w:p>
            <w:pPr>
              <w:pStyle w:val="18"/>
              <w:widowControl w:val="0"/>
              <w:bidi w:val="0"/>
              <w:rPr>
                <w:rFonts w:hint="default"/>
                <w:lang w:val="en-US" w:eastAsia="zh-CN"/>
              </w:rPr>
            </w:pPr>
            <w:r>
              <w:rPr>
                <w:rFonts w:hint="eastAsia"/>
                <w:lang w:val="en-US" w:eastAsia="zh-CN"/>
              </w:rPr>
              <w:t>基本满意（）</w:t>
            </w:r>
          </w:p>
        </w:tc>
        <w:tc>
          <w:tcPr>
            <w:tcW w:w="992" w:type="pct"/>
            <w:gridSpan w:val="2"/>
            <w:vAlign w:val="center"/>
          </w:tcPr>
          <w:p>
            <w:pPr>
              <w:pStyle w:val="18"/>
              <w:widowControl w:val="0"/>
              <w:bidi w:val="0"/>
              <w:rPr>
                <w:rFonts w:hint="default"/>
                <w:lang w:val="en-US" w:eastAsia="zh-CN"/>
              </w:rPr>
            </w:pPr>
            <w:r>
              <w:rPr>
                <w:rFonts w:hint="eastAsia"/>
                <w:lang w:val="en-US" w:eastAsia="zh-CN"/>
              </w:rPr>
              <w:t>不满意（）</w:t>
            </w:r>
          </w:p>
        </w:tc>
        <w:tc>
          <w:tcPr>
            <w:tcW w:w="756" w:type="pct"/>
            <w:vAlign w:val="center"/>
          </w:tcPr>
          <w:p>
            <w:pPr>
              <w:pStyle w:val="18"/>
              <w:widowControl w:val="0"/>
              <w:bidi w:val="0"/>
              <w:rPr>
                <w:rFonts w:hint="default"/>
                <w:lang w:val="en-US" w:eastAsia="zh-CN"/>
              </w:rPr>
            </w:pPr>
            <w:r>
              <w:rPr>
                <w:rFonts w:hint="eastAsia"/>
                <w:lang w:val="en-US" w:eastAsia="zh-CN"/>
              </w:rPr>
              <w:t>无所谓（）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11"/>
            <w:vAlign w:val="center"/>
          </w:tcPr>
          <w:p>
            <w:pPr>
              <w:pStyle w:val="18"/>
              <w:widowControl w:val="0"/>
              <w:bidi w:val="0"/>
              <w:rPr>
                <w:rFonts w:hint="default"/>
                <w:lang w:val="en-US" w:eastAsia="zh-CN"/>
              </w:rPr>
            </w:pPr>
            <w:r>
              <w:rPr>
                <w:rFonts w:hint="eastAsia"/>
                <w:lang w:val="en-US" w:eastAsia="zh-CN"/>
              </w:rPr>
              <w:t>其他意见和建议：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11"/>
            <w:vAlign w:val="center"/>
          </w:tcPr>
          <w:p>
            <w:pPr>
              <w:pStyle w:val="18"/>
              <w:widowControl w:val="0"/>
              <w:bidi w:val="0"/>
              <w:rPr>
                <w:rFonts w:hint="default"/>
                <w:lang w:val="en-US" w:eastAsia="zh-CN"/>
              </w:rPr>
            </w:pPr>
            <w:r>
              <w:rPr>
                <w:rFonts w:hint="eastAsia"/>
                <w:lang w:val="en-US" w:eastAsia="zh-CN"/>
              </w:rPr>
              <w:t>注：请在您选择的答案后的括号内画</w:t>
            </w:r>
            <w:r>
              <w:rPr>
                <w:rFonts w:hint="default"/>
                <w:lang w:val="en-US" w:eastAsia="zh-CN"/>
              </w:rPr>
              <w:t>“√”</w:t>
            </w:r>
          </w:p>
        </w:tc>
      </w:tr>
    </w:tbl>
    <w:p>
      <w:pPr>
        <w:pStyle w:val="5"/>
        <w:bidi w:val="0"/>
        <w:outlineLvl w:val="0"/>
        <w:rPr>
          <w:rFonts w:hint="default"/>
          <w:lang w:val="en-US" w:eastAsia="zh-CN"/>
        </w:rPr>
      </w:pPr>
      <w:bookmarkStart w:id="133" w:name="_Toc8751"/>
      <w:r>
        <w:rPr>
          <w:rFonts w:hint="eastAsia"/>
          <w:lang w:val="en-US" w:eastAsia="zh-CN"/>
        </w:rPr>
        <w:t>9.3调查结果分析</w:t>
      </w:r>
      <w:bookmarkEnd w:id="133"/>
    </w:p>
    <w:p>
      <w:pPr>
        <w:pStyle w:val="6"/>
        <w:bidi w:val="0"/>
        <w:outlineLvl w:val="1"/>
        <w:rPr>
          <w:rFonts w:hint="default"/>
          <w:lang w:val="en-US" w:eastAsia="zh-CN"/>
        </w:rPr>
      </w:pPr>
      <w:bookmarkStart w:id="134" w:name="_Toc31026"/>
      <w:r>
        <w:rPr>
          <w:rFonts w:hint="eastAsia"/>
          <w:lang w:val="en-US" w:eastAsia="zh-CN"/>
        </w:rPr>
        <w:t>9.3.1公众意见调查结果统计及分析</w:t>
      </w:r>
      <w:bookmarkEnd w:id="134"/>
    </w:p>
    <w:p>
      <w:pPr>
        <w:bidi w:val="0"/>
      </w:pPr>
      <w:r>
        <w:rPr>
          <w:rFonts w:hint="eastAsia"/>
          <w:lang w:val="en-US" w:eastAsia="zh-CN"/>
        </w:rPr>
        <w:t>本次调查对道路沿线公众共发放调查表共25份，收回共25份，回收率为</w:t>
      </w:r>
      <w:r>
        <w:rPr>
          <w:rFonts w:hint="default"/>
          <w:lang w:val="en-US" w:eastAsia="zh-CN"/>
        </w:rPr>
        <w:t>100%</w:t>
      </w:r>
      <w:r>
        <w:rPr>
          <w:rFonts w:hint="eastAsia"/>
          <w:lang w:val="en-US" w:eastAsia="zh-CN"/>
        </w:rPr>
        <w:t>，被调查对象全部为直接受道路影响的沿线居民。沿线公众意见调查结果统计见下表。</w:t>
      </w:r>
    </w:p>
    <w:p>
      <w:pPr>
        <w:pStyle w:val="16"/>
        <w:bidi w:val="0"/>
        <w:rPr>
          <w:rFonts w:hint="default" w:eastAsia="宋体"/>
          <w:lang w:val="en-US" w:eastAsia="zh-CN"/>
        </w:rPr>
      </w:pPr>
      <w:r>
        <w:t>表9-</w:t>
      </w:r>
      <w:r>
        <w:rPr>
          <w:rFonts w:hint="eastAsia"/>
          <w:lang w:val="en-US" w:eastAsia="zh-CN"/>
        </w:rPr>
        <w:t xml:space="preserve">2 </w:t>
      </w:r>
      <w:r>
        <w:t xml:space="preserve"> </w:t>
      </w:r>
      <w:r>
        <w:rPr>
          <w:rFonts w:hint="eastAsia"/>
          <w:lang w:val="en-US" w:eastAsia="zh-CN"/>
        </w:rPr>
        <w:t>沿线公众调查结果汇总表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8"/>
        <w:gridCol w:w="3736"/>
        <w:gridCol w:w="1245"/>
        <w:gridCol w:w="1050"/>
        <w:gridCol w:w="10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7" w:type="pct"/>
            <w:vAlign w:val="center"/>
          </w:tcPr>
          <w:p>
            <w:pPr>
              <w:pStyle w:val="18"/>
              <w:widowControl w:val="0"/>
              <w:bidi w:val="0"/>
              <w:rPr>
                <w:rFonts w:hint="default"/>
                <w:lang w:val="en-US" w:eastAsia="zh-CN"/>
              </w:rPr>
            </w:pPr>
            <w:r>
              <w:rPr>
                <w:rFonts w:hint="eastAsia"/>
                <w:lang w:val="en-US" w:eastAsia="zh-CN"/>
              </w:rPr>
              <w:t>阶段</w:t>
            </w:r>
          </w:p>
        </w:tc>
        <w:tc>
          <w:tcPr>
            <w:tcW w:w="2191" w:type="pct"/>
            <w:vAlign w:val="center"/>
          </w:tcPr>
          <w:p>
            <w:pPr>
              <w:pStyle w:val="18"/>
              <w:widowControl w:val="0"/>
              <w:bidi w:val="0"/>
              <w:rPr>
                <w:rFonts w:hint="default"/>
                <w:lang w:val="en-US" w:eastAsia="zh-CN"/>
              </w:rPr>
            </w:pPr>
            <w:r>
              <w:rPr>
                <w:rFonts w:hint="eastAsia"/>
                <w:lang w:val="en-US" w:eastAsia="zh-CN"/>
              </w:rPr>
              <w:t>调查内容</w:t>
            </w:r>
          </w:p>
        </w:tc>
        <w:tc>
          <w:tcPr>
            <w:tcW w:w="730" w:type="pct"/>
            <w:vAlign w:val="center"/>
          </w:tcPr>
          <w:p>
            <w:pPr>
              <w:pStyle w:val="18"/>
              <w:widowControl w:val="0"/>
              <w:bidi w:val="0"/>
              <w:rPr>
                <w:rFonts w:hint="default"/>
                <w:lang w:val="en-US" w:eastAsia="zh-CN"/>
              </w:rPr>
            </w:pPr>
            <w:r>
              <w:rPr>
                <w:rFonts w:hint="eastAsia"/>
                <w:lang w:val="en-US" w:eastAsia="zh-CN"/>
              </w:rPr>
              <w:t>观点</w:t>
            </w:r>
          </w:p>
        </w:tc>
        <w:tc>
          <w:tcPr>
            <w:tcW w:w="616" w:type="pct"/>
            <w:vAlign w:val="center"/>
          </w:tcPr>
          <w:p>
            <w:pPr>
              <w:pStyle w:val="18"/>
              <w:widowControl w:val="0"/>
              <w:bidi w:val="0"/>
              <w:rPr>
                <w:rFonts w:hint="default"/>
                <w:lang w:val="en-US" w:eastAsia="zh-CN"/>
              </w:rPr>
            </w:pPr>
            <w:r>
              <w:rPr>
                <w:rFonts w:hint="eastAsia"/>
                <w:lang w:val="en-US" w:eastAsia="zh-CN"/>
              </w:rPr>
              <w:t>人数</w:t>
            </w:r>
          </w:p>
        </w:tc>
        <w:tc>
          <w:tcPr>
            <w:tcW w:w="594" w:type="pct"/>
            <w:vAlign w:val="center"/>
          </w:tcPr>
          <w:p>
            <w:pPr>
              <w:pStyle w:val="18"/>
              <w:widowControl w:val="0"/>
              <w:bidi w:val="0"/>
              <w:rPr>
                <w:rFonts w:hint="default"/>
                <w:lang w:val="en-US" w:eastAsia="zh-CN"/>
              </w:rPr>
            </w:pPr>
            <w:r>
              <w:rPr>
                <w:rFonts w:hint="eastAsia"/>
                <w:lang w:val="en-US" w:eastAsia="zh-CN"/>
              </w:rPr>
              <w:t>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867" w:type="pct"/>
            <w:vMerge w:val="restart"/>
            <w:vAlign w:val="center"/>
          </w:tcPr>
          <w:p>
            <w:pPr>
              <w:pStyle w:val="18"/>
              <w:widowControl w:val="0"/>
              <w:bidi w:val="0"/>
              <w:rPr>
                <w:rFonts w:hint="default"/>
                <w:lang w:val="en-US" w:eastAsia="zh-CN"/>
              </w:rPr>
            </w:pPr>
            <w:r>
              <w:rPr>
                <w:rFonts w:hint="eastAsia"/>
                <w:lang w:val="en-US" w:eastAsia="zh-CN"/>
              </w:rPr>
              <w:t>基本态度</w:t>
            </w:r>
          </w:p>
        </w:tc>
        <w:tc>
          <w:tcPr>
            <w:tcW w:w="2191" w:type="pct"/>
            <w:vMerge w:val="restart"/>
            <w:vAlign w:val="center"/>
          </w:tcPr>
          <w:p>
            <w:pPr>
              <w:pStyle w:val="18"/>
              <w:widowControl w:val="0"/>
              <w:bidi w:val="0"/>
              <w:rPr>
                <w:rFonts w:hint="default"/>
                <w:lang w:val="en-US" w:eastAsia="zh-CN"/>
              </w:rPr>
            </w:pPr>
            <w:r>
              <w:rPr>
                <w:rFonts w:hint="eastAsia"/>
                <w:lang w:val="en-US" w:eastAsia="zh-CN"/>
              </w:rPr>
              <w:t>（</w:t>
            </w:r>
            <w:r>
              <w:rPr>
                <w:rFonts w:hint="default"/>
                <w:lang w:val="en-US" w:eastAsia="zh-CN"/>
              </w:rPr>
              <w:t>1</w:t>
            </w:r>
            <w:r>
              <w:rPr>
                <w:rFonts w:hint="eastAsia"/>
                <w:lang w:val="en-US" w:eastAsia="zh-CN"/>
              </w:rPr>
              <w:t>）该公路是否有利于本地区的经济发展；</w:t>
            </w:r>
          </w:p>
        </w:tc>
        <w:tc>
          <w:tcPr>
            <w:tcW w:w="730" w:type="pct"/>
            <w:vAlign w:val="center"/>
          </w:tcPr>
          <w:p>
            <w:pPr>
              <w:pStyle w:val="18"/>
              <w:widowControl w:val="0"/>
              <w:bidi w:val="0"/>
              <w:rPr>
                <w:rFonts w:hint="default"/>
                <w:lang w:val="en-US" w:eastAsia="zh-CN"/>
              </w:rPr>
            </w:pPr>
            <w:r>
              <w:rPr>
                <w:rFonts w:hint="eastAsia"/>
                <w:lang w:val="en-US" w:eastAsia="zh-CN"/>
              </w:rPr>
              <w:t>有利</w:t>
            </w:r>
          </w:p>
        </w:tc>
        <w:tc>
          <w:tcPr>
            <w:tcW w:w="616" w:type="pct"/>
            <w:vAlign w:val="center"/>
          </w:tcPr>
          <w:p>
            <w:pPr>
              <w:pStyle w:val="18"/>
              <w:widowControl w:val="0"/>
              <w:bidi w:val="0"/>
              <w:rPr>
                <w:rFonts w:hint="default"/>
                <w:lang w:val="en-US" w:eastAsia="zh-CN"/>
              </w:rPr>
            </w:pPr>
            <w:r>
              <w:rPr>
                <w:rFonts w:hint="eastAsia"/>
                <w:lang w:val="en-US" w:eastAsia="zh-CN"/>
              </w:rPr>
              <w:t>25</w:t>
            </w:r>
          </w:p>
        </w:tc>
        <w:tc>
          <w:tcPr>
            <w:tcW w:w="594" w:type="pct"/>
            <w:vAlign w:val="center"/>
          </w:tcPr>
          <w:p>
            <w:pPr>
              <w:pStyle w:val="18"/>
              <w:widowControl w:val="0"/>
              <w:bidi w:val="0"/>
              <w:rPr>
                <w:rFonts w:hint="default"/>
                <w:lang w:val="en-US" w:eastAsia="zh-CN"/>
              </w:rPr>
            </w:pPr>
            <w:r>
              <w:rPr>
                <w:rFonts w:hint="eastAsia"/>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867" w:type="pct"/>
            <w:vMerge w:val="continue"/>
            <w:vAlign w:val="center"/>
          </w:tcPr>
          <w:p>
            <w:pPr>
              <w:pStyle w:val="18"/>
              <w:widowControl w:val="0"/>
              <w:bidi w:val="0"/>
            </w:pPr>
          </w:p>
        </w:tc>
        <w:tc>
          <w:tcPr>
            <w:tcW w:w="2191" w:type="pct"/>
            <w:vMerge w:val="continue"/>
            <w:vAlign w:val="center"/>
          </w:tcPr>
          <w:p>
            <w:pPr>
              <w:pStyle w:val="18"/>
              <w:widowControl w:val="0"/>
              <w:bidi w:val="0"/>
            </w:pPr>
          </w:p>
        </w:tc>
        <w:tc>
          <w:tcPr>
            <w:tcW w:w="730" w:type="pct"/>
            <w:vAlign w:val="center"/>
          </w:tcPr>
          <w:p>
            <w:pPr>
              <w:pStyle w:val="18"/>
              <w:widowControl w:val="0"/>
              <w:bidi w:val="0"/>
              <w:rPr>
                <w:rFonts w:hint="default"/>
                <w:lang w:val="en-US" w:eastAsia="zh-CN"/>
              </w:rPr>
            </w:pPr>
            <w:r>
              <w:rPr>
                <w:rFonts w:hint="eastAsia"/>
                <w:lang w:val="en-US" w:eastAsia="zh-CN"/>
              </w:rPr>
              <w:t>不利</w:t>
            </w:r>
          </w:p>
        </w:tc>
        <w:tc>
          <w:tcPr>
            <w:tcW w:w="616" w:type="pct"/>
            <w:vAlign w:val="center"/>
          </w:tcPr>
          <w:p>
            <w:pPr>
              <w:pStyle w:val="18"/>
              <w:widowControl w:val="0"/>
              <w:bidi w:val="0"/>
              <w:rPr>
                <w:rFonts w:hint="default"/>
                <w:lang w:val="en-US" w:eastAsia="zh-CN"/>
              </w:rPr>
            </w:pPr>
            <w:r>
              <w:rPr>
                <w:rFonts w:hint="eastAsia"/>
                <w:lang w:val="en-US" w:eastAsia="zh-CN"/>
              </w:rPr>
              <w:t>0</w:t>
            </w:r>
          </w:p>
        </w:tc>
        <w:tc>
          <w:tcPr>
            <w:tcW w:w="594" w:type="pct"/>
            <w:vAlign w:val="center"/>
          </w:tcPr>
          <w:p>
            <w:pPr>
              <w:pStyle w:val="18"/>
              <w:widowControl w:val="0"/>
              <w:bidi w:val="0"/>
              <w:rPr>
                <w:rFonts w:hint="default"/>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不知道</w:t>
            </w:r>
          </w:p>
        </w:tc>
        <w:tc>
          <w:tcPr>
            <w:tcW w:w="616" w:type="pct"/>
            <w:vAlign w:val="center"/>
          </w:tcPr>
          <w:p>
            <w:pPr>
              <w:pStyle w:val="18"/>
              <w:widowControl w:val="0"/>
              <w:bidi w:val="0"/>
              <w:rPr>
                <w:rFonts w:hint="default"/>
                <w:lang w:val="en-US" w:eastAsia="zh-CN"/>
              </w:rPr>
            </w:pPr>
            <w:r>
              <w:rPr>
                <w:rFonts w:hint="eastAsia"/>
                <w:lang w:val="en-US" w:eastAsia="zh-CN"/>
              </w:rPr>
              <w:t>0</w:t>
            </w:r>
          </w:p>
        </w:tc>
        <w:tc>
          <w:tcPr>
            <w:tcW w:w="594" w:type="pct"/>
            <w:vAlign w:val="center"/>
          </w:tcPr>
          <w:p>
            <w:pPr>
              <w:pStyle w:val="18"/>
              <w:widowControl w:val="0"/>
              <w:bidi w:val="0"/>
              <w:rPr>
                <w:rFonts w:hint="default"/>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restart"/>
            <w:vAlign w:val="center"/>
          </w:tcPr>
          <w:p>
            <w:pPr>
              <w:pStyle w:val="18"/>
              <w:widowControl w:val="0"/>
              <w:bidi w:val="0"/>
              <w:rPr>
                <w:rFonts w:hint="default"/>
                <w:lang w:val="en-US" w:eastAsia="zh-CN"/>
              </w:rPr>
            </w:pPr>
            <w:r>
              <w:rPr>
                <w:rFonts w:hint="eastAsia"/>
                <w:lang w:val="en-US" w:eastAsia="zh-CN"/>
              </w:rPr>
              <w:t>施工期</w:t>
            </w:r>
          </w:p>
        </w:tc>
        <w:tc>
          <w:tcPr>
            <w:tcW w:w="2191" w:type="pct"/>
            <w:vMerge w:val="restart"/>
            <w:vAlign w:val="center"/>
          </w:tcPr>
          <w:p>
            <w:pPr>
              <w:pStyle w:val="18"/>
              <w:widowControl w:val="0"/>
              <w:bidi w:val="0"/>
              <w:rPr>
                <w:rFonts w:hint="default"/>
                <w:lang w:val="en-US" w:eastAsia="zh-CN"/>
              </w:rPr>
            </w:pPr>
            <w:r>
              <w:rPr>
                <w:rFonts w:hint="eastAsia"/>
                <w:lang w:val="en-US" w:eastAsia="zh-CN"/>
              </w:rPr>
              <w:t>（</w:t>
            </w:r>
            <w:r>
              <w:rPr>
                <w:rFonts w:hint="default"/>
                <w:lang w:val="en-US" w:eastAsia="zh-CN"/>
              </w:rPr>
              <w:t>2</w:t>
            </w:r>
            <w:r>
              <w:rPr>
                <w:rFonts w:hint="eastAsia"/>
                <w:lang w:val="en-US" w:eastAsia="zh-CN"/>
              </w:rPr>
              <w:t>）公路施工期对您影响最大的方面是什么；</w:t>
            </w:r>
          </w:p>
        </w:tc>
        <w:tc>
          <w:tcPr>
            <w:tcW w:w="730" w:type="pct"/>
            <w:vAlign w:val="center"/>
          </w:tcPr>
          <w:p>
            <w:pPr>
              <w:pStyle w:val="18"/>
              <w:widowControl w:val="0"/>
              <w:bidi w:val="0"/>
              <w:rPr>
                <w:rFonts w:hint="default"/>
                <w:lang w:val="en-US" w:eastAsia="zh-CN"/>
              </w:rPr>
            </w:pPr>
            <w:r>
              <w:rPr>
                <w:rFonts w:hint="eastAsia"/>
                <w:lang w:val="en-US" w:eastAsia="zh-CN"/>
              </w:rPr>
              <w:t>噪声</w:t>
            </w:r>
          </w:p>
        </w:tc>
        <w:tc>
          <w:tcPr>
            <w:tcW w:w="616" w:type="pct"/>
            <w:vAlign w:val="center"/>
          </w:tcPr>
          <w:p>
            <w:pPr>
              <w:pStyle w:val="18"/>
              <w:widowControl w:val="0"/>
              <w:bidi w:val="0"/>
              <w:rPr>
                <w:rFonts w:hint="default"/>
                <w:lang w:val="en-US" w:eastAsia="zh-CN"/>
              </w:rPr>
            </w:pPr>
            <w:r>
              <w:rPr>
                <w:rFonts w:hint="eastAsia"/>
                <w:lang w:val="en-US" w:eastAsia="zh-CN"/>
              </w:rPr>
              <w:t>11</w:t>
            </w:r>
          </w:p>
        </w:tc>
        <w:tc>
          <w:tcPr>
            <w:tcW w:w="594" w:type="pct"/>
            <w:vAlign w:val="center"/>
          </w:tcPr>
          <w:p>
            <w:pPr>
              <w:pStyle w:val="18"/>
              <w:widowControl w:val="0"/>
              <w:bidi w:val="0"/>
              <w:rPr>
                <w:rFonts w:hint="default"/>
                <w:lang w:val="en-US" w:eastAsia="zh-CN"/>
              </w:rPr>
            </w:pPr>
            <w:r>
              <w:rPr>
                <w:rFonts w:hint="eastAsia"/>
                <w:lang w:val="en-US" w:eastAsia="zh-CN"/>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continue"/>
            <w:vAlign w:val="center"/>
          </w:tcPr>
          <w:p>
            <w:pPr>
              <w:pStyle w:val="18"/>
              <w:widowControl w:val="0"/>
              <w:bidi w:val="0"/>
            </w:pPr>
          </w:p>
        </w:tc>
        <w:tc>
          <w:tcPr>
            <w:tcW w:w="2191" w:type="pct"/>
            <w:vMerge w:val="continue"/>
            <w:vAlign w:val="center"/>
          </w:tcPr>
          <w:p>
            <w:pPr>
              <w:pStyle w:val="18"/>
              <w:widowControl w:val="0"/>
              <w:bidi w:val="0"/>
            </w:pPr>
          </w:p>
        </w:tc>
        <w:tc>
          <w:tcPr>
            <w:tcW w:w="730" w:type="pct"/>
            <w:vAlign w:val="center"/>
          </w:tcPr>
          <w:p>
            <w:pPr>
              <w:pStyle w:val="18"/>
              <w:widowControl w:val="0"/>
              <w:bidi w:val="0"/>
              <w:rPr>
                <w:rFonts w:hint="default"/>
                <w:lang w:val="en-US" w:eastAsia="zh-CN"/>
              </w:rPr>
            </w:pPr>
            <w:r>
              <w:rPr>
                <w:rFonts w:hint="eastAsia"/>
                <w:lang w:val="en-US" w:eastAsia="zh-CN"/>
              </w:rPr>
              <w:t>灰尘</w:t>
            </w:r>
          </w:p>
        </w:tc>
        <w:tc>
          <w:tcPr>
            <w:tcW w:w="616" w:type="pct"/>
            <w:vAlign w:val="center"/>
          </w:tcPr>
          <w:p>
            <w:pPr>
              <w:pStyle w:val="18"/>
              <w:widowControl w:val="0"/>
              <w:bidi w:val="0"/>
              <w:rPr>
                <w:rFonts w:hint="default"/>
                <w:lang w:val="en-US" w:eastAsia="zh-CN"/>
              </w:rPr>
            </w:pPr>
            <w:r>
              <w:rPr>
                <w:rFonts w:hint="eastAsia"/>
                <w:lang w:val="en-US" w:eastAsia="zh-CN"/>
              </w:rPr>
              <w:t>12</w:t>
            </w:r>
          </w:p>
        </w:tc>
        <w:tc>
          <w:tcPr>
            <w:tcW w:w="594" w:type="pct"/>
            <w:vAlign w:val="center"/>
          </w:tcPr>
          <w:p>
            <w:pPr>
              <w:pStyle w:val="18"/>
              <w:widowControl w:val="0"/>
              <w:bidi w:val="0"/>
              <w:rPr>
                <w:rFonts w:hint="default"/>
                <w:lang w:val="en-US" w:eastAsia="zh-CN"/>
              </w:rPr>
            </w:pPr>
            <w:r>
              <w:rPr>
                <w:rFonts w:hint="eastAsia"/>
                <w:lang w:val="en-US" w:eastAsia="zh-CN"/>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灌溉泄洪</w:t>
            </w:r>
          </w:p>
        </w:tc>
        <w:tc>
          <w:tcPr>
            <w:tcW w:w="616" w:type="pct"/>
            <w:vAlign w:val="center"/>
          </w:tcPr>
          <w:p>
            <w:pPr>
              <w:pStyle w:val="18"/>
              <w:widowControl w:val="0"/>
              <w:bidi w:val="0"/>
              <w:rPr>
                <w:rFonts w:hint="default"/>
                <w:lang w:val="en-US" w:eastAsia="zh-CN"/>
              </w:rPr>
            </w:pPr>
            <w:r>
              <w:rPr>
                <w:rFonts w:hint="eastAsia"/>
                <w:lang w:val="en-US" w:eastAsia="zh-CN"/>
              </w:rPr>
              <w:t>0</w:t>
            </w:r>
          </w:p>
        </w:tc>
        <w:tc>
          <w:tcPr>
            <w:tcW w:w="594" w:type="pct"/>
            <w:vAlign w:val="center"/>
          </w:tcPr>
          <w:p>
            <w:pPr>
              <w:pStyle w:val="18"/>
              <w:widowControl w:val="0"/>
              <w:bidi w:val="0"/>
              <w:rPr>
                <w:rFonts w:hint="default"/>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其他</w:t>
            </w:r>
          </w:p>
        </w:tc>
        <w:tc>
          <w:tcPr>
            <w:tcW w:w="616" w:type="pct"/>
            <w:vAlign w:val="center"/>
          </w:tcPr>
          <w:p>
            <w:pPr>
              <w:pStyle w:val="18"/>
              <w:widowControl w:val="0"/>
              <w:bidi w:val="0"/>
              <w:rPr>
                <w:rFonts w:hint="default"/>
                <w:lang w:val="en-US" w:eastAsia="zh-CN"/>
              </w:rPr>
            </w:pPr>
            <w:r>
              <w:rPr>
                <w:rFonts w:hint="eastAsia"/>
                <w:lang w:val="en-US" w:eastAsia="zh-CN"/>
              </w:rPr>
              <w:t>2</w:t>
            </w:r>
          </w:p>
        </w:tc>
        <w:tc>
          <w:tcPr>
            <w:tcW w:w="594" w:type="pct"/>
            <w:vAlign w:val="center"/>
          </w:tcPr>
          <w:p>
            <w:pPr>
              <w:pStyle w:val="18"/>
              <w:widowControl w:val="0"/>
              <w:bidi w:val="0"/>
              <w:rPr>
                <w:rFonts w:hint="default"/>
                <w:lang w:val="en-US" w:eastAsia="zh-CN"/>
              </w:rPr>
            </w:pPr>
            <w:r>
              <w:rPr>
                <w:rFonts w:hint="eastAsia"/>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867" w:type="pct"/>
            <w:vMerge w:val="continue"/>
            <w:vAlign w:val="center"/>
          </w:tcPr>
          <w:p>
            <w:pPr>
              <w:pStyle w:val="18"/>
              <w:widowControl w:val="0"/>
              <w:bidi w:val="0"/>
              <w:rPr>
                <w:rFonts w:hint="default"/>
                <w:lang w:val="en-US" w:eastAsia="zh-CN"/>
              </w:rPr>
            </w:pPr>
          </w:p>
        </w:tc>
        <w:tc>
          <w:tcPr>
            <w:tcW w:w="2191" w:type="pct"/>
            <w:vMerge w:val="restart"/>
            <w:vAlign w:val="center"/>
          </w:tcPr>
          <w:p>
            <w:pPr>
              <w:pStyle w:val="18"/>
              <w:widowControl w:val="0"/>
              <w:bidi w:val="0"/>
              <w:rPr>
                <w:rFonts w:hint="default"/>
                <w:lang w:val="en-US" w:eastAsia="zh-CN"/>
              </w:rPr>
            </w:pPr>
            <w:r>
              <w:rPr>
                <w:rFonts w:hint="eastAsia"/>
                <w:lang w:val="en-US" w:eastAsia="zh-CN"/>
              </w:rPr>
              <w:t>（</w:t>
            </w:r>
            <w:r>
              <w:rPr>
                <w:rFonts w:hint="default"/>
                <w:lang w:val="en-US" w:eastAsia="zh-CN"/>
              </w:rPr>
              <w:t>3</w:t>
            </w:r>
            <w:r>
              <w:rPr>
                <w:rFonts w:hint="eastAsia"/>
                <w:lang w:val="en-US" w:eastAsia="zh-CN"/>
              </w:rPr>
              <w:t>）夜间</w:t>
            </w:r>
            <w:r>
              <w:rPr>
                <w:rFonts w:hint="default"/>
                <w:lang w:val="en-US" w:eastAsia="zh-CN"/>
              </w:rPr>
              <w:t>22:00</w:t>
            </w:r>
            <w:r>
              <w:rPr>
                <w:rFonts w:hint="eastAsia"/>
                <w:lang w:val="en-US" w:eastAsia="zh-CN"/>
              </w:rPr>
              <w:t>至早晨</w:t>
            </w:r>
            <w:r>
              <w:rPr>
                <w:rFonts w:hint="default"/>
                <w:lang w:val="en-US" w:eastAsia="zh-CN"/>
              </w:rPr>
              <w:t>6:00</w:t>
            </w:r>
            <w:r>
              <w:rPr>
                <w:rFonts w:hint="eastAsia"/>
                <w:lang w:val="en-US" w:eastAsia="zh-CN"/>
              </w:rPr>
              <w:t>时段内，是否有高噪声机械施工现象；</w:t>
            </w:r>
          </w:p>
        </w:tc>
        <w:tc>
          <w:tcPr>
            <w:tcW w:w="730" w:type="pct"/>
            <w:vAlign w:val="center"/>
          </w:tcPr>
          <w:p>
            <w:pPr>
              <w:pStyle w:val="18"/>
              <w:widowControl w:val="0"/>
              <w:bidi w:val="0"/>
              <w:rPr>
                <w:rFonts w:hint="default"/>
                <w:lang w:val="en-US" w:eastAsia="zh-CN"/>
              </w:rPr>
            </w:pPr>
            <w:r>
              <w:rPr>
                <w:rFonts w:hint="eastAsia"/>
                <w:lang w:val="en-US" w:eastAsia="zh-CN"/>
              </w:rPr>
              <w:t>经常有</w:t>
            </w:r>
          </w:p>
        </w:tc>
        <w:tc>
          <w:tcPr>
            <w:tcW w:w="616" w:type="pct"/>
            <w:vAlign w:val="center"/>
          </w:tcPr>
          <w:p>
            <w:pPr>
              <w:pStyle w:val="18"/>
              <w:widowControl w:val="0"/>
              <w:bidi w:val="0"/>
              <w:rPr>
                <w:rFonts w:hint="default"/>
                <w:lang w:val="en-US" w:eastAsia="zh-CN"/>
              </w:rPr>
            </w:pPr>
            <w:r>
              <w:rPr>
                <w:rFonts w:hint="eastAsia"/>
                <w:lang w:val="en-US" w:eastAsia="zh-CN"/>
              </w:rPr>
              <w:t>1</w:t>
            </w:r>
          </w:p>
        </w:tc>
        <w:tc>
          <w:tcPr>
            <w:tcW w:w="594" w:type="pct"/>
            <w:vAlign w:val="center"/>
          </w:tcPr>
          <w:p>
            <w:pPr>
              <w:pStyle w:val="18"/>
              <w:widowControl w:val="0"/>
              <w:bidi w:val="0"/>
              <w:rPr>
                <w:rFonts w:hint="default"/>
                <w:lang w:val="en-US" w:eastAsia="zh-CN"/>
              </w:rPr>
            </w:pPr>
            <w:r>
              <w:rPr>
                <w:rFonts w:hint="eastAsia"/>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867" w:type="pct"/>
            <w:vMerge w:val="continue"/>
            <w:vAlign w:val="center"/>
          </w:tcPr>
          <w:p>
            <w:pPr>
              <w:pStyle w:val="18"/>
              <w:widowControl w:val="0"/>
              <w:bidi w:val="0"/>
            </w:pPr>
          </w:p>
        </w:tc>
        <w:tc>
          <w:tcPr>
            <w:tcW w:w="2191" w:type="pct"/>
            <w:vMerge w:val="continue"/>
            <w:vAlign w:val="center"/>
          </w:tcPr>
          <w:p>
            <w:pPr>
              <w:pStyle w:val="18"/>
              <w:widowControl w:val="0"/>
              <w:bidi w:val="0"/>
            </w:pPr>
          </w:p>
        </w:tc>
        <w:tc>
          <w:tcPr>
            <w:tcW w:w="730" w:type="pct"/>
            <w:vAlign w:val="center"/>
          </w:tcPr>
          <w:p>
            <w:pPr>
              <w:pStyle w:val="18"/>
              <w:widowControl w:val="0"/>
              <w:bidi w:val="0"/>
              <w:rPr>
                <w:rFonts w:hint="default"/>
                <w:lang w:val="en-US" w:eastAsia="zh-CN"/>
              </w:rPr>
            </w:pPr>
            <w:r>
              <w:rPr>
                <w:rFonts w:hint="eastAsia"/>
                <w:lang w:val="en-US" w:eastAsia="zh-CN"/>
              </w:rPr>
              <w:t>偶尔有</w:t>
            </w:r>
          </w:p>
        </w:tc>
        <w:tc>
          <w:tcPr>
            <w:tcW w:w="616" w:type="pct"/>
            <w:vAlign w:val="center"/>
          </w:tcPr>
          <w:p>
            <w:pPr>
              <w:pStyle w:val="18"/>
              <w:widowControl w:val="0"/>
              <w:bidi w:val="0"/>
              <w:rPr>
                <w:rFonts w:hint="default"/>
                <w:lang w:val="en-US" w:eastAsia="zh-CN"/>
              </w:rPr>
            </w:pPr>
            <w:r>
              <w:rPr>
                <w:rFonts w:hint="eastAsia"/>
                <w:lang w:val="en-US" w:eastAsia="zh-CN"/>
              </w:rPr>
              <w:t>10</w:t>
            </w:r>
          </w:p>
        </w:tc>
        <w:tc>
          <w:tcPr>
            <w:tcW w:w="594" w:type="pct"/>
            <w:vAlign w:val="center"/>
          </w:tcPr>
          <w:p>
            <w:pPr>
              <w:pStyle w:val="18"/>
              <w:widowControl w:val="0"/>
              <w:bidi w:val="0"/>
              <w:rPr>
                <w:rFonts w:hint="default"/>
                <w:lang w:val="en-US" w:eastAsia="zh-CN"/>
              </w:rPr>
            </w:pPr>
            <w:r>
              <w:rPr>
                <w:rFonts w:hint="eastAsia"/>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没有</w:t>
            </w:r>
          </w:p>
        </w:tc>
        <w:tc>
          <w:tcPr>
            <w:tcW w:w="616" w:type="pct"/>
            <w:vAlign w:val="center"/>
          </w:tcPr>
          <w:p>
            <w:pPr>
              <w:pStyle w:val="18"/>
              <w:widowControl w:val="0"/>
              <w:bidi w:val="0"/>
              <w:rPr>
                <w:rFonts w:hint="default"/>
                <w:lang w:val="en-US" w:eastAsia="zh-CN"/>
              </w:rPr>
            </w:pPr>
            <w:r>
              <w:rPr>
                <w:rFonts w:hint="eastAsia"/>
                <w:lang w:val="en-US" w:eastAsia="zh-CN"/>
              </w:rPr>
              <w:t>14</w:t>
            </w:r>
          </w:p>
        </w:tc>
        <w:tc>
          <w:tcPr>
            <w:tcW w:w="594" w:type="pct"/>
            <w:vAlign w:val="center"/>
          </w:tcPr>
          <w:p>
            <w:pPr>
              <w:pStyle w:val="18"/>
              <w:widowControl w:val="0"/>
              <w:bidi w:val="0"/>
              <w:rPr>
                <w:rFonts w:hint="default"/>
                <w:lang w:val="en-US" w:eastAsia="zh-CN"/>
              </w:rPr>
            </w:pPr>
            <w:r>
              <w:rPr>
                <w:rFonts w:hint="eastAsia"/>
                <w:lang w:val="en-US"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restart"/>
            <w:vAlign w:val="center"/>
          </w:tcPr>
          <w:p>
            <w:pPr>
              <w:pStyle w:val="18"/>
              <w:widowControl w:val="0"/>
              <w:bidi w:val="0"/>
              <w:rPr>
                <w:rFonts w:hint="default"/>
                <w:lang w:val="en-US" w:eastAsia="zh-CN"/>
              </w:rPr>
            </w:pPr>
            <w:r>
              <w:rPr>
                <w:rFonts w:hint="eastAsia"/>
                <w:lang w:val="en-US" w:eastAsia="zh-CN"/>
              </w:rPr>
              <w:t>试运营期</w:t>
            </w:r>
          </w:p>
        </w:tc>
        <w:tc>
          <w:tcPr>
            <w:tcW w:w="2191" w:type="pct"/>
            <w:vMerge w:val="restart"/>
            <w:vAlign w:val="center"/>
          </w:tcPr>
          <w:p>
            <w:pPr>
              <w:pStyle w:val="18"/>
              <w:widowControl w:val="0"/>
              <w:bidi w:val="0"/>
              <w:rPr>
                <w:rFonts w:hint="default"/>
                <w:lang w:val="en-US" w:eastAsia="zh-CN"/>
              </w:rPr>
            </w:pPr>
            <w:r>
              <w:rPr>
                <w:rFonts w:hint="eastAsia"/>
                <w:lang w:val="en-US" w:eastAsia="zh-CN"/>
              </w:rPr>
              <w:t>（</w:t>
            </w:r>
            <w:r>
              <w:rPr>
                <w:rFonts w:hint="default"/>
                <w:lang w:val="en-US" w:eastAsia="zh-CN"/>
              </w:rPr>
              <w:t>4</w:t>
            </w:r>
            <w:r>
              <w:rPr>
                <w:rFonts w:hint="eastAsia"/>
                <w:lang w:val="en-US" w:eastAsia="zh-CN"/>
              </w:rPr>
              <w:t>）项目建成后对您影响较大的是什么；</w:t>
            </w:r>
          </w:p>
        </w:tc>
        <w:tc>
          <w:tcPr>
            <w:tcW w:w="730" w:type="pct"/>
            <w:vAlign w:val="center"/>
          </w:tcPr>
          <w:p>
            <w:pPr>
              <w:pStyle w:val="18"/>
              <w:widowControl w:val="0"/>
              <w:bidi w:val="0"/>
              <w:rPr>
                <w:rFonts w:hint="default"/>
                <w:lang w:val="en-US" w:eastAsia="zh-CN"/>
              </w:rPr>
            </w:pPr>
            <w:r>
              <w:rPr>
                <w:rFonts w:hint="eastAsia"/>
                <w:lang w:val="en-US" w:eastAsia="zh-CN"/>
              </w:rPr>
              <w:t>噪声</w:t>
            </w:r>
          </w:p>
        </w:tc>
        <w:tc>
          <w:tcPr>
            <w:tcW w:w="616" w:type="pct"/>
            <w:vAlign w:val="center"/>
          </w:tcPr>
          <w:p>
            <w:pPr>
              <w:pStyle w:val="18"/>
              <w:widowControl w:val="0"/>
              <w:bidi w:val="0"/>
              <w:rPr>
                <w:rFonts w:hint="default"/>
                <w:lang w:val="en-US" w:eastAsia="zh-CN"/>
              </w:rPr>
            </w:pPr>
            <w:r>
              <w:rPr>
                <w:rFonts w:hint="eastAsia"/>
                <w:lang w:val="en-US" w:eastAsia="zh-CN"/>
              </w:rPr>
              <w:t>10</w:t>
            </w:r>
          </w:p>
        </w:tc>
        <w:tc>
          <w:tcPr>
            <w:tcW w:w="594" w:type="pct"/>
            <w:vAlign w:val="center"/>
          </w:tcPr>
          <w:p>
            <w:pPr>
              <w:pStyle w:val="18"/>
              <w:widowControl w:val="0"/>
              <w:bidi w:val="0"/>
              <w:rPr>
                <w:rFonts w:hint="default"/>
                <w:lang w:val="en-US" w:eastAsia="zh-CN"/>
              </w:rPr>
            </w:pPr>
            <w:r>
              <w:rPr>
                <w:rFonts w:hint="eastAsia"/>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continue"/>
            <w:vAlign w:val="center"/>
          </w:tcPr>
          <w:p>
            <w:pPr>
              <w:pStyle w:val="18"/>
              <w:widowControl w:val="0"/>
              <w:bidi w:val="0"/>
            </w:pPr>
          </w:p>
        </w:tc>
        <w:tc>
          <w:tcPr>
            <w:tcW w:w="2191" w:type="pct"/>
            <w:vMerge w:val="continue"/>
            <w:vAlign w:val="center"/>
          </w:tcPr>
          <w:p>
            <w:pPr>
              <w:pStyle w:val="18"/>
              <w:widowControl w:val="0"/>
              <w:bidi w:val="0"/>
            </w:pPr>
          </w:p>
        </w:tc>
        <w:tc>
          <w:tcPr>
            <w:tcW w:w="730" w:type="pct"/>
            <w:vAlign w:val="center"/>
          </w:tcPr>
          <w:p>
            <w:pPr>
              <w:pStyle w:val="18"/>
              <w:widowControl w:val="0"/>
              <w:bidi w:val="0"/>
              <w:rPr>
                <w:rFonts w:hint="default"/>
                <w:lang w:val="en-US" w:eastAsia="zh-CN"/>
              </w:rPr>
            </w:pPr>
            <w:r>
              <w:rPr>
                <w:rFonts w:hint="eastAsia"/>
                <w:lang w:val="en-US" w:eastAsia="zh-CN"/>
              </w:rPr>
              <w:t>汽车尾气</w:t>
            </w:r>
          </w:p>
        </w:tc>
        <w:tc>
          <w:tcPr>
            <w:tcW w:w="616" w:type="pct"/>
            <w:vAlign w:val="center"/>
          </w:tcPr>
          <w:p>
            <w:pPr>
              <w:pStyle w:val="18"/>
              <w:widowControl w:val="0"/>
              <w:bidi w:val="0"/>
              <w:rPr>
                <w:rFonts w:hint="default"/>
                <w:lang w:val="en-US" w:eastAsia="zh-CN"/>
              </w:rPr>
            </w:pPr>
            <w:r>
              <w:rPr>
                <w:rFonts w:hint="eastAsia"/>
                <w:lang w:val="en-US" w:eastAsia="zh-CN"/>
              </w:rPr>
              <w:t>8</w:t>
            </w:r>
          </w:p>
        </w:tc>
        <w:tc>
          <w:tcPr>
            <w:tcW w:w="594" w:type="pct"/>
            <w:vAlign w:val="center"/>
          </w:tcPr>
          <w:p>
            <w:pPr>
              <w:pStyle w:val="18"/>
              <w:widowControl w:val="0"/>
              <w:bidi w:val="0"/>
              <w:rPr>
                <w:rFonts w:hint="default"/>
                <w:lang w:val="en-US" w:eastAsia="zh-CN"/>
              </w:rPr>
            </w:pPr>
            <w:r>
              <w:rPr>
                <w:rFonts w:hint="eastAsia"/>
                <w:lang w:val="en-US"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灰尘</w:t>
            </w:r>
          </w:p>
        </w:tc>
        <w:tc>
          <w:tcPr>
            <w:tcW w:w="616" w:type="pct"/>
            <w:vAlign w:val="center"/>
          </w:tcPr>
          <w:p>
            <w:pPr>
              <w:pStyle w:val="18"/>
              <w:widowControl w:val="0"/>
              <w:bidi w:val="0"/>
              <w:rPr>
                <w:rFonts w:hint="default"/>
                <w:lang w:val="en-US" w:eastAsia="zh-CN"/>
              </w:rPr>
            </w:pPr>
            <w:r>
              <w:rPr>
                <w:rFonts w:hint="eastAsia"/>
                <w:lang w:val="en-US" w:eastAsia="zh-CN"/>
              </w:rPr>
              <w:t>7</w:t>
            </w:r>
          </w:p>
        </w:tc>
        <w:tc>
          <w:tcPr>
            <w:tcW w:w="594" w:type="pct"/>
            <w:vAlign w:val="center"/>
          </w:tcPr>
          <w:p>
            <w:pPr>
              <w:pStyle w:val="18"/>
              <w:widowControl w:val="0"/>
              <w:bidi w:val="0"/>
              <w:rPr>
                <w:rFonts w:hint="default"/>
                <w:lang w:val="en-US" w:eastAsia="zh-CN"/>
              </w:rPr>
            </w:pPr>
            <w:r>
              <w:rPr>
                <w:rFonts w:hint="eastAsia"/>
                <w:lang w:val="en-US" w:eastAsia="zh-CN"/>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其他</w:t>
            </w:r>
          </w:p>
        </w:tc>
        <w:tc>
          <w:tcPr>
            <w:tcW w:w="616" w:type="pct"/>
            <w:vAlign w:val="center"/>
          </w:tcPr>
          <w:p>
            <w:pPr>
              <w:pStyle w:val="18"/>
              <w:widowControl w:val="0"/>
              <w:bidi w:val="0"/>
              <w:rPr>
                <w:rFonts w:hint="default"/>
                <w:lang w:val="en-US" w:eastAsia="zh-CN"/>
              </w:rPr>
            </w:pPr>
            <w:r>
              <w:rPr>
                <w:rFonts w:hint="eastAsia"/>
                <w:lang w:val="en-US" w:eastAsia="zh-CN"/>
              </w:rPr>
              <w:t>0</w:t>
            </w:r>
          </w:p>
        </w:tc>
        <w:tc>
          <w:tcPr>
            <w:tcW w:w="594" w:type="pct"/>
            <w:vAlign w:val="center"/>
          </w:tcPr>
          <w:p>
            <w:pPr>
              <w:pStyle w:val="18"/>
              <w:widowControl w:val="0"/>
              <w:bidi w:val="0"/>
              <w:rPr>
                <w:rFonts w:hint="default"/>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trPr>
        <w:tc>
          <w:tcPr>
            <w:tcW w:w="867" w:type="pct"/>
            <w:vMerge w:val="continue"/>
            <w:vAlign w:val="center"/>
          </w:tcPr>
          <w:p>
            <w:pPr>
              <w:pStyle w:val="18"/>
              <w:widowControl w:val="0"/>
              <w:bidi w:val="0"/>
              <w:rPr>
                <w:rFonts w:hint="default"/>
                <w:lang w:val="en-US" w:eastAsia="zh-CN"/>
              </w:rPr>
            </w:pPr>
          </w:p>
        </w:tc>
        <w:tc>
          <w:tcPr>
            <w:tcW w:w="2191" w:type="pct"/>
            <w:vMerge w:val="restart"/>
            <w:vAlign w:val="center"/>
          </w:tcPr>
          <w:p>
            <w:pPr>
              <w:pStyle w:val="18"/>
              <w:widowControl w:val="0"/>
              <w:bidi w:val="0"/>
              <w:rPr>
                <w:rFonts w:hint="default"/>
                <w:lang w:val="en-US" w:eastAsia="zh-CN"/>
              </w:rPr>
            </w:pPr>
            <w:r>
              <w:rPr>
                <w:rFonts w:hint="eastAsia"/>
                <w:lang w:val="en-US" w:eastAsia="zh-CN"/>
              </w:rPr>
              <w:t>（</w:t>
            </w:r>
            <w:r>
              <w:rPr>
                <w:rFonts w:hint="default"/>
                <w:lang w:val="en-US" w:eastAsia="zh-CN"/>
              </w:rPr>
              <w:t>5</w:t>
            </w:r>
            <w:r>
              <w:rPr>
                <w:rFonts w:hint="eastAsia"/>
                <w:lang w:val="en-US" w:eastAsia="zh-CN"/>
              </w:rPr>
              <w:t>）项目建设后的通行是否满意；</w:t>
            </w:r>
          </w:p>
        </w:tc>
        <w:tc>
          <w:tcPr>
            <w:tcW w:w="730" w:type="pct"/>
            <w:vAlign w:val="center"/>
          </w:tcPr>
          <w:p>
            <w:pPr>
              <w:pStyle w:val="18"/>
              <w:widowControl w:val="0"/>
              <w:bidi w:val="0"/>
              <w:rPr>
                <w:rFonts w:hint="default"/>
                <w:lang w:val="en-US" w:eastAsia="zh-CN"/>
              </w:rPr>
            </w:pPr>
            <w:r>
              <w:rPr>
                <w:rFonts w:hint="eastAsia"/>
                <w:lang w:val="en-US" w:eastAsia="zh-CN"/>
              </w:rPr>
              <w:t>满意</w:t>
            </w:r>
          </w:p>
        </w:tc>
        <w:tc>
          <w:tcPr>
            <w:tcW w:w="616" w:type="pct"/>
            <w:vAlign w:val="center"/>
          </w:tcPr>
          <w:p>
            <w:pPr>
              <w:pStyle w:val="18"/>
              <w:widowControl w:val="0"/>
              <w:bidi w:val="0"/>
              <w:rPr>
                <w:rFonts w:hint="default"/>
                <w:lang w:val="en-US" w:eastAsia="zh-CN"/>
              </w:rPr>
            </w:pPr>
            <w:r>
              <w:rPr>
                <w:rFonts w:hint="eastAsia"/>
                <w:lang w:val="en-US" w:eastAsia="zh-CN"/>
              </w:rPr>
              <w:t>13</w:t>
            </w:r>
          </w:p>
        </w:tc>
        <w:tc>
          <w:tcPr>
            <w:tcW w:w="594" w:type="pct"/>
            <w:vAlign w:val="center"/>
          </w:tcPr>
          <w:p>
            <w:pPr>
              <w:pStyle w:val="18"/>
              <w:widowControl w:val="0"/>
              <w:bidi w:val="0"/>
              <w:rPr>
                <w:rFonts w:hint="default"/>
                <w:lang w:val="en-US" w:eastAsia="zh-CN"/>
              </w:rPr>
            </w:pPr>
            <w:r>
              <w:rPr>
                <w:rFonts w:hint="eastAsia"/>
                <w:lang w:val="en-US" w:eastAsia="zh-CN"/>
              </w:rPr>
              <w:t>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trPr>
        <w:tc>
          <w:tcPr>
            <w:tcW w:w="867" w:type="pct"/>
            <w:vMerge w:val="continue"/>
            <w:vAlign w:val="center"/>
          </w:tcPr>
          <w:p>
            <w:pPr>
              <w:pStyle w:val="18"/>
              <w:widowControl w:val="0"/>
              <w:bidi w:val="0"/>
            </w:pPr>
          </w:p>
        </w:tc>
        <w:tc>
          <w:tcPr>
            <w:tcW w:w="2191" w:type="pct"/>
            <w:vMerge w:val="continue"/>
            <w:vAlign w:val="center"/>
          </w:tcPr>
          <w:p>
            <w:pPr>
              <w:pStyle w:val="18"/>
              <w:widowControl w:val="0"/>
              <w:bidi w:val="0"/>
            </w:pPr>
          </w:p>
        </w:tc>
        <w:tc>
          <w:tcPr>
            <w:tcW w:w="730" w:type="pct"/>
            <w:vAlign w:val="center"/>
          </w:tcPr>
          <w:p>
            <w:pPr>
              <w:pStyle w:val="18"/>
              <w:widowControl w:val="0"/>
              <w:bidi w:val="0"/>
              <w:rPr>
                <w:rFonts w:hint="default"/>
                <w:lang w:val="en-US" w:eastAsia="zh-CN"/>
              </w:rPr>
            </w:pPr>
            <w:r>
              <w:rPr>
                <w:rFonts w:hint="eastAsia"/>
                <w:lang w:val="en-US" w:eastAsia="zh-CN"/>
              </w:rPr>
              <w:t>基本满意</w:t>
            </w:r>
          </w:p>
        </w:tc>
        <w:tc>
          <w:tcPr>
            <w:tcW w:w="616" w:type="pct"/>
            <w:vAlign w:val="center"/>
          </w:tcPr>
          <w:p>
            <w:pPr>
              <w:pStyle w:val="18"/>
              <w:widowControl w:val="0"/>
              <w:bidi w:val="0"/>
              <w:rPr>
                <w:rFonts w:hint="default"/>
                <w:lang w:val="en-US" w:eastAsia="zh-CN"/>
              </w:rPr>
            </w:pPr>
            <w:r>
              <w:rPr>
                <w:rFonts w:hint="eastAsia"/>
                <w:lang w:val="en-US" w:eastAsia="zh-CN"/>
              </w:rPr>
              <w:t>12</w:t>
            </w:r>
          </w:p>
        </w:tc>
        <w:tc>
          <w:tcPr>
            <w:tcW w:w="594" w:type="pct"/>
            <w:vAlign w:val="center"/>
          </w:tcPr>
          <w:p>
            <w:pPr>
              <w:pStyle w:val="18"/>
              <w:widowControl w:val="0"/>
              <w:bidi w:val="0"/>
              <w:rPr>
                <w:rFonts w:hint="default"/>
                <w:lang w:val="en-US" w:eastAsia="zh-CN"/>
              </w:rPr>
            </w:pPr>
            <w:r>
              <w:rPr>
                <w:rFonts w:hint="eastAsia"/>
                <w:lang w:val="en-US" w:eastAsia="zh-CN"/>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不满意</w:t>
            </w:r>
          </w:p>
        </w:tc>
        <w:tc>
          <w:tcPr>
            <w:tcW w:w="616" w:type="pct"/>
            <w:vAlign w:val="center"/>
          </w:tcPr>
          <w:p>
            <w:pPr>
              <w:pStyle w:val="18"/>
              <w:widowControl w:val="0"/>
              <w:bidi w:val="0"/>
              <w:rPr>
                <w:rFonts w:hint="default"/>
                <w:lang w:val="en-US" w:eastAsia="zh-CN"/>
              </w:rPr>
            </w:pPr>
            <w:r>
              <w:rPr>
                <w:rFonts w:hint="eastAsia"/>
                <w:lang w:val="en-US" w:eastAsia="zh-CN"/>
              </w:rPr>
              <w:t>0</w:t>
            </w:r>
          </w:p>
        </w:tc>
        <w:tc>
          <w:tcPr>
            <w:tcW w:w="594" w:type="pct"/>
            <w:vAlign w:val="center"/>
          </w:tcPr>
          <w:p>
            <w:pPr>
              <w:pStyle w:val="18"/>
              <w:widowControl w:val="0"/>
              <w:bidi w:val="0"/>
              <w:rPr>
                <w:rFonts w:hint="default"/>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trPr>
        <w:tc>
          <w:tcPr>
            <w:tcW w:w="867" w:type="pct"/>
            <w:vMerge w:val="continue"/>
            <w:vAlign w:val="center"/>
          </w:tcPr>
          <w:p>
            <w:pPr>
              <w:pStyle w:val="18"/>
              <w:widowControl w:val="0"/>
              <w:bidi w:val="0"/>
              <w:rPr>
                <w:rFonts w:hint="default"/>
                <w:lang w:val="en-US" w:eastAsia="zh-CN"/>
              </w:rPr>
            </w:pPr>
          </w:p>
        </w:tc>
        <w:tc>
          <w:tcPr>
            <w:tcW w:w="2191" w:type="pct"/>
            <w:vMerge w:val="restart"/>
            <w:vAlign w:val="center"/>
          </w:tcPr>
          <w:p>
            <w:pPr>
              <w:pStyle w:val="18"/>
              <w:widowControl w:val="0"/>
              <w:bidi w:val="0"/>
              <w:rPr>
                <w:rFonts w:hint="default"/>
                <w:lang w:val="en-US" w:eastAsia="zh-CN"/>
              </w:rPr>
            </w:pPr>
            <w:r>
              <w:rPr>
                <w:rFonts w:hint="eastAsia"/>
                <w:lang w:val="en-US" w:eastAsia="zh-CN"/>
              </w:rPr>
              <w:t>（</w:t>
            </w:r>
            <w:r>
              <w:rPr>
                <w:rFonts w:hint="default"/>
                <w:lang w:val="en-US" w:eastAsia="zh-CN"/>
              </w:rPr>
              <w:t>6</w:t>
            </w:r>
            <w:r>
              <w:rPr>
                <w:rFonts w:hint="eastAsia"/>
                <w:lang w:val="en-US" w:eastAsia="zh-CN"/>
              </w:rPr>
              <w:t>）附近通道内是否有积水现象；</w:t>
            </w:r>
          </w:p>
        </w:tc>
        <w:tc>
          <w:tcPr>
            <w:tcW w:w="730" w:type="pct"/>
            <w:vAlign w:val="center"/>
          </w:tcPr>
          <w:p>
            <w:pPr>
              <w:pStyle w:val="18"/>
              <w:widowControl w:val="0"/>
              <w:bidi w:val="0"/>
              <w:rPr>
                <w:rFonts w:hint="default"/>
                <w:lang w:val="en-US" w:eastAsia="zh-CN"/>
              </w:rPr>
            </w:pPr>
            <w:r>
              <w:rPr>
                <w:rFonts w:hint="eastAsia"/>
                <w:lang w:val="en-US" w:eastAsia="zh-CN"/>
              </w:rPr>
              <w:t>经常有</w:t>
            </w:r>
          </w:p>
        </w:tc>
        <w:tc>
          <w:tcPr>
            <w:tcW w:w="616" w:type="pct"/>
            <w:vAlign w:val="center"/>
          </w:tcPr>
          <w:p>
            <w:pPr>
              <w:pStyle w:val="18"/>
              <w:widowControl w:val="0"/>
              <w:bidi w:val="0"/>
              <w:rPr>
                <w:rFonts w:hint="default"/>
                <w:lang w:val="en-US" w:eastAsia="zh-CN"/>
              </w:rPr>
            </w:pPr>
            <w:r>
              <w:rPr>
                <w:rFonts w:hint="eastAsia"/>
                <w:lang w:val="en-US" w:eastAsia="zh-CN"/>
              </w:rPr>
              <w:t>3</w:t>
            </w:r>
          </w:p>
        </w:tc>
        <w:tc>
          <w:tcPr>
            <w:tcW w:w="594" w:type="pct"/>
            <w:vAlign w:val="center"/>
          </w:tcPr>
          <w:p>
            <w:pPr>
              <w:pStyle w:val="18"/>
              <w:widowControl w:val="0"/>
              <w:bidi w:val="0"/>
              <w:rPr>
                <w:rFonts w:hint="default"/>
                <w:lang w:val="en-US" w:eastAsia="zh-CN"/>
              </w:rPr>
            </w:pPr>
            <w:r>
              <w:rPr>
                <w:rFonts w:hint="eastAsia"/>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trPr>
        <w:tc>
          <w:tcPr>
            <w:tcW w:w="867" w:type="pct"/>
            <w:vMerge w:val="continue"/>
            <w:vAlign w:val="center"/>
          </w:tcPr>
          <w:p>
            <w:pPr>
              <w:pStyle w:val="18"/>
              <w:widowControl w:val="0"/>
              <w:bidi w:val="0"/>
            </w:pPr>
          </w:p>
        </w:tc>
        <w:tc>
          <w:tcPr>
            <w:tcW w:w="2191" w:type="pct"/>
            <w:vMerge w:val="continue"/>
            <w:vAlign w:val="center"/>
          </w:tcPr>
          <w:p>
            <w:pPr>
              <w:pStyle w:val="18"/>
              <w:widowControl w:val="0"/>
              <w:bidi w:val="0"/>
            </w:pPr>
          </w:p>
        </w:tc>
        <w:tc>
          <w:tcPr>
            <w:tcW w:w="730" w:type="pct"/>
            <w:vAlign w:val="center"/>
          </w:tcPr>
          <w:p>
            <w:pPr>
              <w:pStyle w:val="18"/>
              <w:widowControl w:val="0"/>
              <w:bidi w:val="0"/>
              <w:rPr>
                <w:rFonts w:hint="default"/>
                <w:lang w:val="en-US" w:eastAsia="zh-CN"/>
              </w:rPr>
            </w:pPr>
            <w:r>
              <w:rPr>
                <w:rFonts w:hint="eastAsia"/>
                <w:lang w:val="en-US" w:eastAsia="zh-CN"/>
              </w:rPr>
              <w:t>偶尔有</w:t>
            </w:r>
          </w:p>
        </w:tc>
        <w:tc>
          <w:tcPr>
            <w:tcW w:w="616" w:type="pct"/>
            <w:vAlign w:val="center"/>
          </w:tcPr>
          <w:p>
            <w:pPr>
              <w:pStyle w:val="18"/>
              <w:widowControl w:val="0"/>
              <w:bidi w:val="0"/>
              <w:rPr>
                <w:rFonts w:hint="default"/>
                <w:lang w:val="en-US" w:eastAsia="zh-CN"/>
              </w:rPr>
            </w:pPr>
            <w:r>
              <w:rPr>
                <w:rFonts w:hint="eastAsia"/>
                <w:lang w:val="en-US" w:eastAsia="zh-CN"/>
              </w:rPr>
              <w:t>7</w:t>
            </w:r>
          </w:p>
        </w:tc>
        <w:tc>
          <w:tcPr>
            <w:tcW w:w="594" w:type="pct"/>
            <w:vAlign w:val="center"/>
          </w:tcPr>
          <w:p>
            <w:pPr>
              <w:pStyle w:val="18"/>
              <w:widowControl w:val="0"/>
              <w:bidi w:val="0"/>
              <w:rPr>
                <w:rFonts w:hint="default"/>
                <w:lang w:val="en-US" w:eastAsia="zh-CN"/>
              </w:rPr>
            </w:pPr>
            <w:r>
              <w:rPr>
                <w:rFonts w:hint="eastAsia"/>
                <w:lang w:val="en-US" w:eastAsia="zh-CN"/>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没有</w:t>
            </w:r>
          </w:p>
        </w:tc>
        <w:tc>
          <w:tcPr>
            <w:tcW w:w="616" w:type="pct"/>
            <w:vAlign w:val="center"/>
          </w:tcPr>
          <w:p>
            <w:pPr>
              <w:pStyle w:val="18"/>
              <w:widowControl w:val="0"/>
              <w:bidi w:val="0"/>
              <w:rPr>
                <w:rFonts w:hint="default"/>
                <w:lang w:val="en-US" w:eastAsia="zh-CN"/>
              </w:rPr>
            </w:pPr>
            <w:r>
              <w:rPr>
                <w:rFonts w:hint="eastAsia"/>
                <w:lang w:val="en-US" w:eastAsia="zh-CN"/>
              </w:rPr>
              <w:t>15</w:t>
            </w:r>
          </w:p>
        </w:tc>
        <w:tc>
          <w:tcPr>
            <w:tcW w:w="594" w:type="pct"/>
            <w:vAlign w:val="center"/>
          </w:tcPr>
          <w:p>
            <w:pPr>
              <w:pStyle w:val="18"/>
              <w:widowControl w:val="0"/>
              <w:bidi w:val="0"/>
              <w:rPr>
                <w:rFonts w:hint="default"/>
                <w:lang w:val="en-US" w:eastAsia="zh-CN"/>
              </w:rPr>
            </w:pPr>
            <w:r>
              <w:rPr>
                <w:rFonts w:hint="eastAsia"/>
                <w:lang w:val="en-US" w:eastAsia="zh-CN"/>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continue"/>
            <w:vAlign w:val="center"/>
          </w:tcPr>
          <w:p>
            <w:pPr>
              <w:pStyle w:val="18"/>
              <w:widowControl w:val="0"/>
              <w:bidi w:val="0"/>
              <w:rPr>
                <w:rFonts w:hint="default"/>
                <w:lang w:val="en-US" w:eastAsia="zh-CN"/>
              </w:rPr>
            </w:pPr>
          </w:p>
        </w:tc>
        <w:tc>
          <w:tcPr>
            <w:tcW w:w="2191" w:type="pct"/>
            <w:vMerge w:val="restart"/>
            <w:vAlign w:val="center"/>
          </w:tcPr>
          <w:p>
            <w:pPr>
              <w:pStyle w:val="18"/>
              <w:widowControl w:val="0"/>
              <w:bidi w:val="0"/>
              <w:rPr>
                <w:rFonts w:hint="default"/>
                <w:lang w:val="en-US" w:eastAsia="zh-CN"/>
              </w:rPr>
            </w:pPr>
            <w:r>
              <w:rPr>
                <w:rFonts w:hint="eastAsia"/>
                <w:lang w:val="en-US" w:eastAsia="zh-CN"/>
              </w:rPr>
              <w:t>（</w:t>
            </w:r>
            <w:r>
              <w:rPr>
                <w:rFonts w:hint="default"/>
                <w:lang w:val="en-US" w:eastAsia="zh-CN"/>
              </w:rPr>
              <w:t>7</w:t>
            </w:r>
            <w:r>
              <w:rPr>
                <w:rFonts w:hint="eastAsia"/>
                <w:lang w:val="en-US" w:eastAsia="zh-CN"/>
              </w:rPr>
              <w:t>）建议采取何种措施减轻环境影响；</w:t>
            </w:r>
          </w:p>
        </w:tc>
        <w:tc>
          <w:tcPr>
            <w:tcW w:w="730" w:type="pct"/>
            <w:vAlign w:val="center"/>
          </w:tcPr>
          <w:p>
            <w:pPr>
              <w:pStyle w:val="18"/>
              <w:widowControl w:val="0"/>
              <w:bidi w:val="0"/>
              <w:rPr>
                <w:rFonts w:hint="default"/>
                <w:lang w:val="en-US" w:eastAsia="zh-CN"/>
              </w:rPr>
            </w:pPr>
            <w:r>
              <w:rPr>
                <w:rFonts w:hint="eastAsia"/>
                <w:lang w:val="en-US" w:eastAsia="zh-CN"/>
              </w:rPr>
              <w:t>绿化</w:t>
            </w:r>
          </w:p>
        </w:tc>
        <w:tc>
          <w:tcPr>
            <w:tcW w:w="616" w:type="pct"/>
            <w:vAlign w:val="center"/>
          </w:tcPr>
          <w:p>
            <w:pPr>
              <w:pStyle w:val="18"/>
              <w:widowControl w:val="0"/>
              <w:bidi w:val="0"/>
              <w:rPr>
                <w:rFonts w:hint="default"/>
                <w:lang w:val="en-US" w:eastAsia="zh-CN"/>
              </w:rPr>
            </w:pPr>
            <w:r>
              <w:rPr>
                <w:rFonts w:hint="eastAsia"/>
                <w:lang w:val="en-US" w:eastAsia="zh-CN"/>
              </w:rPr>
              <w:t>18</w:t>
            </w:r>
          </w:p>
        </w:tc>
        <w:tc>
          <w:tcPr>
            <w:tcW w:w="594" w:type="pct"/>
            <w:vAlign w:val="center"/>
          </w:tcPr>
          <w:p>
            <w:pPr>
              <w:pStyle w:val="18"/>
              <w:widowControl w:val="0"/>
              <w:bidi w:val="0"/>
              <w:rPr>
                <w:rFonts w:hint="default"/>
                <w:lang w:val="en-US" w:eastAsia="zh-CN"/>
              </w:rPr>
            </w:pPr>
            <w:r>
              <w:rPr>
                <w:rFonts w:hint="eastAsia"/>
                <w:lang w:val="en-US" w:eastAsia="zh-CN"/>
              </w:rPr>
              <w:t>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continue"/>
            <w:vAlign w:val="center"/>
          </w:tcPr>
          <w:p>
            <w:pPr>
              <w:pStyle w:val="18"/>
              <w:widowControl w:val="0"/>
              <w:bidi w:val="0"/>
            </w:pPr>
          </w:p>
        </w:tc>
        <w:tc>
          <w:tcPr>
            <w:tcW w:w="2191" w:type="pct"/>
            <w:vMerge w:val="continue"/>
            <w:vAlign w:val="center"/>
          </w:tcPr>
          <w:p>
            <w:pPr>
              <w:pStyle w:val="18"/>
              <w:widowControl w:val="0"/>
              <w:bidi w:val="0"/>
            </w:pPr>
          </w:p>
        </w:tc>
        <w:tc>
          <w:tcPr>
            <w:tcW w:w="730" w:type="pct"/>
            <w:vAlign w:val="center"/>
          </w:tcPr>
          <w:p>
            <w:pPr>
              <w:pStyle w:val="18"/>
              <w:widowControl w:val="0"/>
              <w:bidi w:val="0"/>
              <w:rPr>
                <w:rFonts w:hint="default"/>
                <w:lang w:val="en-US" w:eastAsia="zh-CN"/>
              </w:rPr>
            </w:pPr>
            <w:r>
              <w:rPr>
                <w:rFonts w:hint="eastAsia"/>
                <w:lang w:val="en-US" w:eastAsia="zh-CN"/>
              </w:rPr>
              <w:t>隔声窗</w:t>
            </w:r>
          </w:p>
        </w:tc>
        <w:tc>
          <w:tcPr>
            <w:tcW w:w="616" w:type="pct"/>
            <w:vAlign w:val="center"/>
          </w:tcPr>
          <w:p>
            <w:pPr>
              <w:pStyle w:val="18"/>
              <w:widowControl w:val="0"/>
              <w:bidi w:val="0"/>
              <w:rPr>
                <w:rFonts w:hint="default"/>
                <w:lang w:val="en-US" w:eastAsia="zh-CN"/>
              </w:rPr>
            </w:pPr>
            <w:r>
              <w:rPr>
                <w:rFonts w:hint="eastAsia"/>
                <w:lang w:val="en-US" w:eastAsia="zh-CN"/>
              </w:rPr>
              <w:t>5</w:t>
            </w:r>
          </w:p>
        </w:tc>
        <w:tc>
          <w:tcPr>
            <w:tcW w:w="594" w:type="pct"/>
            <w:vAlign w:val="center"/>
          </w:tcPr>
          <w:p>
            <w:pPr>
              <w:pStyle w:val="18"/>
              <w:widowControl w:val="0"/>
              <w:bidi w:val="0"/>
              <w:rPr>
                <w:rFonts w:hint="default"/>
                <w:lang w:val="en-US" w:eastAsia="zh-CN"/>
              </w:rPr>
            </w:pPr>
            <w:r>
              <w:rPr>
                <w:rFonts w:hint="eastAsia"/>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限速</w:t>
            </w:r>
          </w:p>
        </w:tc>
        <w:tc>
          <w:tcPr>
            <w:tcW w:w="616" w:type="pct"/>
            <w:vAlign w:val="center"/>
          </w:tcPr>
          <w:p>
            <w:pPr>
              <w:pStyle w:val="18"/>
              <w:widowControl w:val="0"/>
              <w:bidi w:val="0"/>
              <w:rPr>
                <w:rFonts w:hint="default"/>
                <w:lang w:val="en-US" w:eastAsia="zh-CN"/>
              </w:rPr>
            </w:pPr>
            <w:r>
              <w:rPr>
                <w:rFonts w:hint="eastAsia"/>
                <w:lang w:val="en-US" w:eastAsia="zh-CN"/>
              </w:rPr>
              <w:t>0</w:t>
            </w:r>
          </w:p>
        </w:tc>
        <w:tc>
          <w:tcPr>
            <w:tcW w:w="594" w:type="pct"/>
            <w:vAlign w:val="center"/>
          </w:tcPr>
          <w:p>
            <w:pPr>
              <w:pStyle w:val="18"/>
              <w:widowControl w:val="0"/>
              <w:bidi w:val="0"/>
              <w:rPr>
                <w:rFonts w:hint="default"/>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其他</w:t>
            </w:r>
          </w:p>
        </w:tc>
        <w:tc>
          <w:tcPr>
            <w:tcW w:w="616" w:type="pct"/>
            <w:vAlign w:val="center"/>
          </w:tcPr>
          <w:p>
            <w:pPr>
              <w:pStyle w:val="18"/>
              <w:widowControl w:val="0"/>
              <w:bidi w:val="0"/>
              <w:rPr>
                <w:rFonts w:hint="default"/>
                <w:lang w:val="en-US" w:eastAsia="zh-CN"/>
              </w:rPr>
            </w:pPr>
            <w:r>
              <w:rPr>
                <w:rFonts w:hint="eastAsia"/>
                <w:lang w:val="en-US" w:eastAsia="zh-CN"/>
              </w:rPr>
              <w:t>2</w:t>
            </w:r>
          </w:p>
        </w:tc>
        <w:tc>
          <w:tcPr>
            <w:tcW w:w="594" w:type="pct"/>
            <w:vAlign w:val="center"/>
          </w:tcPr>
          <w:p>
            <w:pPr>
              <w:pStyle w:val="18"/>
              <w:widowControl w:val="0"/>
              <w:bidi w:val="0"/>
              <w:rPr>
                <w:rFonts w:hint="default"/>
                <w:lang w:val="en-US" w:eastAsia="zh-CN"/>
              </w:rPr>
            </w:pPr>
            <w:r>
              <w:rPr>
                <w:rFonts w:hint="eastAsia"/>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67" w:type="pct"/>
            <w:vMerge w:val="restart"/>
            <w:vAlign w:val="center"/>
          </w:tcPr>
          <w:p>
            <w:pPr>
              <w:pStyle w:val="18"/>
              <w:widowControl w:val="0"/>
              <w:bidi w:val="0"/>
              <w:rPr>
                <w:rFonts w:hint="default"/>
                <w:lang w:val="en-US" w:eastAsia="zh-CN"/>
              </w:rPr>
            </w:pPr>
            <w:r>
              <w:rPr>
                <w:rFonts w:hint="eastAsia"/>
                <w:lang w:val="en-US" w:eastAsia="zh-CN"/>
              </w:rPr>
              <w:t>总体评价</w:t>
            </w:r>
          </w:p>
        </w:tc>
        <w:tc>
          <w:tcPr>
            <w:tcW w:w="2191" w:type="pct"/>
            <w:vMerge w:val="restart"/>
            <w:vAlign w:val="center"/>
          </w:tcPr>
          <w:p>
            <w:pPr>
              <w:pStyle w:val="18"/>
              <w:widowControl w:val="0"/>
              <w:bidi w:val="0"/>
              <w:rPr>
                <w:rFonts w:hint="eastAsia"/>
                <w:lang w:val="en-US" w:eastAsia="zh-CN"/>
              </w:rPr>
            </w:pPr>
            <w:r>
              <w:rPr>
                <w:rFonts w:hint="eastAsia"/>
                <w:lang w:val="en-US" w:eastAsia="zh-CN"/>
              </w:rPr>
              <w:t>（</w:t>
            </w:r>
            <w:r>
              <w:rPr>
                <w:rFonts w:hint="default"/>
                <w:lang w:val="en-US" w:eastAsia="zh-CN"/>
              </w:rPr>
              <w:t>8</w:t>
            </w:r>
            <w:r>
              <w:rPr>
                <w:rFonts w:hint="eastAsia"/>
                <w:lang w:val="en-US" w:eastAsia="zh-CN"/>
              </w:rPr>
              <w:t>）您对本工程环境保护工作的总体评价如何。</w:t>
            </w:r>
          </w:p>
        </w:tc>
        <w:tc>
          <w:tcPr>
            <w:tcW w:w="730" w:type="pct"/>
            <w:vAlign w:val="center"/>
          </w:tcPr>
          <w:p>
            <w:pPr>
              <w:pStyle w:val="18"/>
              <w:widowControl w:val="0"/>
              <w:bidi w:val="0"/>
              <w:rPr>
                <w:rFonts w:hint="default"/>
                <w:lang w:val="en-US" w:eastAsia="zh-CN"/>
              </w:rPr>
            </w:pPr>
            <w:r>
              <w:rPr>
                <w:rFonts w:hint="eastAsia"/>
                <w:lang w:val="en-US" w:eastAsia="zh-CN"/>
              </w:rPr>
              <w:t>满意</w:t>
            </w:r>
          </w:p>
        </w:tc>
        <w:tc>
          <w:tcPr>
            <w:tcW w:w="616" w:type="pct"/>
            <w:vAlign w:val="center"/>
          </w:tcPr>
          <w:p>
            <w:pPr>
              <w:pStyle w:val="18"/>
              <w:widowControl w:val="0"/>
              <w:bidi w:val="0"/>
              <w:rPr>
                <w:rFonts w:hint="default"/>
                <w:lang w:val="en-US" w:eastAsia="zh-CN"/>
              </w:rPr>
            </w:pPr>
            <w:r>
              <w:rPr>
                <w:rFonts w:hint="eastAsia"/>
                <w:lang w:val="en-US" w:eastAsia="zh-CN"/>
              </w:rPr>
              <w:t>15</w:t>
            </w:r>
          </w:p>
        </w:tc>
        <w:tc>
          <w:tcPr>
            <w:tcW w:w="594" w:type="pct"/>
            <w:vAlign w:val="center"/>
          </w:tcPr>
          <w:p>
            <w:pPr>
              <w:pStyle w:val="18"/>
              <w:widowControl w:val="0"/>
              <w:bidi w:val="0"/>
              <w:rPr>
                <w:rFonts w:hint="default"/>
                <w:lang w:val="en-US" w:eastAsia="zh-CN"/>
              </w:rPr>
            </w:pPr>
            <w:r>
              <w:rPr>
                <w:rFonts w:hint="eastAsia"/>
                <w:lang w:val="en-US" w:eastAsia="zh-CN"/>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67" w:type="pct"/>
            <w:vMerge w:val="continue"/>
            <w:vAlign w:val="center"/>
          </w:tcPr>
          <w:p>
            <w:pPr>
              <w:pStyle w:val="18"/>
              <w:widowControl w:val="0"/>
              <w:bidi w:val="0"/>
            </w:pPr>
          </w:p>
        </w:tc>
        <w:tc>
          <w:tcPr>
            <w:tcW w:w="2191" w:type="pct"/>
            <w:vMerge w:val="continue"/>
            <w:vAlign w:val="center"/>
          </w:tcPr>
          <w:p>
            <w:pPr>
              <w:pStyle w:val="18"/>
              <w:widowControl w:val="0"/>
              <w:bidi w:val="0"/>
            </w:pPr>
          </w:p>
        </w:tc>
        <w:tc>
          <w:tcPr>
            <w:tcW w:w="730" w:type="pct"/>
            <w:vAlign w:val="center"/>
          </w:tcPr>
          <w:p>
            <w:pPr>
              <w:pStyle w:val="18"/>
              <w:widowControl w:val="0"/>
              <w:bidi w:val="0"/>
              <w:rPr>
                <w:rFonts w:hint="default"/>
                <w:lang w:val="en-US" w:eastAsia="zh-CN"/>
              </w:rPr>
            </w:pPr>
            <w:r>
              <w:rPr>
                <w:rFonts w:hint="eastAsia"/>
                <w:lang w:val="en-US" w:eastAsia="zh-CN"/>
              </w:rPr>
              <w:t>基本满意</w:t>
            </w:r>
          </w:p>
        </w:tc>
        <w:tc>
          <w:tcPr>
            <w:tcW w:w="616" w:type="pct"/>
            <w:vAlign w:val="center"/>
          </w:tcPr>
          <w:p>
            <w:pPr>
              <w:pStyle w:val="18"/>
              <w:widowControl w:val="0"/>
              <w:bidi w:val="0"/>
              <w:rPr>
                <w:rFonts w:hint="default"/>
                <w:lang w:val="en-US" w:eastAsia="zh-CN"/>
              </w:rPr>
            </w:pPr>
            <w:r>
              <w:rPr>
                <w:rFonts w:hint="eastAsia"/>
                <w:lang w:val="en-US" w:eastAsia="zh-CN"/>
              </w:rPr>
              <w:t>10</w:t>
            </w:r>
          </w:p>
        </w:tc>
        <w:tc>
          <w:tcPr>
            <w:tcW w:w="594" w:type="pct"/>
            <w:vAlign w:val="center"/>
          </w:tcPr>
          <w:p>
            <w:pPr>
              <w:pStyle w:val="18"/>
              <w:widowControl w:val="0"/>
              <w:bidi w:val="0"/>
              <w:rPr>
                <w:rFonts w:hint="default"/>
                <w:lang w:val="en-US" w:eastAsia="zh-CN"/>
              </w:rPr>
            </w:pPr>
            <w:r>
              <w:rPr>
                <w:rFonts w:hint="eastAsia"/>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不满意</w:t>
            </w:r>
          </w:p>
        </w:tc>
        <w:tc>
          <w:tcPr>
            <w:tcW w:w="616" w:type="pct"/>
            <w:vAlign w:val="center"/>
          </w:tcPr>
          <w:p>
            <w:pPr>
              <w:pStyle w:val="18"/>
              <w:widowControl w:val="0"/>
              <w:bidi w:val="0"/>
              <w:rPr>
                <w:rFonts w:hint="default"/>
                <w:lang w:val="en-US" w:eastAsia="zh-CN"/>
              </w:rPr>
            </w:pPr>
            <w:r>
              <w:rPr>
                <w:rFonts w:hint="eastAsia"/>
                <w:lang w:val="en-US" w:eastAsia="zh-CN"/>
              </w:rPr>
              <w:t>0</w:t>
            </w:r>
          </w:p>
        </w:tc>
        <w:tc>
          <w:tcPr>
            <w:tcW w:w="594" w:type="pct"/>
            <w:vAlign w:val="center"/>
          </w:tcPr>
          <w:p>
            <w:pPr>
              <w:pStyle w:val="18"/>
              <w:widowControl w:val="0"/>
              <w:bidi w:val="0"/>
              <w:rPr>
                <w:rFonts w:hint="default"/>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867" w:type="pct"/>
            <w:vMerge w:val="continue"/>
            <w:vAlign w:val="center"/>
          </w:tcPr>
          <w:p>
            <w:pPr>
              <w:pStyle w:val="18"/>
              <w:widowControl w:val="0"/>
              <w:bidi w:val="0"/>
              <w:rPr>
                <w:rFonts w:hint="default"/>
                <w:lang w:val="en-US" w:eastAsia="zh-CN"/>
              </w:rPr>
            </w:pPr>
          </w:p>
        </w:tc>
        <w:tc>
          <w:tcPr>
            <w:tcW w:w="2191" w:type="pct"/>
            <w:vMerge w:val="continue"/>
            <w:vAlign w:val="center"/>
          </w:tcPr>
          <w:p>
            <w:pPr>
              <w:pStyle w:val="18"/>
              <w:widowControl w:val="0"/>
              <w:bidi w:val="0"/>
              <w:rPr>
                <w:rFonts w:hint="default"/>
                <w:lang w:val="en-US" w:eastAsia="zh-CN"/>
              </w:rPr>
            </w:pPr>
          </w:p>
        </w:tc>
        <w:tc>
          <w:tcPr>
            <w:tcW w:w="730" w:type="pct"/>
            <w:vAlign w:val="center"/>
          </w:tcPr>
          <w:p>
            <w:pPr>
              <w:pStyle w:val="18"/>
              <w:widowControl w:val="0"/>
              <w:bidi w:val="0"/>
              <w:rPr>
                <w:rFonts w:hint="default"/>
                <w:lang w:val="en-US" w:eastAsia="zh-CN"/>
              </w:rPr>
            </w:pPr>
            <w:r>
              <w:rPr>
                <w:rFonts w:hint="eastAsia"/>
                <w:lang w:val="en-US" w:eastAsia="zh-CN"/>
              </w:rPr>
              <w:t>无所谓</w:t>
            </w:r>
          </w:p>
        </w:tc>
        <w:tc>
          <w:tcPr>
            <w:tcW w:w="616" w:type="pct"/>
            <w:vAlign w:val="center"/>
          </w:tcPr>
          <w:p>
            <w:pPr>
              <w:pStyle w:val="18"/>
              <w:widowControl w:val="0"/>
              <w:bidi w:val="0"/>
              <w:rPr>
                <w:rFonts w:hint="default"/>
                <w:lang w:val="en-US" w:eastAsia="zh-CN"/>
              </w:rPr>
            </w:pPr>
            <w:r>
              <w:rPr>
                <w:rFonts w:hint="eastAsia"/>
                <w:lang w:val="en-US" w:eastAsia="zh-CN"/>
              </w:rPr>
              <w:t>0</w:t>
            </w:r>
          </w:p>
        </w:tc>
        <w:tc>
          <w:tcPr>
            <w:tcW w:w="594" w:type="pct"/>
            <w:vAlign w:val="center"/>
          </w:tcPr>
          <w:p>
            <w:pPr>
              <w:pStyle w:val="18"/>
              <w:widowControl w:val="0"/>
              <w:bidi w:val="0"/>
              <w:rPr>
                <w:rFonts w:hint="default"/>
                <w:lang w:val="en-US" w:eastAsia="zh-CN"/>
              </w:rPr>
            </w:pPr>
            <w:r>
              <w:rPr>
                <w:rFonts w:hint="eastAsia"/>
                <w:lang w:val="en-US" w:eastAsia="zh-CN"/>
              </w:rPr>
              <w:t>0</w:t>
            </w:r>
          </w:p>
        </w:tc>
      </w:tr>
    </w:tbl>
    <w:p>
      <w:pPr>
        <w:bidi w:val="0"/>
      </w:pPr>
      <w:r>
        <w:rPr>
          <w:rFonts w:hint="eastAsia"/>
          <w:lang w:val="en-US" w:eastAsia="zh-CN"/>
        </w:rPr>
        <w:t>对沿线居民的意见统计可知：</w:t>
      </w:r>
    </w:p>
    <w:p>
      <w:pPr>
        <w:bidi w:val="0"/>
        <w:outlineLvl w:val="2"/>
      </w:pPr>
      <w:bookmarkStart w:id="135" w:name="_Toc7073"/>
      <w:r>
        <w:rPr>
          <w:rFonts w:hint="eastAsia"/>
          <w:lang w:val="en-US" w:eastAsia="zh-CN"/>
        </w:rPr>
        <w:t>（</w:t>
      </w:r>
      <w:r>
        <w:rPr>
          <w:rFonts w:hint="default"/>
          <w:lang w:val="en-US" w:eastAsia="zh-CN"/>
        </w:rPr>
        <w:t>1</w:t>
      </w:r>
      <w:r>
        <w:rPr>
          <w:rFonts w:hint="eastAsia"/>
          <w:lang w:val="en-US" w:eastAsia="zh-CN"/>
        </w:rPr>
        <w:t>）</w:t>
      </w:r>
      <w:r>
        <w:rPr>
          <w:rFonts w:hint="default"/>
          <w:lang w:val="en-US" w:eastAsia="zh-CN"/>
        </w:rPr>
        <w:t>100%</w:t>
      </w:r>
      <w:r>
        <w:rPr>
          <w:rFonts w:hint="eastAsia"/>
          <w:lang w:val="en-US" w:eastAsia="zh-CN"/>
        </w:rPr>
        <w:t>沿线居民认为修建该道路有利于本地区经济的发展。</w:t>
      </w:r>
      <w:bookmarkEnd w:id="135"/>
    </w:p>
    <w:p>
      <w:pPr>
        <w:bidi w:val="0"/>
      </w:pPr>
      <w:r>
        <w:rPr>
          <w:rFonts w:hint="eastAsia"/>
          <w:lang w:val="en-US" w:eastAsia="zh-CN"/>
        </w:rPr>
        <w:t>（</w:t>
      </w:r>
      <w:r>
        <w:rPr>
          <w:rFonts w:hint="default"/>
          <w:lang w:val="en-US" w:eastAsia="zh-CN"/>
        </w:rPr>
        <w:t>2</w:t>
      </w:r>
      <w:r>
        <w:rPr>
          <w:rFonts w:hint="eastAsia"/>
          <w:lang w:val="en-US" w:eastAsia="zh-CN"/>
        </w:rPr>
        <w:t>）</w:t>
      </w:r>
      <w:r>
        <w:rPr>
          <w:rFonts w:hint="default"/>
          <w:lang w:val="en-US" w:eastAsia="zh-CN"/>
        </w:rPr>
        <w:t>48%</w:t>
      </w:r>
      <w:r>
        <w:rPr>
          <w:rFonts w:hint="eastAsia"/>
          <w:lang w:val="en-US" w:eastAsia="zh-CN"/>
        </w:rPr>
        <w:t>沿线居民认为公路施工期对其影响最大的方面是灰尘，</w:t>
      </w:r>
      <w:r>
        <w:rPr>
          <w:rFonts w:hint="default"/>
          <w:lang w:val="en-US" w:eastAsia="zh-CN"/>
        </w:rPr>
        <w:t>44%</w:t>
      </w:r>
      <w:r>
        <w:rPr>
          <w:rFonts w:hint="eastAsia"/>
          <w:lang w:val="en-US" w:eastAsia="zh-CN"/>
        </w:rPr>
        <w:t>表示是噪声，</w:t>
      </w:r>
      <w:r>
        <w:rPr>
          <w:rFonts w:hint="default"/>
          <w:lang w:val="en-US" w:eastAsia="zh-CN"/>
        </w:rPr>
        <w:t>8%</w:t>
      </w:r>
      <w:r>
        <w:rPr>
          <w:rFonts w:hint="eastAsia"/>
          <w:lang w:val="en-US" w:eastAsia="zh-CN"/>
        </w:rPr>
        <w:t>表示是其他。</w:t>
      </w:r>
    </w:p>
    <w:p>
      <w:pPr>
        <w:bidi w:val="0"/>
      </w:pPr>
      <w:r>
        <w:rPr>
          <w:rFonts w:hint="eastAsia"/>
          <w:lang w:val="en-US" w:eastAsia="zh-CN"/>
        </w:rPr>
        <w:t>（</w:t>
      </w:r>
      <w:r>
        <w:rPr>
          <w:rFonts w:hint="default"/>
          <w:lang w:val="en-US" w:eastAsia="zh-CN"/>
        </w:rPr>
        <w:t>3</w:t>
      </w:r>
      <w:r>
        <w:rPr>
          <w:rFonts w:hint="eastAsia"/>
          <w:lang w:val="en-US" w:eastAsia="zh-CN"/>
        </w:rPr>
        <w:t>）</w:t>
      </w:r>
      <w:r>
        <w:rPr>
          <w:rFonts w:hint="default"/>
          <w:lang w:val="en-US" w:eastAsia="zh-CN"/>
        </w:rPr>
        <w:t>56%</w:t>
      </w:r>
      <w:r>
        <w:rPr>
          <w:rFonts w:hint="eastAsia"/>
          <w:lang w:val="en-US" w:eastAsia="zh-CN"/>
        </w:rPr>
        <w:t>沿线居民认为本项目在夜间</w:t>
      </w:r>
      <w:r>
        <w:rPr>
          <w:rFonts w:hint="default"/>
          <w:lang w:val="en-US" w:eastAsia="zh-CN"/>
        </w:rPr>
        <w:t>22:00</w:t>
      </w:r>
      <w:r>
        <w:rPr>
          <w:rFonts w:hint="eastAsia"/>
          <w:lang w:val="en-US" w:eastAsia="zh-CN"/>
        </w:rPr>
        <w:t>至早晨</w:t>
      </w:r>
      <w:r>
        <w:rPr>
          <w:rFonts w:hint="default"/>
          <w:lang w:val="en-US" w:eastAsia="zh-CN"/>
        </w:rPr>
        <w:t>6:00</w:t>
      </w:r>
      <w:r>
        <w:rPr>
          <w:rFonts w:hint="eastAsia"/>
          <w:lang w:val="en-US" w:eastAsia="zh-CN"/>
        </w:rPr>
        <w:t>时段内，没有高噪声机械施工现象，</w:t>
      </w:r>
      <w:r>
        <w:rPr>
          <w:rFonts w:hint="default"/>
          <w:lang w:val="en-US" w:eastAsia="zh-CN"/>
        </w:rPr>
        <w:t>40%</w:t>
      </w:r>
      <w:r>
        <w:rPr>
          <w:rFonts w:hint="eastAsia"/>
          <w:lang w:val="en-US" w:eastAsia="zh-CN"/>
        </w:rPr>
        <w:t>表示偶尔有，</w:t>
      </w:r>
      <w:r>
        <w:rPr>
          <w:rFonts w:hint="default"/>
          <w:lang w:val="en-US" w:eastAsia="zh-CN"/>
        </w:rPr>
        <w:t>4%</w:t>
      </w:r>
      <w:r>
        <w:rPr>
          <w:rFonts w:hint="eastAsia"/>
          <w:lang w:val="en-US" w:eastAsia="zh-CN"/>
        </w:rPr>
        <w:t>表示没有。</w:t>
      </w:r>
    </w:p>
    <w:p>
      <w:pPr>
        <w:bidi w:val="0"/>
      </w:pPr>
      <w:r>
        <w:rPr>
          <w:rFonts w:hint="eastAsia"/>
          <w:lang w:val="en-US" w:eastAsia="zh-CN"/>
        </w:rPr>
        <w:t>（</w:t>
      </w:r>
      <w:r>
        <w:rPr>
          <w:rFonts w:hint="default"/>
          <w:lang w:val="en-US" w:eastAsia="zh-CN"/>
        </w:rPr>
        <w:t>4</w:t>
      </w:r>
      <w:r>
        <w:rPr>
          <w:rFonts w:hint="eastAsia"/>
          <w:lang w:val="en-US" w:eastAsia="zh-CN"/>
        </w:rPr>
        <w:t>）</w:t>
      </w:r>
      <w:r>
        <w:rPr>
          <w:rFonts w:hint="default"/>
          <w:lang w:val="en-US" w:eastAsia="zh-CN"/>
        </w:rPr>
        <w:t>40%</w:t>
      </w:r>
      <w:r>
        <w:rPr>
          <w:rFonts w:hint="eastAsia"/>
          <w:lang w:val="en-US" w:eastAsia="zh-CN"/>
        </w:rPr>
        <w:t>的沿线居民认为项目建成后对您影响较大的是噪声，32</w:t>
      </w:r>
      <w:r>
        <w:rPr>
          <w:rFonts w:hint="default"/>
          <w:lang w:val="en-US" w:eastAsia="zh-CN"/>
        </w:rPr>
        <w:t>%</w:t>
      </w:r>
      <w:r>
        <w:rPr>
          <w:rFonts w:hint="eastAsia"/>
          <w:lang w:val="en-US" w:eastAsia="zh-CN"/>
        </w:rPr>
        <w:t>表示是汽车尾气，28</w:t>
      </w:r>
      <w:r>
        <w:rPr>
          <w:rFonts w:hint="default"/>
          <w:lang w:val="en-US" w:eastAsia="zh-CN"/>
        </w:rPr>
        <w:t>%</w:t>
      </w:r>
      <w:r>
        <w:rPr>
          <w:rFonts w:hint="eastAsia"/>
          <w:lang w:val="en-US" w:eastAsia="zh-CN"/>
        </w:rPr>
        <w:t>表示是灰尘。</w:t>
      </w:r>
    </w:p>
    <w:p>
      <w:pPr>
        <w:bidi w:val="0"/>
      </w:pPr>
      <w:r>
        <w:rPr>
          <w:rFonts w:hint="eastAsia"/>
          <w:lang w:val="en-US" w:eastAsia="zh-CN"/>
        </w:rPr>
        <w:t>（</w:t>
      </w:r>
      <w:r>
        <w:rPr>
          <w:rFonts w:hint="default"/>
          <w:lang w:val="en-US" w:eastAsia="zh-CN"/>
        </w:rPr>
        <w:t>5</w:t>
      </w:r>
      <w:r>
        <w:rPr>
          <w:rFonts w:hint="eastAsia"/>
          <w:lang w:val="en-US" w:eastAsia="zh-CN"/>
        </w:rPr>
        <w:t>）</w:t>
      </w:r>
      <w:r>
        <w:rPr>
          <w:rFonts w:hint="default"/>
          <w:lang w:val="en-US" w:eastAsia="zh-CN"/>
        </w:rPr>
        <w:t>52%</w:t>
      </w:r>
      <w:r>
        <w:rPr>
          <w:rFonts w:hint="eastAsia"/>
          <w:lang w:val="en-US" w:eastAsia="zh-CN"/>
        </w:rPr>
        <w:t>的沿线居民对项目建成后的通行感到满意，</w:t>
      </w:r>
      <w:r>
        <w:rPr>
          <w:rFonts w:hint="default"/>
          <w:lang w:val="en-US" w:eastAsia="zh-CN"/>
        </w:rPr>
        <w:t>48%</w:t>
      </w:r>
      <w:r>
        <w:rPr>
          <w:rFonts w:hint="eastAsia"/>
          <w:lang w:val="en-US" w:eastAsia="zh-CN"/>
        </w:rPr>
        <w:t>表示基本满意。</w:t>
      </w:r>
    </w:p>
    <w:p>
      <w:pPr>
        <w:bidi w:val="0"/>
      </w:pPr>
      <w:r>
        <w:rPr>
          <w:rFonts w:hint="eastAsia"/>
          <w:lang w:val="en-US" w:eastAsia="zh-CN"/>
        </w:rPr>
        <w:t>（</w:t>
      </w:r>
      <w:r>
        <w:rPr>
          <w:rFonts w:hint="default"/>
          <w:lang w:val="en-US" w:eastAsia="zh-CN"/>
        </w:rPr>
        <w:t>6</w:t>
      </w:r>
      <w:r>
        <w:rPr>
          <w:rFonts w:hint="eastAsia"/>
          <w:lang w:val="en-US" w:eastAsia="zh-CN"/>
        </w:rPr>
        <w:t>）12</w:t>
      </w:r>
      <w:r>
        <w:rPr>
          <w:rFonts w:hint="default"/>
          <w:lang w:val="en-US" w:eastAsia="zh-CN"/>
        </w:rPr>
        <w:t>%</w:t>
      </w:r>
      <w:r>
        <w:rPr>
          <w:rFonts w:hint="eastAsia"/>
          <w:lang w:val="en-US" w:eastAsia="zh-CN"/>
        </w:rPr>
        <w:t>的沿线居民认为附近通道内经常有积水现象，</w:t>
      </w:r>
      <w:r>
        <w:rPr>
          <w:rFonts w:hint="default"/>
          <w:lang w:val="en-US" w:eastAsia="zh-CN"/>
        </w:rPr>
        <w:t>28%</w:t>
      </w:r>
      <w:r>
        <w:rPr>
          <w:rFonts w:hint="eastAsia"/>
          <w:lang w:val="en-US" w:eastAsia="zh-CN"/>
        </w:rPr>
        <w:t>表示偶尔有，60</w:t>
      </w:r>
      <w:r>
        <w:rPr>
          <w:rFonts w:hint="default"/>
          <w:lang w:val="en-US" w:eastAsia="zh-CN"/>
        </w:rPr>
        <w:t>%</w:t>
      </w:r>
      <w:r>
        <w:rPr>
          <w:rFonts w:hint="eastAsia"/>
          <w:lang w:val="en-US" w:eastAsia="zh-CN"/>
        </w:rPr>
        <w:t>表示经常有。</w:t>
      </w:r>
    </w:p>
    <w:p>
      <w:pPr>
        <w:bidi w:val="0"/>
      </w:pPr>
      <w:r>
        <w:rPr>
          <w:rFonts w:hint="eastAsia"/>
          <w:lang w:val="en-US" w:eastAsia="zh-CN"/>
        </w:rPr>
        <w:t>（</w:t>
      </w:r>
      <w:r>
        <w:rPr>
          <w:rFonts w:hint="default"/>
          <w:lang w:val="en-US" w:eastAsia="zh-CN"/>
        </w:rPr>
        <w:t>7</w:t>
      </w:r>
      <w:r>
        <w:rPr>
          <w:rFonts w:hint="eastAsia"/>
          <w:lang w:val="en-US" w:eastAsia="zh-CN"/>
        </w:rPr>
        <w:t>）</w:t>
      </w:r>
      <w:r>
        <w:rPr>
          <w:rFonts w:hint="default"/>
          <w:lang w:val="en-US" w:eastAsia="zh-CN"/>
        </w:rPr>
        <w:t>72%</w:t>
      </w:r>
      <w:r>
        <w:rPr>
          <w:rFonts w:hint="eastAsia"/>
          <w:lang w:val="en-US" w:eastAsia="zh-CN"/>
        </w:rPr>
        <w:t>的沿线居民建议采取绿化措施减轻影响，</w:t>
      </w:r>
      <w:r>
        <w:rPr>
          <w:rFonts w:hint="default"/>
          <w:lang w:val="en-US" w:eastAsia="zh-CN"/>
        </w:rPr>
        <w:t>20%</w:t>
      </w:r>
      <w:r>
        <w:rPr>
          <w:rFonts w:hint="eastAsia"/>
          <w:lang w:val="en-US" w:eastAsia="zh-CN"/>
        </w:rPr>
        <w:t>的公众建议采取隔声窗减轻影响，</w:t>
      </w:r>
      <w:r>
        <w:rPr>
          <w:rFonts w:hint="default"/>
          <w:lang w:val="en-US" w:eastAsia="zh-CN"/>
        </w:rPr>
        <w:t>8%</w:t>
      </w:r>
      <w:r>
        <w:rPr>
          <w:rFonts w:hint="eastAsia"/>
          <w:lang w:val="en-US" w:eastAsia="zh-CN"/>
        </w:rPr>
        <w:t>的公众建议采取其他措施减轻影响。</w:t>
      </w:r>
    </w:p>
    <w:p>
      <w:pPr>
        <w:bidi w:val="0"/>
      </w:pPr>
      <w:r>
        <w:rPr>
          <w:rFonts w:hint="eastAsia"/>
          <w:lang w:val="en-US" w:eastAsia="zh-CN"/>
        </w:rPr>
        <w:t>（</w:t>
      </w:r>
      <w:r>
        <w:rPr>
          <w:rFonts w:hint="default"/>
          <w:lang w:val="en-US" w:eastAsia="zh-CN"/>
        </w:rPr>
        <w:t>8</w:t>
      </w:r>
      <w:r>
        <w:rPr>
          <w:rFonts w:hint="eastAsia"/>
          <w:lang w:val="en-US" w:eastAsia="zh-CN"/>
        </w:rPr>
        <w:t>）60</w:t>
      </w:r>
      <w:r>
        <w:rPr>
          <w:rFonts w:hint="default"/>
          <w:lang w:val="en-US" w:eastAsia="zh-CN"/>
        </w:rPr>
        <w:t>%</w:t>
      </w:r>
      <w:r>
        <w:rPr>
          <w:rFonts w:hint="eastAsia"/>
          <w:lang w:val="en-US" w:eastAsia="zh-CN"/>
        </w:rPr>
        <w:t>的沿线居民对本工程环境保护工作满意，</w:t>
      </w:r>
      <w:r>
        <w:rPr>
          <w:rFonts w:hint="default"/>
          <w:lang w:val="en-US" w:eastAsia="zh-CN"/>
        </w:rPr>
        <w:t>4</w:t>
      </w:r>
      <w:r>
        <w:rPr>
          <w:rFonts w:hint="eastAsia"/>
          <w:lang w:val="en-US" w:eastAsia="zh-CN"/>
        </w:rPr>
        <w:t>0</w:t>
      </w:r>
      <w:r>
        <w:rPr>
          <w:rFonts w:hint="default"/>
          <w:lang w:val="en-US" w:eastAsia="zh-CN"/>
        </w:rPr>
        <w:t>%</w:t>
      </w:r>
      <w:r>
        <w:rPr>
          <w:rFonts w:hint="eastAsia"/>
          <w:lang w:val="en-US" w:eastAsia="zh-CN"/>
        </w:rPr>
        <w:t>表示基本满意。</w:t>
      </w:r>
    </w:p>
    <w:p>
      <w:pPr>
        <w:bidi w:val="0"/>
      </w:pPr>
      <w:r>
        <w:rPr>
          <w:rFonts w:hint="eastAsia"/>
          <w:lang w:val="en-US" w:eastAsia="zh-CN"/>
        </w:rPr>
        <w:t>综上所述，调查过程中，受调查的沿线居民公正的表明了自己对本项目建设持支持的态度。</w:t>
      </w:r>
    </w:p>
    <w:p>
      <w:pPr>
        <w:pStyle w:val="5"/>
        <w:bidi w:val="0"/>
        <w:outlineLvl w:val="0"/>
        <w:rPr>
          <w:rFonts w:hint="default"/>
          <w:lang w:val="en-US" w:eastAsia="zh-CN"/>
        </w:rPr>
      </w:pPr>
      <w:bookmarkStart w:id="136" w:name="_Toc19037"/>
      <w:r>
        <w:rPr>
          <w:rFonts w:hint="eastAsia"/>
          <w:lang w:val="en-US" w:eastAsia="zh-CN"/>
        </w:rPr>
        <w:t>9.4走访调查结果</w:t>
      </w:r>
      <w:bookmarkEnd w:id="136"/>
    </w:p>
    <w:p>
      <w:pPr>
        <w:bidi w:val="0"/>
      </w:pPr>
      <w:r>
        <w:rPr>
          <w:rFonts w:hint="eastAsia"/>
          <w:lang w:val="en-US" w:eastAsia="zh-CN"/>
        </w:rPr>
        <w:t>本项目在竣工环境保护验收调查期间，以电话调查的方式咨询了当地生态环境局的意见。调查结果为：项目在施工期及运营期未收到有关环境污染方面的投诉。</w:t>
      </w:r>
    </w:p>
    <w:p>
      <w:pPr>
        <w:pStyle w:val="5"/>
        <w:bidi w:val="0"/>
        <w:outlineLvl w:val="0"/>
        <w:rPr>
          <w:rFonts w:hint="default"/>
          <w:lang w:val="en-US" w:eastAsia="zh-CN"/>
        </w:rPr>
      </w:pPr>
      <w:bookmarkStart w:id="137" w:name="_Toc5827"/>
      <w:r>
        <w:rPr>
          <w:rFonts w:hint="eastAsia"/>
          <w:lang w:val="en-US" w:eastAsia="zh-CN"/>
        </w:rPr>
        <w:t>9.5公众意见调查结论</w:t>
      </w:r>
      <w:bookmarkEnd w:id="137"/>
    </w:p>
    <w:p>
      <w:pPr>
        <w:bidi w:val="0"/>
      </w:pPr>
      <w:r>
        <w:rPr>
          <w:rFonts w:hint="eastAsia"/>
          <w:lang w:val="en-US" w:eastAsia="zh-CN"/>
        </w:rPr>
        <w:t>调查期间，环保部门和建设单位未收到投诉。通过沿线居民调查，</w:t>
      </w:r>
      <w:r>
        <w:rPr>
          <w:rFonts w:hint="default"/>
          <w:lang w:val="en-US" w:eastAsia="zh-CN"/>
        </w:rPr>
        <w:t>100%</w:t>
      </w:r>
      <w:r>
        <w:rPr>
          <w:rFonts w:hint="eastAsia"/>
          <w:lang w:val="en-US" w:eastAsia="zh-CN"/>
        </w:rPr>
        <w:t>的沿线居民均认为该项目的修建有利于本地区的经济发展和改善本地区的交通状况，</w:t>
      </w:r>
      <w:r>
        <w:rPr>
          <w:rFonts w:hint="default"/>
          <w:lang w:val="en-US" w:eastAsia="zh-CN"/>
        </w:rPr>
        <w:t>100%</w:t>
      </w:r>
      <w:r>
        <w:rPr>
          <w:rFonts w:hint="eastAsia"/>
          <w:lang w:val="en-US" w:eastAsia="zh-CN"/>
        </w:rPr>
        <w:t>的沿线居民对工程环保工作的总体评价表示满意或基本满意。建设单位在环保工作方面得到了公众的肯定。</w:t>
      </w:r>
    </w:p>
    <w:p>
      <w:pPr>
        <w:bidi w:val="0"/>
      </w:pPr>
      <w:r>
        <w:rPr>
          <w:rFonts w:hint="eastAsia"/>
          <w:lang w:val="en-US" w:eastAsia="zh-CN"/>
        </w:rPr>
        <w:t>本项目建设为地区生产和生活提供了便利快捷的运输通道，也有利于当地经济的发展。调查的沿线居民对工程环保工作的总体评价表示满意或基本满意。</w:t>
      </w:r>
    </w:p>
    <w:p>
      <w:pPr>
        <w:bidi w:val="0"/>
        <w:rPr>
          <w:rFonts w:hint="default"/>
          <w:lang w:val="en-US" w:eastAsia="zh-CN"/>
        </w:rPr>
        <w:sectPr>
          <w:pgSz w:w="11906" w:h="16838"/>
          <w:pgMar w:top="1440" w:right="1800" w:bottom="1440" w:left="1800" w:header="992"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bidi w:val="0"/>
        <w:outlineLvl w:val="1"/>
      </w:pPr>
      <w:bookmarkStart w:id="138" w:name="_Toc6065"/>
      <w:r>
        <w:t>十 调查结论及建议</w:t>
      </w:r>
      <w:bookmarkEnd w:id="138"/>
    </w:p>
    <w:p>
      <w:pPr>
        <w:pStyle w:val="5"/>
        <w:bidi w:val="0"/>
        <w:outlineLvl w:val="0"/>
      </w:pPr>
      <w:bookmarkStart w:id="139" w:name="_Toc21180"/>
      <w:r>
        <w:t>10.1</w:t>
      </w:r>
      <w:r>
        <w:rPr>
          <w:rFonts w:hint="eastAsia"/>
          <w:lang w:val="en-US" w:eastAsia="zh-CN"/>
        </w:rPr>
        <w:t>工程</w:t>
      </w:r>
      <w:r>
        <w:t>调查结论</w:t>
      </w:r>
      <w:bookmarkEnd w:id="139"/>
    </w:p>
    <w:p>
      <w:pPr>
        <w:bidi w:val="0"/>
      </w:pPr>
      <w:r>
        <w:t>201</w:t>
      </w:r>
      <w:r>
        <w:rPr>
          <w:rFonts w:hint="eastAsia"/>
          <w:lang w:val="en-US" w:eastAsia="zh-CN"/>
        </w:rPr>
        <w:t>7</w:t>
      </w:r>
      <w:r>
        <w:t>年</w:t>
      </w:r>
      <w:r>
        <w:rPr>
          <w:rFonts w:hint="eastAsia"/>
          <w:lang w:val="en-US" w:eastAsia="zh-CN"/>
        </w:rPr>
        <w:t>3</w:t>
      </w:r>
      <w:r>
        <w:t>月，</w:t>
      </w:r>
      <w:r>
        <w:rPr>
          <w:rFonts w:hint="eastAsia"/>
          <w:lang w:val="en-US" w:eastAsia="zh-CN"/>
        </w:rPr>
        <w:t>新疆润盛投资发展有限公司</w:t>
      </w:r>
      <w:r>
        <w:t>委托</w:t>
      </w:r>
      <w:r>
        <w:rPr>
          <w:rFonts w:hint="eastAsia"/>
          <w:lang w:val="en-US" w:eastAsia="zh-CN"/>
        </w:rPr>
        <w:t>新疆天合环境技术咨询有限公司</w:t>
      </w:r>
      <w:r>
        <w:t>编制《</w:t>
      </w:r>
      <w:r>
        <w:rPr>
          <w:rFonts w:hint="eastAsia"/>
          <w:lang w:val="en-US" w:eastAsia="zh-CN"/>
        </w:rPr>
        <w:t>开</w:t>
      </w:r>
      <w:r>
        <w:t>发区2017年基础设施建设项</w:t>
      </w:r>
      <w:r>
        <w:rPr>
          <w:rFonts w:hint="eastAsia"/>
          <w:lang w:val="en-US" w:eastAsia="zh-CN"/>
        </w:rPr>
        <w:t>目</w:t>
      </w:r>
      <w:r>
        <w:t>配套道路及附属工程项目环境影响报告书》，并于2017年</w:t>
      </w:r>
      <w:r>
        <w:rPr>
          <w:rFonts w:hint="eastAsia"/>
          <w:lang w:val="en-US" w:eastAsia="zh-CN"/>
        </w:rPr>
        <w:t>6</w:t>
      </w:r>
      <w:r>
        <w:t>月</w:t>
      </w:r>
      <w:r>
        <w:rPr>
          <w:rFonts w:hint="eastAsia"/>
          <w:lang w:val="en-US" w:eastAsia="zh-CN"/>
        </w:rPr>
        <w:t>30</w:t>
      </w:r>
      <w:r>
        <w:t>日，该项目通过</w:t>
      </w:r>
      <w:r>
        <w:rPr>
          <w:rFonts w:hint="eastAsia"/>
          <w:lang w:val="en-US" w:eastAsia="zh-CN"/>
        </w:rPr>
        <w:t>原奎屯-独山子经济技术开发区环境保护局</w:t>
      </w:r>
      <w:r>
        <w:t>的批复(文件号：</w:t>
      </w:r>
      <w:r>
        <w:rPr>
          <w:rFonts w:hint="eastAsia"/>
          <w:lang w:val="en-US" w:eastAsia="zh-CN"/>
        </w:rPr>
        <w:t>奎独开环函</w:t>
      </w:r>
      <w:r>
        <w:rPr>
          <w:rFonts w:hint="default"/>
        </w:rPr>
        <w:t>[</w:t>
      </w:r>
      <w:r>
        <w:rPr>
          <w:rFonts w:hint="default"/>
          <w:lang w:val="en-US" w:eastAsia="zh-CN"/>
        </w:rPr>
        <w:t>20</w:t>
      </w:r>
      <w:r>
        <w:rPr>
          <w:rFonts w:hint="eastAsia"/>
          <w:lang w:val="en-US" w:eastAsia="zh-CN"/>
        </w:rPr>
        <w:t>17</w:t>
      </w:r>
      <w:r>
        <w:rPr>
          <w:rFonts w:hint="default"/>
        </w:rPr>
        <w:t>]</w:t>
      </w:r>
      <w:r>
        <w:rPr>
          <w:rFonts w:hint="eastAsia"/>
          <w:lang w:val="en-US" w:eastAsia="zh-CN"/>
        </w:rPr>
        <w:t>14</w:t>
      </w:r>
      <w:r>
        <w:rPr>
          <w:rFonts w:hint="default"/>
        </w:rPr>
        <w:t>号</w:t>
      </w:r>
      <w:r>
        <w:t>)。</w:t>
      </w:r>
    </w:p>
    <w:p>
      <w:pPr>
        <w:keepNext w:val="0"/>
        <w:keepLines w:val="0"/>
        <w:widowControl/>
        <w:suppressLineNumbers w:val="0"/>
        <w:jc w:val="left"/>
        <w:rPr>
          <w:rFonts w:hint="eastAsia"/>
          <w:lang w:eastAsia="zh-CN"/>
        </w:rPr>
      </w:pPr>
      <w:r>
        <w:rPr>
          <w:rFonts w:hint="eastAsia"/>
          <w:lang w:eastAsia="zh-CN"/>
        </w:rPr>
        <w:t>开发区2017年基础设施建设项目配套道路及附属工程，位于奎屯-独山子经济技术开发区。本项目建设道路总长度17.39km，属道路新建、改扩建项目其中新建、改扩建道路各3条。各条道路位置分述如下：(1)阿克苏路东延起点与鄯善街相交，终点接长江路，道路全长7225.06m；(2)南环路东延起点为黄河路，终点为长江路，道路全长3127.66m；(3)淮河路起点为217国道，终点为福盛路交汇点，道路全长1248.78m；(4)东外环路起点为东外环路与贵阳路交叉路口，终点为与S115线交叉路口，道路</w:t>
      </w:r>
      <w:r>
        <w:rPr>
          <w:rFonts w:hint="eastAsia"/>
          <w:lang w:val="en-US" w:eastAsia="zh-CN"/>
        </w:rPr>
        <w:t>全长</w:t>
      </w:r>
      <w:r>
        <w:rPr>
          <w:rFonts w:hint="eastAsia"/>
          <w:lang w:eastAsia="zh-CN"/>
        </w:rPr>
        <w:t>2720.509m；(5)米泉街起点为南环路南侧拟建厂区门口，道路终点为阿克苏路与米泉街交汇点，道路全长1499.722m；(6)吐鲁番街起点为南环路与吐鲁番街交汇点，终点为库尔勒路与吐鲁番街交汇点，道路全长1572.724m。项目</w:t>
      </w:r>
      <w:r>
        <w:rPr>
          <w:rFonts w:hint="eastAsia"/>
          <w:lang w:val="en-US" w:eastAsia="zh-CN"/>
        </w:rPr>
        <w:t>实际</w:t>
      </w:r>
      <w:r>
        <w:rPr>
          <w:rFonts w:hint="eastAsia"/>
          <w:lang w:eastAsia="zh-CN"/>
        </w:rPr>
        <w:t>总投资23300万元：其中环保投资2349万元，占总投资的10.08%。</w:t>
      </w:r>
    </w:p>
    <w:p>
      <w:pPr>
        <w:keepNext w:val="0"/>
        <w:keepLines w:val="0"/>
        <w:widowControl/>
        <w:suppressLineNumbers w:val="0"/>
        <w:jc w:val="left"/>
      </w:pPr>
      <w:r>
        <w:rPr>
          <w:rFonts w:hint="eastAsia" w:ascii="宋体" w:hAnsi="宋体" w:eastAsia="宋体" w:cs="宋体"/>
          <w:snapToGrid w:val="0"/>
          <w:color w:val="000000"/>
          <w:kern w:val="0"/>
          <w:sz w:val="24"/>
          <w:szCs w:val="24"/>
          <w:lang w:val="en-US" w:eastAsia="zh-CN" w:bidi="ar"/>
        </w:rPr>
        <w:t>本次验收工程调查与环评阶段相比，项目建设规模、地点和环境保护措施均未发生重大变动。</w:t>
      </w:r>
    </w:p>
    <w:p>
      <w:pPr>
        <w:pStyle w:val="5"/>
        <w:bidi w:val="0"/>
        <w:outlineLvl w:val="0"/>
      </w:pPr>
      <w:bookmarkStart w:id="140" w:name="_Toc22410"/>
      <w:r>
        <w:t>10.</w:t>
      </w:r>
      <w:r>
        <w:rPr>
          <w:rFonts w:hint="eastAsia"/>
          <w:lang w:val="en-US" w:eastAsia="zh-CN"/>
        </w:rPr>
        <w:t>2</w:t>
      </w:r>
      <w:r>
        <w:t>环境保护</w:t>
      </w:r>
      <w:r>
        <w:rPr>
          <w:rFonts w:hint="eastAsia"/>
          <w:lang w:val="en-US" w:eastAsia="zh-CN"/>
        </w:rPr>
        <w:t>措施落实</w:t>
      </w:r>
      <w:r>
        <w:t>情况</w:t>
      </w:r>
      <w:bookmarkEnd w:id="140"/>
    </w:p>
    <w:p>
      <w:pPr>
        <w:bidi w:val="0"/>
      </w:pPr>
      <w:r>
        <w:rPr>
          <w:rFonts w:hint="eastAsia"/>
          <w:lang w:val="en-US" w:eastAsia="zh-CN"/>
        </w:rPr>
        <w:t>经调查，项目在施工和运营各阶段始终重视环保工作，按照环评报告书及其批复提出的环保措施要求及建议，落实了防尘、降噪、水污染等污染防治措施，实施了水土保持方案、绿化工程以及临时用地恢复等生态保护措施。试运营期间道路运营情况较好，经调查及走访，未对道路沿线环境造成不利影响。</w:t>
      </w:r>
    </w:p>
    <w:p>
      <w:pPr>
        <w:pStyle w:val="5"/>
        <w:bidi w:val="0"/>
        <w:outlineLvl w:val="0"/>
        <w:rPr>
          <w:rFonts w:hint="default"/>
          <w:lang w:val="en-US" w:eastAsia="zh-CN"/>
        </w:rPr>
      </w:pPr>
      <w:bookmarkStart w:id="141" w:name="_Toc6398"/>
      <w:r>
        <w:rPr>
          <w:rFonts w:hint="eastAsia"/>
          <w:lang w:val="en-US" w:eastAsia="zh-CN"/>
        </w:rPr>
        <w:t>10.3验收调查结果</w:t>
      </w:r>
      <w:bookmarkEnd w:id="141"/>
    </w:p>
    <w:p>
      <w:pPr>
        <w:pStyle w:val="6"/>
        <w:bidi w:val="0"/>
        <w:outlineLvl w:val="1"/>
        <w:rPr>
          <w:rFonts w:hint="default"/>
          <w:lang w:val="en-US" w:eastAsia="zh-CN"/>
        </w:rPr>
      </w:pPr>
      <w:bookmarkStart w:id="142" w:name="_Toc20472"/>
      <w:r>
        <w:rPr>
          <w:rFonts w:hint="eastAsia"/>
          <w:lang w:val="en-US" w:eastAsia="zh-CN"/>
        </w:rPr>
        <w:t>10.3.1生态环境影响</w:t>
      </w:r>
      <w:bookmarkEnd w:id="142"/>
    </w:p>
    <w:p>
      <w:pPr>
        <w:bidi w:val="0"/>
      </w:pPr>
      <w:r>
        <w:rPr>
          <w:rFonts w:hint="eastAsia"/>
          <w:lang w:val="en-US" w:eastAsia="zh-CN"/>
        </w:rPr>
        <w:t>工程建设不会对当地土地利用总体格局产生大的影响；对区域内动植物的影响较小，不会减少区域内野生动植物种类；不会干扰沿线动物的正常活动，也不会对其生活习性造成大的改变；对沿线水生生物的影响较小；对区域自然体系生态完整性不会造成大的影响。</w:t>
      </w:r>
    </w:p>
    <w:p>
      <w:pPr>
        <w:pStyle w:val="6"/>
        <w:bidi w:val="0"/>
        <w:outlineLvl w:val="1"/>
      </w:pPr>
      <w:bookmarkStart w:id="143" w:name="_Toc14391"/>
      <w:r>
        <w:rPr>
          <w:rFonts w:hint="default"/>
          <w:lang w:val="en-US" w:eastAsia="zh-CN"/>
        </w:rPr>
        <w:t>1</w:t>
      </w:r>
      <w:r>
        <w:rPr>
          <w:rFonts w:hint="eastAsia"/>
          <w:lang w:val="en-US" w:eastAsia="zh-CN"/>
        </w:rPr>
        <w:t>0</w:t>
      </w:r>
      <w:r>
        <w:rPr>
          <w:rFonts w:hint="default"/>
          <w:lang w:val="en-US" w:eastAsia="zh-CN"/>
        </w:rPr>
        <w:t>.3.2</w:t>
      </w:r>
      <w:r>
        <w:rPr>
          <w:rFonts w:hint="eastAsia"/>
          <w:lang w:val="en-US" w:eastAsia="zh-CN"/>
        </w:rPr>
        <w:t>声环境影响</w:t>
      </w:r>
      <w:bookmarkEnd w:id="143"/>
    </w:p>
    <w:p>
      <w:pPr>
        <w:bidi w:val="0"/>
      </w:pPr>
      <w:r>
        <w:rPr>
          <w:rFonts w:hint="eastAsia"/>
          <w:lang w:val="en-US" w:eastAsia="zh-CN"/>
        </w:rPr>
        <w:t>项目在施工期和运营期，已按照环评报告书及其批复要求落实了噪声污染防治措施，道路沿线进行绿化种植、采用沥青降噪路面等噪声污染防治措施，声环境防治措施效果良好。根据声环境现状监测，噪声监测结果能够达到《声环境质量标准》（</w:t>
      </w:r>
      <w:r>
        <w:rPr>
          <w:rFonts w:hint="default"/>
          <w:lang w:val="en-US" w:eastAsia="zh-CN"/>
        </w:rPr>
        <w:t>GB3096-2008</w:t>
      </w:r>
      <w:r>
        <w:rPr>
          <w:rFonts w:hint="eastAsia"/>
          <w:lang w:val="en-US" w:eastAsia="zh-CN"/>
        </w:rPr>
        <w:t>）相应标准限值要求。</w:t>
      </w:r>
    </w:p>
    <w:p>
      <w:pPr>
        <w:pStyle w:val="6"/>
        <w:bidi w:val="0"/>
        <w:outlineLvl w:val="1"/>
      </w:pPr>
      <w:bookmarkStart w:id="144" w:name="_Toc6753"/>
      <w:r>
        <w:rPr>
          <w:rFonts w:hint="default"/>
          <w:lang w:val="en-US" w:eastAsia="zh-CN"/>
        </w:rPr>
        <w:t>1</w:t>
      </w:r>
      <w:r>
        <w:rPr>
          <w:rFonts w:hint="eastAsia"/>
          <w:lang w:val="en-US" w:eastAsia="zh-CN"/>
        </w:rPr>
        <w:t>0</w:t>
      </w:r>
      <w:r>
        <w:rPr>
          <w:rFonts w:hint="default"/>
          <w:lang w:val="en-US" w:eastAsia="zh-CN"/>
        </w:rPr>
        <w:t>.3.3</w:t>
      </w:r>
      <w:r>
        <w:rPr>
          <w:rFonts w:hint="eastAsia"/>
          <w:lang w:val="en-US" w:eastAsia="zh-CN"/>
        </w:rPr>
        <w:t>环境空气影响</w:t>
      </w:r>
      <w:bookmarkEnd w:id="144"/>
    </w:p>
    <w:p>
      <w:pPr>
        <w:bidi w:val="0"/>
      </w:pPr>
      <w:r>
        <w:rPr>
          <w:rFonts w:hint="eastAsia"/>
          <w:lang w:val="en-US" w:eastAsia="zh-CN"/>
        </w:rPr>
        <w:t>项目在施工期和运营期均认真执行了环评和批复要求落实的环保措施，积极采取了有效的大气污染防治措施，降低了大气污染物对周边敏感点的影响。目前道路已安排有洒水车定期对道路进行洒水抑尘，并对沿线绿化进行维护，项目沿线周边环境空气质量较好。</w:t>
      </w:r>
    </w:p>
    <w:p>
      <w:pPr>
        <w:pStyle w:val="6"/>
        <w:bidi w:val="0"/>
        <w:outlineLvl w:val="1"/>
      </w:pPr>
      <w:bookmarkStart w:id="145" w:name="_Toc7136"/>
      <w:r>
        <w:rPr>
          <w:rFonts w:hint="default"/>
          <w:lang w:val="en-US" w:eastAsia="zh-CN"/>
        </w:rPr>
        <w:t>1</w:t>
      </w:r>
      <w:r>
        <w:rPr>
          <w:rFonts w:hint="eastAsia"/>
          <w:lang w:val="en-US" w:eastAsia="zh-CN"/>
        </w:rPr>
        <w:t>0</w:t>
      </w:r>
      <w:r>
        <w:rPr>
          <w:rFonts w:hint="default"/>
          <w:lang w:val="en-US" w:eastAsia="zh-CN"/>
        </w:rPr>
        <w:t>.3.4</w:t>
      </w:r>
      <w:r>
        <w:rPr>
          <w:rFonts w:hint="eastAsia"/>
          <w:lang w:val="en-US" w:eastAsia="zh-CN"/>
        </w:rPr>
        <w:t>水环境影响</w:t>
      </w:r>
      <w:bookmarkEnd w:id="145"/>
    </w:p>
    <w:p>
      <w:pPr>
        <w:bidi w:val="0"/>
      </w:pPr>
      <w:r>
        <w:rPr>
          <w:rFonts w:hint="eastAsia"/>
          <w:lang w:val="en-US" w:eastAsia="zh-CN"/>
        </w:rPr>
        <w:t>施工期间，建设单位采取了有效的防治水体环境污染的措施，施工废水、场地雨水经沉淀后回用，生活污水经当地民房现有排水系统处理；运营期无废水产生，路面设置有完善的排水系统，运营维护单位定期清洁维护排水管网。本项目调查范围内不涉及集中式饮用水源地及其保护区。综上所述，本项目建设各阶段均采取了有效的防治水体污染的措施，总体上对水环境影响不大。</w:t>
      </w:r>
    </w:p>
    <w:p>
      <w:pPr>
        <w:pStyle w:val="6"/>
        <w:bidi w:val="0"/>
        <w:outlineLvl w:val="1"/>
      </w:pPr>
      <w:bookmarkStart w:id="146" w:name="_Toc30045"/>
      <w:r>
        <w:rPr>
          <w:rFonts w:hint="default"/>
          <w:lang w:val="en-US" w:eastAsia="zh-CN"/>
        </w:rPr>
        <w:t>1</w:t>
      </w:r>
      <w:r>
        <w:rPr>
          <w:rFonts w:hint="eastAsia"/>
          <w:lang w:val="en-US" w:eastAsia="zh-CN"/>
        </w:rPr>
        <w:t>0</w:t>
      </w:r>
      <w:r>
        <w:rPr>
          <w:rFonts w:hint="default"/>
          <w:lang w:val="en-US" w:eastAsia="zh-CN"/>
        </w:rPr>
        <w:t>.3.5</w:t>
      </w:r>
      <w:r>
        <w:rPr>
          <w:rFonts w:hint="eastAsia"/>
          <w:lang w:val="en-US" w:eastAsia="zh-CN"/>
        </w:rPr>
        <w:t>固体废物影响</w:t>
      </w:r>
      <w:bookmarkEnd w:id="146"/>
    </w:p>
    <w:p>
      <w:pPr>
        <w:bidi w:val="0"/>
      </w:pPr>
      <w:r>
        <w:rPr>
          <w:rFonts w:hint="eastAsia"/>
          <w:lang w:val="en-US" w:eastAsia="zh-CN"/>
        </w:rPr>
        <w:t>根据现场调查结果表明，本项目已按环评报告及其批复落实了固废相关处置措施，项目产生的固废均能够得到妥善处置，固废对环境影响较小。</w:t>
      </w:r>
    </w:p>
    <w:p>
      <w:pPr>
        <w:pStyle w:val="6"/>
        <w:bidi w:val="0"/>
        <w:outlineLvl w:val="1"/>
      </w:pPr>
      <w:bookmarkStart w:id="147" w:name="_Toc3367"/>
      <w:r>
        <w:rPr>
          <w:rFonts w:hint="default"/>
          <w:lang w:val="en-US" w:eastAsia="zh-CN"/>
        </w:rPr>
        <w:t>1</w:t>
      </w:r>
      <w:r>
        <w:rPr>
          <w:rFonts w:hint="eastAsia"/>
          <w:lang w:val="en-US" w:eastAsia="zh-CN"/>
        </w:rPr>
        <w:t>0</w:t>
      </w:r>
      <w:r>
        <w:rPr>
          <w:rFonts w:hint="default"/>
          <w:lang w:val="en-US" w:eastAsia="zh-CN"/>
        </w:rPr>
        <w:t>.3.6</w:t>
      </w:r>
      <w:r>
        <w:rPr>
          <w:rFonts w:hint="eastAsia"/>
          <w:lang w:val="en-US" w:eastAsia="zh-CN"/>
        </w:rPr>
        <w:t>社会环境影响调查结论</w:t>
      </w:r>
      <w:bookmarkEnd w:id="147"/>
    </w:p>
    <w:p>
      <w:pPr>
        <w:bidi w:val="0"/>
      </w:pPr>
      <w:r>
        <w:rPr>
          <w:rFonts w:hint="eastAsia"/>
          <w:lang w:val="en-US" w:eastAsia="zh-CN"/>
        </w:rPr>
        <w:t>本项目建设符合当地总体规划，建设过程征地拆迁均按要求进行补偿及妥善安置，总体上得到了道路沿线群众的支持，试运营期间至今，未发生过危险品运输车辆交通事故，未造成不良社会环境影响。</w:t>
      </w:r>
    </w:p>
    <w:p>
      <w:pPr>
        <w:bidi w:val="0"/>
      </w:pPr>
      <w:r>
        <w:rPr>
          <w:rFonts w:hint="eastAsia"/>
          <w:lang w:val="en-US" w:eastAsia="zh-CN"/>
        </w:rPr>
        <w:t>同时，本道路建设有利于完善区域交通基础设施建设，加快片区经济的建设，改善周边的投资环境，推动奎屯市实现经济又好又快发展，为奎屯市的持续发展奠定坚实的基础，对实施奎屯市建设具有重要的积极意义。</w:t>
      </w:r>
    </w:p>
    <w:p>
      <w:pPr>
        <w:pStyle w:val="5"/>
        <w:bidi w:val="0"/>
        <w:outlineLvl w:val="0"/>
      </w:pPr>
      <w:bookmarkStart w:id="148" w:name="_Toc24178"/>
      <w:r>
        <w:rPr>
          <w:rFonts w:hint="default"/>
          <w:lang w:val="en-US" w:eastAsia="zh-CN"/>
        </w:rPr>
        <w:t>1</w:t>
      </w:r>
      <w:r>
        <w:rPr>
          <w:rFonts w:hint="eastAsia"/>
          <w:lang w:val="en-US" w:eastAsia="zh-CN"/>
        </w:rPr>
        <w:t>0</w:t>
      </w:r>
      <w:r>
        <w:rPr>
          <w:rFonts w:hint="default"/>
          <w:lang w:val="en-US" w:eastAsia="zh-CN"/>
        </w:rPr>
        <w:t>.4</w:t>
      </w:r>
      <w:r>
        <w:rPr>
          <w:rFonts w:hint="eastAsia"/>
          <w:lang w:val="en-US" w:eastAsia="zh-CN"/>
        </w:rPr>
        <w:t>环境管理与监控情况调查结论</w:t>
      </w:r>
      <w:bookmarkEnd w:id="148"/>
    </w:p>
    <w:p>
      <w:pPr>
        <w:bidi w:val="0"/>
      </w:pPr>
      <w:r>
        <w:rPr>
          <w:rFonts w:hint="eastAsia"/>
          <w:lang w:val="en-US" w:eastAsia="zh-CN"/>
        </w:rPr>
        <w:t>综上所述，本项目总体上贯彻落实了环保设施与主体工程“同时设计、同时施工、同时投入运营”的“三同时”制度，基本上落实了环评报告书及批复所提出的环保措施要求及建议。本项目环境管理机构及相关环保管理机制基本可以满足其环境保护工作要求。</w:t>
      </w:r>
    </w:p>
    <w:p>
      <w:pPr>
        <w:bidi w:val="0"/>
      </w:pPr>
      <w:r>
        <w:rPr>
          <w:rFonts w:hint="eastAsia"/>
          <w:lang w:val="en-US" w:eastAsia="zh-CN"/>
        </w:rPr>
        <w:t>建议项目在运营期进一步完善环境保护管理制度，道路运营管理单位应定期委托有资质的单位对敏感点噪声及</w:t>
      </w:r>
      <w:bookmarkStart w:id="152" w:name="_GoBack"/>
      <w:bookmarkEnd w:id="152"/>
      <w:r>
        <w:rPr>
          <w:rFonts w:hint="eastAsia"/>
          <w:lang w:val="en-US" w:eastAsia="zh-CN"/>
        </w:rPr>
        <w:t>空气质量进行环境跟踪监测，及时了解敏感点环境质量，确保各敏感点符合环境功能标准要求。</w:t>
      </w:r>
    </w:p>
    <w:p>
      <w:pPr>
        <w:pStyle w:val="5"/>
        <w:bidi w:val="0"/>
        <w:outlineLvl w:val="0"/>
      </w:pPr>
      <w:bookmarkStart w:id="149" w:name="_Toc20553"/>
      <w:r>
        <w:rPr>
          <w:rFonts w:hint="default"/>
          <w:lang w:val="en-US" w:eastAsia="zh-CN"/>
        </w:rPr>
        <w:t>1</w:t>
      </w:r>
      <w:r>
        <w:rPr>
          <w:rFonts w:hint="eastAsia"/>
          <w:lang w:val="en-US" w:eastAsia="zh-CN"/>
        </w:rPr>
        <w:t>0</w:t>
      </w:r>
      <w:r>
        <w:rPr>
          <w:rFonts w:hint="default"/>
          <w:lang w:val="en-US" w:eastAsia="zh-CN"/>
        </w:rPr>
        <w:t>.5</w:t>
      </w:r>
      <w:r>
        <w:rPr>
          <w:rFonts w:hint="eastAsia"/>
          <w:lang w:val="en-US" w:eastAsia="zh-CN"/>
        </w:rPr>
        <w:t>公众意见及调查结论</w:t>
      </w:r>
      <w:bookmarkEnd w:id="149"/>
    </w:p>
    <w:p>
      <w:pPr>
        <w:bidi w:val="0"/>
      </w:pPr>
      <w:r>
        <w:rPr>
          <w:rFonts w:hint="eastAsia"/>
          <w:lang w:val="en-US" w:eastAsia="zh-CN"/>
        </w:rPr>
        <w:t>公众意见调查结果表明，</w:t>
      </w:r>
      <w:r>
        <w:rPr>
          <w:rFonts w:hint="default"/>
          <w:lang w:val="en-US" w:eastAsia="zh-CN"/>
        </w:rPr>
        <w:t>100%</w:t>
      </w:r>
      <w:r>
        <w:rPr>
          <w:rFonts w:hint="eastAsia"/>
          <w:lang w:val="en-US" w:eastAsia="zh-CN"/>
        </w:rPr>
        <w:t>被调查公众对本项目的建设表示支持，</w:t>
      </w:r>
      <w:r>
        <w:rPr>
          <w:rFonts w:hint="default"/>
          <w:lang w:val="en-US" w:eastAsia="zh-CN"/>
        </w:rPr>
        <w:t>92%</w:t>
      </w:r>
      <w:r>
        <w:rPr>
          <w:rFonts w:hint="eastAsia"/>
          <w:lang w:val="en-US" w:eastAsia="zh-CN"/>
        </w:rPr>
        <w:t>被调查公众对本项目环境保护工作总体满意。本项目建设改善了区域交通状况，有利于当地经济和社会的发展，道路绿化较好，而且临时占地生态已恢复，缓解了工程建设道路对沿线生态环境、景观的影响。</w:t>
      </w:r>
    </w:p>
    <w:p>
      <w:pPr>
        <w:pStyle w:val="5"/>
        <w:bidi w:val="0"/>
        <w:outlineLvl w:val="0"/>
      </w:pPr>
      <w:bookmarkStart w:id="150" w:name="_Toc31373"/>
      <w:r>
        <w:rPr>
          <w:rFonts w:hint="default"/>
          <w:lang w:val="en-US" w:eastAsia="zh-CN"/>
        </w:rPr>
        <w:t>1</w:t>
      </w:r>
      <w:r>
        <w:rPr>
          <w:rFonts w:hint="eastAsia"/>
          <w:lang w:val="en-US" w:eastAsia="zh-CN"/>
        </w:rPr>
        <w:t>0</w:t>
      </w:r>
      <w:r>
        <w:rPr>
          <w:rFonts w:hint="default"/>
          <w:lang w:val="en-US" w:eastAsia="zh-CN"/>
        </w:rPr>
        <w:t>.6</w:t>
      </w:r>
      <w:r>
        <w:rPr>
          <w:rFonts w:hint="eastAsia"/>
          <w:lang w:val="en-US" w:eastAsia="zh-CN"/>
        </w:rPr>
        <w:t>综合结论</w:t>
      </w:r>
      <w:bookmarkEnd w:id="150"/>
    </w:p>
    <w:p>
      <w:pPr>
        <w:bidi w:val="0"/>
      </w:pPr>
      <w:r>
        <w:rPr>
          <w:rFonts w:hint="eastAsia"/>
          <w:lang w:val="en-US" w:eastAsia="zh-CN"/>
        </w:rPr>
        <w:t>本工程在实施过程中按环境影响评价报告书及批复要求落实了环境保护措施，在水土保持、生态恢复、污染控制等方面采取的措施基本可行，且项目较好的执行了建设项目环境管理制度，执行了环保“三同时”制度。不存在《建设项目竣工环境保护验收暂行办法》中验收不合格的情况。本项目总体上达到了建设项目环境保护验收的要求，具备申请验收的条件，建议通过项目竣工环境保护验收。</w:t>
      </w:r>
    </w:p>
    <w:p>
      <w:pPr>
        <w:pStyle w:val="5"/>
        <w:bidi w:val="0"/>
        <w:outlineLvl w:val="0"/>
      </w:pPr>
      <w:bookmarkStart w:id="151" w:name="_Toc10646"/>
      <w:r>
        <w:rPr>
          <w:rFonts w:hint="default"/>
          <w:lang w:val="en-US" w:eastAsia="zh-CN"/>
        </w:rPr>
        <w:t>1</w:t>
      </w:r>
      <w:r>
        <w:rPr>
          <w:rFonts w:hint="eastAsia"/>
          <w:lang w:val="en-US" w:eastAsia="zh-CN"/>
        </w:rPr>
        <w:t>0</w:t>
      </w:r>
      <w:r>
        <w:rPr>
          <w:rFonts w:hint="default"/>
          <w:lang w:val="en-US" w:eastAsia="zh-CN"/>
        </w:rPr>
        <w:t>.7</w:t>
      </w:r>
      <w:r>
        <w:rPr>
          <w:rFonts w:hint="eastAsia"/>
          <w:lang w:val="en-US" w:eastAsia="zh-CN"/>
        </w:rPr>
        <w:t>建议</w:t>
      </w:r>
      <w:bookmarkEnd w:id="151"/>
    </w:p>
    <w:p>
      <w:pPr>
        <w:bidi w:val="0"/>
      </w:pPr>
      <w:r>
        <w:rPr>
          <w:rFonts w:hint="eastAsia"/>
          <w:lang w:val="en-US" w:eastAsia="zh-CN"/>
        </w:rPr>
        <w:t>（</w:t>
      </w:r>
      <w:r>
        <w:rPr>
          <w:rFonts w:hint="default"/>
          <w:lang w:val="en-US" w:eastAsia="zh-CN"/>
        </w:rPr>
        <w:t>1</w:t>
      </w:r>
      <w:r>
        <w:rPr>
          <w:rFonts w:hint="eastAsia"/>
          <w:lang w:val="en-US" w:eastAsia="zh-CN"/>
        </w:rPr>
        <w:t>）进一步完善各项环境管理制度，加强运营期道路的环境保护管理工作。对项目沿线可绿化路段进行多层次绿化，减小交通噪声对项目沿线敏感点的响。</w:t>
      </w:r>
    </w:p>
    <w:p>
      <w:pPr>
        <w:bidi w:val="0"/>
      </w:pPr>
      <w:r>
        <w:rPr>
          <w:rFonts w:hint="eastAsia"/>
          <w:lang w:val="en-US" w:eastAsia="zh-CN"/>
        </w:rPr>
        <w:t>（</w:t>
      </w:r>
      <w:r>
        <w:rPr>
          <w:rFonts w:hint="default"/>
          <w:lang w:val="en-US" w:eastAsia="zh-CN"/>
        </w:rPr>
        <w:t>2</w:t>
      </w:r>
      <w:r>
        <w:rPr>
          <w:rFonts w:hint="eastAsia"/>
          <w:lang w:val="en-US" w:eastAsia="zh-CN"/>
        </w:rPr>
        <w:t>）加强对道路两侧绿化植物的培植维护工作，确保绿化植物长势良好，及时做好绿化植物的补植补种工作。</w:t>
      </w:r>
    </w:p>
    <w:p>
      <w:pPr>
        <w:bidi w:val="0"/>
      </w:pPr>
      <w:r>
        <w:rPr>
          <w:rFonts w:hint="eastAsia"/>
          <w:lang w:val="en-US" w:eastAsia="zh-CN"/>
        </w:rPr>
        <w:t>（</w:t>
      </w:r>
      <w:r>
        <w:rPr>
          <w:rFonts w:hint="default"/>
          <w:lang w:val="en-US" w:eastAsia="zh-CN"/>
        </w:rPr>
        <w:t>3</w:t>
      </w:r>
      <w:r>
        <w:rPr>
          <w:rFonts w:hint="eastAsia"/>
          <w:lang w:val="en-US" w:eastAsia="zh-CN"/>
        </w:rPr>
        <w:t>）建设单位应加强重视运营期道路噪声的环境监测工作，并根据监测数据对噪声超标敏感点实施保护措施。</w:t>
      </w:r>
    </w:p>
    <w:p>
      <w:pPr>
        <w:bidi w:val="0"/>
      </w:pPr>
      <w:r>
        <w:rPr>
          <w:rFonts w:hint="eastAsia"/>
          <w:lang w:val="en-US" w:eastAsia="zh-CN"/>
        </w:rPr>
        <w:t>（</w:t>
      </w:r>
      <w:r>
        <w:rPr>
          <w:rFonts w:hint="default"/>
          <w:lang w:val="en-US" w:eastAsia="zh-CN"/>
        </w:rPr>
        <w:t>4</w:t>
      </w:r>
      <w:r>
        <w:rPr>
          <w:rFonts w:hint="eastAsia"/>
          <w:lang w:val="en-US" w:eastAsia="zh-CN"/>
        </w:rPr>
        <w:t>）加强营运单位在道路设置减速标志，进一步减小事故发生的概率。</w:t>
      </w:r>
    </w:p>
    <w:p>
      <w:pPr>
        <w:bidi w:val="0"/>
      </w:pPr>
      <w:r>
        <w:rPr>
          <w:rFonts w:hint="eastAsia"/>
          <w:lang w:val="en-US" w:eastAsia="zh-CN"/>
        </w:rPr>
        <w:t>（</w:t>
      </w:r>
      <w:r>
        <w:rPr>
          <w:rFonts w:hint="default"/>
          <w:lang w:val="en-US" w:eastAsia="zh-CN"/>
        </w:rPr>
        <w:t>5</w:t>
      </w:r>
      <w:r>
        <w:rPr>
          <w:rFonts w:hint="eastAsia"/>
          <w:lang w:val="en-US" w:eastAsia="zh-CN"/>
        </w:rPr>
        <w:t>）运营单位应积极配合当地环保部门做好营运期化学危险品事故风险防范措施和发生事故后的应急措施，定期组织工作人员进行风险事故防范演练，提高环境风险事故的应对能力。</w:t>
      </w:r>
    </w:p>
    <w:p>
      <w:pPr>
        <w:bidi w:val="0"/>
      </w:pPr>
      <w:r>
        <w:rPr>
          <w:rFonts w:hint="eastAsia"/>
          <w:lang w:val="en-US" w:eastAsia="zh-CN"/>
        </w:rPr>
        <w:t>（</w:t>
      </w:r>
      <w:r>
        <w:rPr>
          <w:rFonts w:hint="default"/>
          <w:lang w:val="en-US" w:eastAsia="zh-CN"/>
        </w:rPr>
        <w:t>6</w:t>
      </w:r>
      <w:r>
        <w:rPr>
          <w:rFonts w:hint="eastAsia"/>
          <w:lang w:val="en-US" w:eastAsia="zh-CN"/>
        </w:rPr>
        <w:t>）建议建设单位在临近居民点的位置设置禁鸣标志，加强对沿线车辆的监督。</w:t>
      </w:r>
    </w:p>
    <w:p>
      <w:pPr>
        <w:bidi w:val="0"/>
        <w:rPr>
          <w:rFonts w:hint="default"/>
          <w:lang w:val="en-US" w:eastAsia="zh-CN"/>
        </w:rPr>
      </w:pPr>
      <w:r>
        <w:rPr>
          <w:rFonts w:hint="eastAsia"/>
          <w:lang w:val="en-US" w:eastAsia="zh-CN"/>
        </w:rPr>
        <w:t>（</w:t>
      </w:r>
      <w:r>
        <w:rPr>
          <w:rFonts w:hint="default"/>
          <w:lang w:val="en-US" w:eastAsia="zh-CN"/>
        </w:rPr>
        <w:t>7</w:t>
      </w:r>
      <w:r>
        <w:rPr>
          <w:rFonts w:hint="eastAsia"/>
          <w:lang w:val="en-US" w:eastAsia="zh-CN"/>
        </w:rPr>
        <w:t>）建议建设单位定期对项目沿线的边沟进行清理，保证排水的畅通。</w:t>
      </w:r>
    </w:p>
    <w:sectPr>
      <w:pgSz w:w="11906" w:h="16838"/>
      <w:pgMar w:top="1440" w:right="1800" w:bottom="1440" w:left="1800" w:header="992"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0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3" w:lineRule="auto"/>
      <w:ind w:left="4645"/>
      <w:rPr>
        <w:rFonts w:ascii="宋体" w:hAnsi="宋体" w:eastAsia="宋体" w:cs="宋体"/>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posOffset>2603500</wp:posOffset>
              </wp:positionH>
              <wp:positionV relativeFrom="paragraph">
                <wp:posOffset>-114300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05pt;margin-top:-9pt;height:144pt;width:144pt;mso-position-horizontal-relative:margin;mso-wrap-style:none;z-index:251659264;mso-width-relative:page;mso-height-relative:page;" filled="f" stroked="f" coordsize="21600,21600" o:gfxdata="UEsDBAoAAAAAAIdO4kAAAAAAAAAAAAAAAAAEAAAAZHJzL1BLAwQUAAAACACHTuJA7uspotcAAAAL&#10;AQAADwAAAGRycy9kb3ducmV2LnhtbE2PwU7DMBBE70j8g7VI3Fo7pSolxKlERTgi0XDg6MZLEojX&#10;ke2m4e/ZnuA2qxnNvil2sxvEhCH2njRkSwUCqfG2p1bDe10ttiBiMmTN4Ak1/GCEXXl9VZjc+jO9&#10;4XRIreASirnR0KU05lLGpkNn4tKPSOx9+uBM4jO00gZz5nI3yJVSG+lMT/yhMyPuO2y+DyenYV/V&#10;dZgwhuEDX6q7r9enNT7PWt/eZOoRRMI5/YXhgs/oUDLT0Z/IRjFoWGeKtyQNi2zLghObh4s4aljd&#10;syXLQv7fUP4CUEsDBBQAAAAIAIdO4kDHl7XOMQIAAGEEAAAOAAAAZHJzL2Uyb0RvYy54bWytVEuO&#10;EzEQ3SNxB8t70kkQoyhKZxQmCkKKmJECYu243WlL/sl20h0OADdgxYY958o5eO5PBg0sZsHGXXaV&#10;X/m9qurFbaMVOQkfpDU5nYzGlAjDbSHNIaefPm5ezSgJkZmCKWtETs8i0NvlyxeL2s3F1FZWFcIT&#10;gJgwr11OqxjdPMsCr4RmYWSdMHCW1msWsfWHrPCsBrpW2XQ8vslq6wvnLRch4HTdOWmP6J8DaMtS&#10;crG2/KiFiR2qF4pFUAqVdIEu29eWpeDxviyDiETlFExjuyIJ7H1as+WCzQ+euUry/gnsOU94wkkz&#10;aZD0CrVmkZGjl39Bacm9DbaMI2511hFpFQGLyfiJNruKOdFygdTBXUUP/w+Wfzg9eCKLnKLshmkU&#10;/PL92+XHr8vPr2SW5KldmCNq5xAXm7e2QdMM5wGHiXVTep2+4EPgh7jnq7iiiYSnS7PpbDaGi8M3&#10;bICfPV53PsR3wmqSjJx6VK8VlZ22IXahQ0jKZuxGKtVWUBlS5/Tm9Ztxe+HqAbgyyJFIdI9NVmz2&#10;Tc9sb4sziHnbdUZwfCORfMtCfGAerYAHY1jiPZZSWSSxvUVJZf2Xf52neFQIXkpqtFZODSaJEvXe&#10;oHIAjIPhB2M/GOao7yx6dYIhdLw1ccFHNZilt/ozJmiVcsDFDEemnMbBvItde2MCuVit2qCj8/JQ&#10;dRfQd47Frdk5ntIkIYNbHSPEbDVOAnWq9Lqh89oq9VOSWvvPfRv1+GdY/g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u6ymi1wAAAAsBAAAPAAAAAAAAAAEAIAAAACIAAABkcnMvZG93bnJldi54bWxQ&#10;SwECFAAUAAAACACHTuJAx5e1zjECAABhBAAADgAAAAAAAAABACAAAAAmAQAAZHJzL2Uyb0RvYy54&#10;bWxQSwUGAAAAAAYABgBZAQAAy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2" w:lineRule="auto"/>
      <w:ind w:left="4393"/>
      <w:rPr>
        <w:rFonts w:ascii="宋体" w:hAnsi="宋体" w:eastAsia="宋体" w:cs="宋体"/>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posOffset>2536825</wp:posOffset>
              </wp:positionH>
              <wp:positionV relativeFrom="paragraph">
                <wp:posOffset>-57150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9.75pt;margin-top:-4.5pt;height:144pt;width:144pt;mso-position-horizontal-relative:margin;mso-wrap-style:none;z-index:251660288;mso-width-relative:page;mso-height-relative:page;" filled="f" stroked="f" coordsize="21600,21600" o:gfxdata="UEsDBAoAAAAAAIdO4kAAAAAAAAAAAAAAAAAEAAAAZHJzL1BLAwQUAAAACACHTuJAFpcBPtcAAAAK&#10;AQAADwAAAGRycy9kb3ducmV2LnhtbE2PTU/CQBCG7yb+h82YeIMtoEBLpyQS69FE6sHj0g5tdT+a&#10;3aXUf+940uO88+T9yPeT0WIkH3pnERbzBATZ2jW9bRHeq3K2BRGiso3SzhLCNwXYF7c3ucoad7Vv&#10;NB5jK9jEhkwhdDEOmZSh7sioMHcDWf6dnTcq8ulb2Xh1ZXOj5TJJ1tKo3nJCpwY6dFR/HS8G4VBW&#10;lR8peP1BL+Xq8/XpgZ4nxPu7RbIDEWmKfzD81ufqUHCnk7vYJgiNsErTR0YRZilvYmC93bBwQlhu&#10;WJFFLv9PKH4AUEsDBBQAAAAIAIdO4kAClSD0MgIAAGEEAAAOAAAAZHJzL2Uyb0RvYy54bWytVM2O&#10;0zAQviPxDpbvNGkRq27VdFW2KkKq2JUWxNl1nCaS/2S7TcoDwBtw4sKd5+pz8NlpumjhsAcuztgz&#10;/sbfNzOZ33RKkoNwvjG6oONRTonQ3JSN3hX008f1qyklPjBdMmm0KOhReHqzePli3tqZmJjayFI4&#10;AhDtZ60taB2CnWWZ57VQzI+MFRrOyjjFArZul5WOtUBXMpvk+VXWGldaZ7jwHqer3knPiO45gKaq&#10;Gi5Whu+V0KFHdUKyAEq+bqyni/TaqhI83FWVF4HIgoJpSCuSwN7GNVvM2WznmK0bfn4Ce84TnnBS&#10;rNFIeoFascDI3jV/QamGO+NNFUbcqKwnkhQBi3H+RJuHmlmRuEBqby+i+/8Hyz8c7h1pyoJeU6KZ&#10;QsFP37+dfvw6/fxKrqM8rfUzRD1YxIXurenQNMO5x2Fk3VVOxS/4EPgh7vEirugC4fHSdDKd5nBx&#10;+IYN8LPH69b58E4YRaJRUIfqJVHZYeNDHzqExGzarBspUwWlJm1Br16/ydOFiwfgUiNHJNE/Nlqh&#10;23ZnZltTHkHMmb4zvOXrBsk3zId75tAKeDCGJdxhqaRBEnO2KKmN+/Kv8xiPCsFLSYvWKqjGJFEi&#10;32tUDoBhMNxgbAdD79WtQa+OMYSWJxMXXJCDWTmjPmOCljEHXExzZCpoGMzb0Lc3JpCL5TIF7a1r&#10;dnV/AX1nWdjoB8tjmiikt8t9gJhJ4yhQr8pZN3ReqtJ5SmJr/7lPUY9/h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FpcBPtcAAAAKAQAADwAAAAAAAAABACAAAAAiAAAAZHJzL2Rvd25yZXYueG1s&#10;UEsBAhQAFAAAAAgAh07iQAKVIPQyAgAAYQQAAA4AAAAAAAAAAQAgAAAAJgEAAGRycy9lMm9Eb2Mu&#10;eG1sUEsFBgAAAAAGAAYAWQEAAMo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1" w:lineRule="auto"/>
      <w:ind w:left="4270"/>
      <w:rPr>
        <w:rFonts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posOffset>2472055</wp:posOffset>
              </wp:positionH>
              <wp:positionV relativeFrom="paragraph">
                <wp:posOffset>-66675</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45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4.65pt;margin-top:-5.25pt;height:144pt;width:144pt;mso-position-horizontal-relative:margin;mso-wrap-style:none;z-index:251661312;mso-width-relative:page;mso-height-relative:page;" filled="f" stroked="f" coordsize="21600,21600" o:gfxdata="UEsDBAoAAAAAAIdO4kAAAAAAAAAAAAAAAAAEAAAAZHJzL1BLAwQUAAAACACHTuJABFlZztkAAAAL&#10;AQAADwAAAGRycy9kb3ducmV2LnhtbE2PwU7DMAyG70i8Q2QkblvSla1baTqJiXJEYuXAMWu8ttAk&#10;VZJ15e0xJzja/vT7+4v9bAY2oQ+9sxKSpQCGtnG6t62E97pabIGFqKxWg7Mo4RsD7Mvbm0Ll2l3t&#10;G07H2DIKsSFXEroYx5zz0HRoVFi6ES3dzs4bFWn0LddeXSncDHwlxIYb1Vv60KkRDx02X8eLkXCo&#10;6tpPGPzwgS9V+vn69IDPs5T3d4l4BBZxjn8w/OqTOpTkdHIXqwMbJKTbXUqohEUi1sCI2GQZbU4S&#10;Vlm2Bl4W/H+H8gdQSwMEFAAAAAgAh07iQOsAOHoxAgAAYwQAAA4AAABkcnMvZTJvRG9jLnhtbK1U&#10;S44TMRDdI3EHy3vSSRCjKEpnFCYKQoqYkQJi7bjdaUv+yXbSHQ4AN2DFhj3nyjl47k8GDSxmwcZd&#10;dpVf1XtV7sVtoxU5CR+kNTmdjMaUCMNtIc0hp58+bl7NKAmRmYIpa0ROzyLQ2+XLF4vazcXUVlYV&#10;whOAmDCvXU6rGN08ywKvhGZhZJ0wcJbWaxax9Yes8KwGulbZdDy+yWrrC+ctFyHgdN05aY/onwNo&#10;y1Jysbb8qIWJHaoXikVQCpV0gS7bastS8HhflkFEonIKprFdkQT2Pq3ZcsHmB89cJXlfAntOCU84&#10;aSYNkl6h1iwycvTyLygtubfBlnHErc46Iq0iYDEZP9FmVzEnWi6QOrir6OH/wfIPpwdPZIFJmFBi&#10;mEbHL9+/XX78uvz8SnAGgWoX5ojbOUTG5q1tEDycBxwm3k3pdfqCEYEf8p6v8oomEp4uzaaz2Rgu&#10;Dt+wAX72eN35EN8Jq0kycurRv1ZWdtqG2IUOISmbsRupVNtDZUid05vXb8bthasH4MogRyLRFZus&#10;2OybntneFmcQ87abjeD4RiL5loX4wDyGAQXjucR7LKWySGJ7i5LK+i//Ok/x6BG8lNQYrpwavCVK&#10;1HuD3gEwDoYfjP1gmKO+s5hWtAO1tCYu+KgGs/RWf8YbWqUccDHDkSmncTDvYjfgeINcrFZt0NF5&#10;eai6C5g8x+LW7BxPaZKQwa2OEWK2GieBOlV63TB7bZf6d5KG+899G/X4b1j+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RZWc7ZAAAACwEAAA8AAAAAAAAAAQAgAAAAIgAAAGRycy9kb3ducmV2Lnht&#10;bFBLAQIUABQAAAAIAIdO4kDrADh6MQIAAGMEAAAOAAAAAAAAAAEAIAAAACgBAABkcnMvZTJvRG9j&#10;LnhtbFBLBQYAAAAABgAGAFkBAADLBQ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45</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3" w:lineRule="auto"/>
      <w:ind w:left="4564"/>
      <w:rPr>
        <w:rFonts w:ascii="宋体" w:hAnsi="宋体" w:eastAsia="宋体" w:cs="宋体"/>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posOffset>2462530</wp:posOffset>
              </wp:positionH>
              <wp:positionV relativeFrom="paragraph">
                <wp:posOffset>-76200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49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3.9pt;margin-top:-6pt;height:144pt;width:144pt;mso-position-horizontal-relative:margin;mso-wrap-style:none;z-index:251662336;mso-width-relative:page;mso-height-relative:page;" filled="f" stroked="f" coordsize="21600,21600" o:gfxdata="UEsDBAoAAAAAAIdO4kAAAAAAAAAAAAAAAAAEAAAAZHJzL1BLAwQUAAAACACHTuJAQBiw69gAAAAL&#10;AQAADwAAAGRycy9kb3ducmV2LnhtbE2PwU7DMBBE70j8g7VI3Fo7KSRVGqcSFeGIRMOBoxsvSUps&#10;R7abhr9nOcFxdkazb8r9YkY2ow+DsxKStQCGtnV6sJ2E96ZebYGFqKxWo7Mo4RsD7Kvbm1IV2l3t&#10;G87H2DEqsaFQEvoYp4Lz0PZoVFi7CS15n84bFUn6jmuvrlRuRp4KkXGjBksfejXhocf263gxEg51&#10;0/gZgx8/8KXenF+fHvB5kfL+LhE7YBGX+BeGX3xCh4qYTu5idWCjhM02J/QoYZWkNIoSWf5Il5OE&#10;NM8E8Krk/zdUP1BLAwQUAAAACACHTuJALlZmfjICAABjBAAADgAAAGRycy9lMm9Eb2MueG1srVRL&#10;jhMxEN0jcQfLe9JJRoyiKJ1RmCgIKWJGGhBrx+1OW/JPtpPucAC4ASs27DlXzjHP/cmggcUs2LjL&#10;rvIrv1dVvbhptCJH4YO0JqeT0ZgSYbgtpNnn9POnzZsZJSEyUzBljcjpSQR6s3z9alG7uZjayqpC&#10;eAIQE+a1y2kVo5tnWeCV0CyMrBMGztJ6zSK2fp8VntVA1yqbjsfXWW194bzlIgScrjsn7RH9SwBt&#10;WUou1pYftDCxQ/VCsQhKoZIu0GX72rIUPN6VZRCRqJyCaWxXJIG9S2u2XLD53jNXSd4/gb3kCc84&#10;aSYNkl6g1iwycvDyLygtubfBlnHErc46Iq0iYDEZP9PmoWJOtFwgdXAX0cP/g+Ufj/eeyAKdcEWJ&#10;YRoVP//4fv75+/zrG8EZBKpdmCPuwSEyNu9sg+DhPOAw8W5Kr9MXjAj8kPd0kVc0kfB0aTadzcZw&#10;cfiGDfCzp+vOh/heWE2SkVOP+rWysuM2xC50CEnZjN1IpdoaKkPqnF5fvR23Fy4egCuDHIlE99hk&#10;xWbX9Mx2tjiBmLddbwTHNxLJtyzEe+bRDHgwxiXeYSmVRRLbW5RU1n/913mKR43gpaRGc+XUYJYo&#10;UR8MagfAOBh+MHaDYQ761qJbJxhDx1sTF3xUg1l6q79ghlYpB1zMcGTKaRzM29g1OGaQi9WqDTo4&#10;L/dVdwGd51jcmgfHU5okZHCrQ4SYrcZJoE6VXjf0Xlulfk5Sc/+5b6Oe/g3LR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EAYsOvYAAAACwEAAA8AAAAAAAAAAQAgAAAAIgAAAGRycy9kb3ducmV2Lnht&#10;bFBLAQIUABQAAAAIAIdO4kAuVmZ+MgIAAGMEAAAOAAAAAAAAAAEAIAAAACcBAABkcnMvZTJvRG9j&#10;LnhtbFBLBQYAAAAABgAGAFkBAADLBQ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49</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72" w:lineRule="auto"/>
      <w:ind w:left="4267"/>
      <w:rPr>
        <w:rFonts w:ascii="宋体" w:hAnsi="宋体" w:eastAsia="宋体" w:cs="宋体"/>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posOffset>2453005</wp:posOffset>
              </wp:positionH>
              <wp:positionV relativeFrom="paragraph">
                <wp:posOffset>-66675</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55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3.15pt;margin-top:-5.25pt;height:144pt;width:144pt;mso-position-horizontal-relative:margin;mso-wrap-style:none;z-index:251663360;mso-width-relative:page;mso-height-relative:page;" filled="f" stroked="f" coordsize="21600,21600" o:gfxdata="UEsDBAoAAAAAAIdO4kAAAAAAAAAAAAAAAAAEAAAAZHJzL1BLAwQUAAAACACHTuJAuFNlU9kAAAAL&#10;AQAADwAAAGRycy9kb3ducmV2LnhtbE2PwU7DMAyG70i8Q2QkblvSdWun0nQSE+WIxMqBY9aYttAk&#10;VZJ15e0xJzja/vT7+8vDYkY2ow+DsxKStQCGtnV6sJ2Et6Ze7YGFqKxWo7Mo4RsDHKrbm1IV2l3t&#10;K86n2DEKsaFQEvoYp4Lz0PZoVFi7CS3dPpw3KtLoO669ulK4GflGiIwbNVj60KsJjz22X6eLkXCs&#10;m8bPGPz4js91+vnyuMWnRcr7u0Q8AIu4xD8YfvVJHSpyOruL1YGNEtJ9lhIqYZWIHTAisnxLm7OE&#10;TZ7vgFcl/9+h+gFQSwMEFAAAAAgAh07iQP9bQWsyAgAAYwQAAA4AAABkcnMvZTJvRG9jLnhtbK1U&#10;zY7TMBC+I/EOlu80aRGrUjVdla2KkCp2pQVxdh2nseQ/2W6T8gDwBpy4cN/n6nPwOWm6aOGwBy7O&#10;2DP+xt83M5lft1qRg/BBWlPQ8SinRBhuS2l2Bf38af1qSkmIzJRMWSMKehSBXi9evpg3biYmtraq&#10;FJ4AxIRZ4wpax+hmWRZ4LTQLI+uEgbOyXrOIrd9lpWcN0LXKJnl+lTXWl85bLkLA6ap30jOifw6g&#10;rSrJxcryvRYm9qheKBZBKdTSBbroXltVgsfbqgoiElVQMI3diiSwt2nNFnM223nmasnPT2DPecIT&#10;TppJg6QXqBWLjOy9/AtKS+5tsFUccauznkinCFiM8yfa3NfMiY4LpA7uInr4f7D84+HOE1miE95S&#10;YphGxU8/vp9+Ppx+fSM4g0CNCzPE3TtExvadbRE8nAccJt5t5XX6ghGBH/IeL/KKNhKeLk0n02kO&#10;F4dv2AA/e7zufIjvhdUkGQX1qF8nKztsQuxDh5CUzdi1VKqroTKkKejV6zd5d+HiAbgyyJFI9I9N&#10;Vmy37ZnZ1pZHEPO2743g+Foi+YaFeMc8mgEPxrjEWyyVskhizxYltfVf/3We4lEjeClp0FwFNZgl&#10;StQHg9oBMA6GH4ztYJi9vrHo1jHG0PHOxAUf1WBW3uovmKFlygEXMxyZChoH8yb2DY4Z5GK57IL2&#10;zstd3V9A5zkWN+be8ZQmCRncch8hZqdxEqhX5awbeq+r0nlOUnP/ue+iHv8Ni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4U2VT2QAAAAsBAAAPAAAAAAAAAAEAIAAAACIAAABkcnMvZG93bnJldi54&#10;bWxQSwECFAAUAAAACACHTuJA/1tBazICAABjBAAADgAAAAAAAAABACAAAAAoAQAAZHJzL2Uyb0Rv&#10;Yy54bWxQSwUGAAAAAAYABgBZAQAAzA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55</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E1B679E"/>
    <w:multiLevelType w:val="singleLevel"/>
    <w:tmpl w:val="BE1B679E"/>
    <w:lvl w:ilvl="0" w:tentative="0">
      <w:start w:val="1"/>
      <w:numFmt w:val="decimal"/>
      <w:suff w:val="nothing"/>
      <w:lvlText w:val="%1、"/>
      <w:lvlJc w:val="left"/>
    </w:lvl>
  </w:abstractNum>
  <w:abstractNum w:abstractNumId="1">
    <w:nsid w:val="3337699F"/>
    <w:multiLevelType w:val="singleLevel"/>
    <w:tmpl w:val="3337699F"/>
    <w:lvl w:ilvl="0" w:tentative="0">
      <w:start w:val="2"/>
      <w:numFmt w:val="decimal"/>
      <w:suff w:val="nothing"/>
      <w:lvlText w:val="（%1）"/>
      <w:lvlJc w:val="left"/>
    </w:lvl>
  </w:abstractNum>
  <w:abstractNum w:abstractNumId="2">
    <w:nsid w:val="3D54897E"/>
    <w:multiLevelType w:val="singleLevel"/>
    <w:tmpl w:val="3D54897E"/>
    <w:lvl w:ilvl="0" w:tentative="0">
      <w:start w:val="1"/>
      <w:numFmt w:val="decimal"/>
      <w:suff w:val="nothing"/>
      <w:lvlText w:val="%1、"/>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Y1MjczNzY5NTJlMjgxYzZlZTIwNWE3NDc3YWVhMjEifQ=="/>
  </w:docVars>
  <w:rsids>
    <w:rsidRoot w:val="47A72C50"/>
    <w:rsid w:val="02402EC0"/>
    <w:rsid w:val="037E6D6A"/>
    <w:rsid w:val="040201D3"/>
    <w:rsid w:val="0BE8099C"/>
    <w:rsid w:val="0CB953C7"/>
    <w:rsid w:val="0D285D30"/>
    <w:rsid w:val="13C8603C"/>
    <w:rsid w:val="15F3195A"/>
    <w:rsid w:val="1CBF4223"/>
    <w:rsid w:val="2426102C"/>
    <w:rsid w:val="25886C5E"/>
    <w:rsid w:val="29596E28"/>
    <w:rsid w:val="29D76728"/>
    <w:rsid w:val="2EB51324"/>
    <w:rsid w:val="37E31FB8"/>
    <w:rsid w:val="41652D3C"/>
    <w:rsid w:val="435A3EC5"/>
    <w:rsid w:val="43996CCD"/>
    <w:rsid w:val="457C2402"/>
    <w:rsid w:val="47A72C50"/>
    <w:rsid w:val="480858BC"/>
    <w:rsid w:val="4C656166"/>
    <w:rsid w:val="4D0E31BE"/>
    <w:rsid w:val="52076BC9"/>
    <w:rsid w:val="52511521"/>
    <w:rsid w:val="528059DF"/>
    <w:rsid w:val="54B05D00"/>
    <w:rsid w:val="56261D2F"/>
    <w:rsid w:val="598002BB"/>
    <w:rsid w:val="5D8A03AF"/>
    <w:rsid w:val="60D61108"/>
    <w:rsid w:val="63500CFE"/>
    <w:rsid w:val="64A114A0"/>
    <w:rsid w:val="663A5C95"/>
    <w:rsid w:val="6DA73C10"/>
    <w:rsid w:val="6E647D53"/>
    <w:rsid w:val="724B5893"/>
    <w:rsid w:val="72FD42D3"/>
    <w:rsid w:val="7BBD0713"/>
    <w:rsid w:val="7BF75605"/>
    <w:rsid w:val="7E3632F2"/>
    <w:rsid w:val="7E6A29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kinsoku/>
      <w:wordWrap/>
      <w:topLinePunct w:val="0"/>
      <w:autoSpaceDE/>
      <w:autoSpaceDN/>
      <w:adjustRightInd/>
      <w:snapToGrid/>
      <w:spacing w:line="360" w:lineRule="auto"/>
      <w:ind w:firstLine="480" w:firstLineChars="200"/>
      <w:jc w:val="left"/>
      <w:textAlignment w:val="baseline"/>
    </w:pPr>
    <w:rPr>
      <w:rFonts w:ascii="Times New Roman" w:hAnsi="Times New Roman" w:eastAsia="宋体" w:cs="Arial"/>
      <w:snapToGrid w:val="0"/>
      <w:color w:val="000000"/>
      <w:kern w:val="0"/>
      <w:sz w:val="24"/>
      <w:szCs w:val="21"/>
      <w:lang w:val="en-US" w:eastAsia="en-US" w:bidi="ar-SA"/>
    </w:rPr>
  </w:style>
  <w:style w:type="paragraph" w:styleId="4">
    <w:name w:val="heading 1"/>
    <w:basedOn w:val="1"/>
    <w:next w:val="1"/>
    <w:link w:val="17"/>
    <w:autoRedefine/>
    <w:qFormat/>
    <w:uiPriority w:val="0"/>
    <w:pPr>
      <w:keepNext/>
      <w:keepLines/>
      <w:spacing w:line="360" w:lineRule="auto"/>
      <w:ind w:firstLine="0" w:firstLineChars="0"/>
      <w:jc w:val="center"/>
      <w:outlineLvl w:val="0"/>
    </w:pPr>
    <w:rPr>
      <w:rFonts w:ascii="Times New Roman" w:hAnsi="Times New Roman" w:cs="Times New Roman"/>
      <w:b/>
      <w:bCs/>
      <w:kern w:val="44"/>
      <w:sz w:val="44"/>
      <w:szCs w:val="44"/>
      <w:lang w:eastAsia="zh-CN"/>
    </w:rPr>
  </w:style>
  <w:style w:type="paragraph" w:styleId="5">
    <w:name w:val="heading 2"/>
    <w:basedOn w:val="1"/>
    <w:next w:val="1"/>
    <w:autoRedefine/>
    <w:unhideWhenUsed/>
    <w:qFormat/>
    <w:uiPriority w:val="0"/>
    <w:pPr>
      <w:keepNext w:val="0"/>
      <w:keepLines w:val="0"/>
      <w:kinsoku/>
      <w:overflowPunct/>
      <w:topLinePunct w:val="0"/>
      <w:spacing w:line="360" w:lineRule="auto"/>
      <w:ind w:firstLine="0" w:firstLineChars="0"/>
      <w:contextualSpacing/>
      <w:jc w:val="left"/>
      <w:outlineLvl w:val="1"/>
    </w:pPr>
    <w:rPr>
      <w:rFonts w:cs="Times New Roman"/>
      <w:b/>
      <w:sz w:val="28"/>
      <w:szCs w:val="28"/>
    </w:rPr>
  </w:style>
  <w:style w:type="paragraph" w:styleId="6">
    <w:name w:val="heading 3"/>
    <w:basedOn w:val="1"/>
    <w:next w:val="1"/>
    <w:autoRedefine/>
    <w:unhideWhenUsed/>
    <w:qFormat/>
    <w:uiPriority w:val="0"/>
    <w:pPr>
      <w:adjustRightInd/>
      <w:snapToGrid/>
      <w:spacing w:line="360" w:lineRule="auto"/>
      <w:ind w:left="0" w:leftChars="0" w:firstLine="480" w:firstLineChars="200"/>
      <w:jc w:val="left"/>
      <w:outlineLvl w:val="2"/>
    </w:pPr>
    <w:rPr>
      <w:rFonts w:ascii="Times New Roman" w:hAnsi="Times New Roman" w:cs="Times New Roman"/>
      <w:b/>
      <w:szCs w:val="32"/>
    </w:rPr>
  </w:style>
  <w:style w:type="paragraph" w:styleId="7">
    <w:name w:val="heading 4"/>
    <w:basedOn w:val="1"/>
    <w:next w:val="1"/>
    <w:autoRedefine/>
    <w:semiHidden/>
    <w:unhideWhenUsed/>
    <w:qFormat/>
    <w:uiPriority w:val="0"/>
    <w:pPr>
      <w:keepNext/>
      <w:keepLines/>
      <w:spacing w:line="360" w:lineRule="auto"/>
      <w:outlineLvl w:val="3"/>
    </w:pPr>
    <w:rPr>
      <w:rFonts w:ascii="Calibri" w:hAnsi="Calibri" w:eastAsia="宋体" w:cs="Times New Roman"/>
      <w:b/>
      <w:bCs/>
      <w:kern w:val="0"/>
      <w:sz w:val="24"/>
      <w:szCs w:val="28"/>
    </w:rPr>
  </w:style>
  <w:style w:type="paragraph" w:styleId="8">
    <w:name w:val="heading 5"/>
    <w:basedOn w:val="1"/>
    <w:next w:val="1"/>
    <w:autoRedefine/>
    <w:semiHidden/>
    <w:unhideWhenUsed/>
    <w:qFormat/>
    <w:uiPriority w:val="0"/>
    <w:pPr>
      <w:keepNext/>
      <w:keepLines/>
      <w:spacing w:beforeLines="0" w:beforeAutospacing="0" w:afterLines="0" w:afterAutospacing="0" w:line="240" w:lineRule="auto"/>
      <w:ind w:firstLine="0" w:firstLineChars="0"/>
      <w:jc w:val="center"/>
      <w:outlineLvl w:val="4"/>
    </w:pPr>
    <w:rPr>
      <w:rFonts w:ascii="Times New Roman" w:hAnsi="Times New Roman" w:eastAsia="宋体" w:cs="Times New Roman"/>
      <w:kern w:val="2"/>
      <w:sz w:val="21"/>
      <w:szCs w:val="22"/>
      <w:lang w:eastAsia="zh-CN"/>
    </w:rPr>
  </w:style>
  <w:style w:type="character" w:default="1" w:styleId="14">
    <w:name w:val="Default Paragraph Font"/>
    <w:autoRedefine/>
    <w:semiHidden/>
    <w:unhideWhenUsed/>
    <w:qFormat/>
    <w:uiPriority w:val="1"/>
  </w:style>
  <w:style w:type="table" w:default="1" w:styleId="12">
    <w:name w:val="Normal Table"/>
    <w:autoRedefine/>
    <w:semiHidden/>
    <w:qFormat/>
    <w:uiPriority w:val="0"/>
    <w:tblPr>
      <w:tblCellMar>
        <w:top w:w="0" w:type="dxa"/>
        <w:left w:w="108" w:type="dxa"/>
        <w:bottom w:w="0" w:type="dxa"/>
        <w:right w:w="108" w:type="dxa"/>
      </w:tblCellMar>
    </w:tblPr>
  </w:style>
  <w:style w:type="paragraph" w:styleId="2">
    <w:name w:val="Body Text First Indent 2"/>
    <w:basedOn w:val="3"/>
    <w:next w:val="1"/>
    <w:autoRedefine/>
    <w:qFormat/>
    <w:uiPriority w:val="0"/>
    <w:pPr>
      <w:spacing w:after="120"/>
      <w:ind w:left="420" w:leftChars="200" w:firstLine="420" w:firstLineChars="200"/>
    </w:pPr>
    <w:rPr>
      <w:sz w:val="21"/>
    </w:rPr>
  </w:style>
  <w:style w:type="paragraph" w:styleId="3">
    <w:name w:val="Body Text Indent"/>
    <w:basedOn w:val="1"/>
    <w:next w:val="2"/>
    <w:autoRedefine/>
    <w:qFormat/>
    <w:uiPriority w:val="0"/>
    <w:pPr>
      <w:spacing w:after="120"/>
      <w:ind w:left="420" w:leftChars="200"/>
    </w:pPr>
    <w:rPr>
      <w:kern w:val="0"/>
      <w:sz w:val="24"/>
      <w:szCs w:val="20"/>
    </w:rPr>
  </w:style>
  <w:style w:type="paragraph" w:styleId="9">
    <w:name w:val="Body Text"/>
    <w:basedOn w:val="1"/>
    <w:link w:val="15"/>
    <w:autoRedefine/>
    <w:qFormat/>
    <w:uiPriority w:val="0"/>
    <w:pPr>
      <w:ind w:firstLine="0" w:firstLineChars="0"/>
    </w:pPr>
    <w:rPr>
      <w:rFonts w:ascii="Calibri" w:hAnsi="Calibri" w:eastAsia="宋体" w:cs="Times New Roman"/>
      <w:sz w:val="24"/>
      <w:szCs w:val="22"/>
    </w:rPr>
  </w:style>
  <w:style w:type="paragraph" w:styleId="10">
    <w:name w:val="footer"/>
    <w:basedOn w:val="1"/>
    <w:autoRedefine/>
    <w:qFormat/>
    <w:uiPriority w:val="0"/>
    <w:pPr>
      <w:tabs>
        <w:tab w:val="center" w:pos="4153"/>
        <w:tab w:val="right" w:pos="8306"/>
      </w:tabs>
      <w:snapToGrid w:val="0"/>
      <w:jc w:val="left"/>
    </w:pPr>
    <w:rPr>
      <w:sz w:val="18"/>
    </w:rPr>
  </w:style>
  <w:style w:type="paragraph" w:styleId="11">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13">
    <w:name w:val="Table Grid"/>
    <w:basedOn w:val="12"/>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5">
    <w:name w:val="正文文本 Char"/>
    <w:link w:val="9"/>
    <w:autoRedefine/>
    <w:qFormat/>
    <w:uiPriority w:val="0"/>
    <w:rPr>
      <w:rFonts w:ascii="Calibri" w:hAnsi="Calibri" w:eastAsia="宋体" w:cs="Times New Roman"/>
      <w:sz w:val="24"/>
      <w:szCs w:val="22"/>
    </w:rPr>
  </w:style>
  <w:style w:type="paragraph" w:customStyle="1" w:styleId="16">
    <w:name w:val="表格"/>
    <w:basedOn w:val="1"/>
    <w:autoRedefine/>
    <w:qFormat/>
    <w:uiPriority w:val="0"/>
    <w:pPr>
      <w:kinsoku/>
      <w:overflowPunct w:val="0"/>
      <w:topLinePunct/>
      <w:spacing w:line="240" w:lineRule="auto"/>
      <w:ind w:firstLine="0" w:firstLineChars="0"/>
      <w:jc w:val="center"/>
    </w:pPr>
    <w:rPr>
      <w:rFonts w:cs="Times New Roman"/>
      <w:b/>
      <w:sz w:val="21"/>
      <w:szCs w:val="24"/>
      <w:lang w:eastAsia="zh-CN" w:bidi="ar"/>
    </w:rPr>
  </w:style>
  <w:style w:type="character" w:customStyle="1" w:styleId="17">
    <w:name w:val="标题 1 字符"/>
    <w:basedOn w:val="14"/>
    <w:link w:val="4"/>
    <w:autoRedefine/>
    <w:qFormat/>
    <w:uiPriority w:val="0"/>
    <w:rPr>
      <w:rFonts w:ascii="Times New Roman" w:hAnsi="Times New Roman" w:eastAsia="宋体" w:cs="Times New Roman"/>
      <w:b/>
      <w:bCs/>
      <w:kern w:val="44"/>
      <w:sz w:val="44"/>
      <w:szCs w:val="44"/>
      <w:lang w:eastAsia="zh-CN"/>
    </w:rPr>
  </w:style>
  <w:style w:type="paragraph" w:customStyle="1" w:styleId="18">
    <w:name w:val="表格内"/>
    <w:basedOn w:val="1"/>
    <w:autoRedefine/>
    <w:qFormat/>
    <w:uiPriority w:val="0"/>
    <w:pPr>
      <w:kinsoku/>
      <w:wordWrap/>
      <w:topLinePunct w:val="0"/>
      <w:autoSpaceDE/>
      <w:spacing w:line="240" w:lineRule="auto"/>
      <w:ind w:firstLine="0" w:firstLineChars="0"/>
      <w:jc w:val="center"/>
    </w:pPr>
    <w:rPr>
      <w:sz w:val="21"/>
    </w:rPr>
  </w:style>
  <w:style w:type="paragraph" w:customStyle="1" w:styleId="19">
    <w:name w:val="Table Text"/>
    <w:basedOn w:val="1"/>
    <w:autoRedefine/>
    <w:semiHidden/>
    <w:qFormat/>
    <w:uiPriority w:val="0"/>
    <w:rPr>
      <w:rFonts w:ascii="宋体" w:hAnsi="宋体" w:eastAsia="宋体" w:cs="宋体"/>
      <w:sz w:val="24"/>
      <w:szCs w:val="24"/>
      <w:lang w:val="en-US" w:eastAsia="en-US" w:bidi="ar-SA"/>
    </w:rPr>
  </w:style>
  <w:style w:type="table" w:customStyle="1" w:styleId="20">
    <w:name w:val="Table Normal"/>
    <w:autoRedefine/>
    <w:semiHidden/>
    <w:unhideWhenUsed/>
    <w:qFormat/>
    <w:uiPriority w:val="0"/>
    <w:tblPr>
      <w:tblCellMar>
        <w:top w:w="0" w:type="dxa"/>
        <w:left w:w="0" w:type="dxa"/>
        <w:bottom w:w="0" w:type="dxa"/>
        <w:right w:w="0" w:type="dxa"/>
      </w:tblCellMar>
    </w:tblPr>
  </w:style>
  <w:style w:type="paragraph" w:customStyle="1" w:styleId="21">
    <w:name w:val="Body Text 21"/>
    <w:basedOn w:val="1"/>
    <w:autoRedefine/>
    <w:qFormat/>
    <w:uiPriority w:val="0"/>
    <w:pPr>
      <w:spacing w:after="120" w:line="480" w:lineRule="auto"/>
    </w:pPr>
  </w:style>
  <w:style w:type="paragraph" w:customStyle="1" w:styleId="22">
    <w:name w:val="WPSOffice手动目录 1"/>
    <w:autoRedefine/>
    <w:qFormat/>
    <w:uiPriority w:val="0"/>
    <w:pPr>
      <w:ind w:leftChars="0"/>
    </w:pPr>
    <w:rPr>
      <w:rFonts w:ascii="Times New Roman" w:hAnsi="Times New Roman" w:eastAsia="宋体" w:cs="Times New Roman"/>
      <w:sz w:val="20"/>
      <w:szCs w:val="20"/>
    </w:rPr>
  </w:style>
  <w:style w:type="paragraph" w:customStyle="1" w:styleId="23">
    <w:name w:val="WPSOffice手动目录 2"/>
    <w:autoRedefine/>
    <w:qFormat/>
    <w:uiPriority w:val="0"/>
    <w:pPr>
      <w:ind w:leftChars="200"/>
    </w:pPr>
    <w:rPr>
      <w:rFonts w:ascii="Times New Roman" w:hAnsi="Times New Roman" w:eastAsia="宋体" w:cs="Times New Roman"/>
      <w:sz w:val="20"/>
      <w:szCs w:val="20"/>
    </w:rPr>
  </w:style>
  <w:style w:type="paragraph" w:customStyle="1" w:styleId="24">
    <w:name w:val="WPSOffice手动目录 3"/>
    <w:autoRedefine/>
    <w:qFormat/>
    <w:uiPriority w:val="0"/>
    <w:pPr>
      <w:ind w:leftChars="4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4</TotalTime>
  <ScaleCrop>false</ScaleCrop>
  <LinksUpToDate>false</LinksUpToDate>
  <CharactersWithSpaces>0</CharactersWithSpaces>
  <Application>WPS Office_12.1.0.16417_F1E327BC-269C-435d-A152-05C5408002CA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2024-04-01T03:28:00Z</dcterms:created>
  <dc:creator>傲骄小粉条</dc:creator>
  <cp:lastModifiedBy>傲骄小粉条</cp:lastModifiedBy>
  <dcterms:modified xsi:type="dcterms:W3CDTF">2024-04-19T08:19:05Z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2052-12.1.0.16417</vt:lpwstr>
  </property>
  <property fmtid="{D5CDD505-2E9C-101B-9397-08002B2CF9AE}" pid="3" name="ICV">
    <vt:lpwstr>F66F18F17CDB4A1891BA1B7EEBCB663F_11</vt:lpwstr>
  </property>
</Properties>
</file>