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新疆润盛投资发展有限公司奎屯-独山子经济技术开发</w:t>
      </w:r>
      <w:r>
        <w:rPr>
          <w:rFonts w:hint="default" w:ascii="Times New Roman" w:hAnsi="Times New Roman" w:eastAsia="微软雅黑" w:cs="Times New Roman"/>
          <w:b w:val="0"/>
          <w:bCs/>
          <w:snapToGrid/>
          <w:color w:val="000000"/>
          <w:kern w:val="0"/>
          <w:sz w:val="48"/>
          <w:szCs w:val="48"/>
          <w:lang w:val="en-US" w:eastAsia="zh-CN" w:bidi="ar-SA"/>
        </w:rPr>
        <w:t>区2013年</w:t>
      </w:r>
      <w:r>
        <w:rPr>
          <w:rFonts w:hint="eastAsia" w:ascii="Tahoma" w:hAnsi="Tahoma" w:eastAsia="微软雅黑" w:cs="Times New Roman"/>
          <w:b w:val="0"/>
          <w:bCs/>
          <w:snapToGrid/>
          <w:color w:val="000000"/>
          <w:kern w:val="0"/>
          <w:sz w:val="48"/>
          <w:szCs w:val="48"/>
          <w:lang w:val="en-US" w:eastAsia="zh-CN" w:bidi="ar-SA"/>
        </w:rPr>
        <w:t>基础设施建设项目</w:t>
      </w:r>
    </w:p>
    <w:p>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新疆润盛投资发展有限公司</w:t>
      </w: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月</w:t>
      </w:r>
    </w:p>
    <w:p>
      <w:pPr>
        <w:pStyle w:val="18"/>
        <w:jc w:val="center"/>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rPr>
          <w:rFonts w:hint="eastAsia"/>
          <w:b w:val="0"/>
          <w:bCs/>
          <w:color w:val="000000"/>
          <w:sz w:val="28"/>
          <w:szCs w:val="28"/>
        </w:rPr>
      </w:pPr>
      <w:r>
        <w:rPr>
          <w:rFonts w:hint="eastAsia"/>
          <w:b w:val="0"/>
          <w:bCs/>
          <w:color w:val="000000"/>
          <w:sz w:val="28"/>
          <w:szCs w:val="28"/>
        </w:rPr>
        <w:br w:type="page"/>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新疆润盛投资发展有限公司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w:t>
      </w:r>
      <w:r>
        <w:rPr>
          <w:rFonts w:hint="eastAsia" w:ascii="仿宋_GB2312" w:hAnsi="仿宋" w:eastAsia="仿宋_GB2312" w:cs="Times New Roman"/>
          <w:b/>
          <w:color w:val="000000"/>
          <w:sz w:val="28"/>
          <w:szCs w:val="28"/>
          <w:lang w:val="en-US" w:eastAsia="zh-CN"/>
        </w:rPr>
        <w:t xml:space="preserve">          </w:t>
      </w:r>
      <w:r>
        <w:rPr>
          <w:rFonts w:hint="eastAsia" w:ascii="仿宋_GB2312" w:hAnsi="仿宋" w:eastAsia="仿宋_GB2312" w:cs="Times New Roman"/>
          <w:b/>
          <w:color w:val="000000"/>
          <w:sz w:val="28"/>
          <w:szCs w:val="28"/>
        </w:rPr>
        <w:t>（签字）</w:t>
      </w:r>
    </w:p>
    <w:p>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ascii="仿宋_GB2312" w:hAnsi="仿宋" w:eastAsia="仿宋_GB2312"/>
          <w:b/>
          <w:color w:val="000000"/>
          <w:sz w:val="28"/>
          <w:szCs w:val="28"/>
        </w:rPr>
      </w:pPr>
      <w:r>
        <w:rPr>
          <w:rFonts w:hint="eastAsia" w:ascii="仿宋_GB2312" w:hAnsi="仿宋" w:eastAsia="仿宋_GB2312"/>
          <w:b/>
          <w:color w:val="000000"/>
          <w:sz w:val="28"/>
          <w:szCs w:val="28"/>
        </w:rPr>
        <w:t>法人代表：</w:t>
      </w:r>
      <w:r>
        <w:rPr>
          <w:rFonts w:hint="eastAsia" w:ascii="仿宋_GB2312" w:hAnsi="仿宋" w:eastAsia="仿宋_GB2312"/>
          <w:b/>
          <w:color w:val="000000"/>
          <w:sz w:val="28"/>
          <w:szCs w:val="28"/>
          <w:lang w:val="en-US" w:eastAsia="zh-CN"/>
        </w:rPr>
        <w:t xml:space="preserve">            </w:t>
      </w:r>
      <w:r>
        <w:rPr>
          <w:rFonts w:hint="eastAsia" w:ascii="仿宋_GB2312" w:hAnsi="仿宋" w:eastAsia="仿宋_GB2312"/>
          <w:b/>
          <w:color w:val="000000"/>
          <w:sz w:val="28"/>
          <w:szCs w:val="28"/>
        </w:rPr>
        <w:t>（签字）</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 目 负 责 人：</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项目审核／审定人：</w:t>
      </w:r>
    </w:p>
    <w:p>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报 告 编 写 人：</w:t>
      </w:r>
    </w:p>
    <w:p>
      <w:pPr>
        <w:pStyle w:val="18"/>
        <w:jc w:val="both"/>
      </w:pPr>
    </w:p>
    <w:p>
      <w:pPr>
        <w:pStyle w:val="18"/>
      </w:pPr>
    </w:p>
    <w:p>
      <w:pPr>
        <w:pStyle w:val="18"/>
      </w:pPr>
    </w:p>
    <w:tbl>
      <w:tblPr>
        <w:tblStyle w:val="13"/>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tblPrEx>
          <w:tblCellMar>
            <w:top w:w="0" w:type="dxa"/>
            <w:left w:w="108" w:type="dxa"/>
            <w:bottom w:w="0" w:type="dxa"/>
            <w:right w:w="108" w:type="dxa"/>
          </w:tblCellMar>
        </w:tblPrEx>
        <w:trPr>
          <w:trHeight w:val="1235"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r>
              <w:rPr>
                <w:rFonts w:hint="eastAsia" w:ascii="Times New Roman" w:hAnsi="Times New Roman" w:eastAsia="仿宋_GB2312" w:cs="Times New Roman"/>
                <w:color w:val="000000"/>
                <w:sz w:val="28"/>
                <w:lang w:val="en-US" w:eastAsia="zh-CN"/>
              </w:rPr>
              <w:t>：</w:t>
            </w:r>
          </w:p>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新疆润盛投资发展有限公司</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r>
              <w:rPr>
                <w:rFonts w:hint="eastAsia" w:ascii="Times New Roman" w:hAnsi="Times New Roman" w:eastAsia="仿宋_GB2312" w:cs="Times New Roman"/>
                <w:color w:val="000000"/>
                <w:sz w:val="28"/>
                <w:lang w:val="en-US" w:eastAsia="zh-CN"/>
              </w:rPr>
              <w:t>：</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tblPrEx>
          <w:tblCellMar>
            <w:top w:w="0" w:type="dxa"/>
            <w:left w:w="108" w:type="dxa"/>
            <w:bottom w:w="0" w:type="dxa"/>
            <w:right w:w="108" w:type="dxa"/>
          </w:tblCellMar>
        </w:tblPrEx>
        <w:trPr>
          <w:trHeight w:val="687"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19990627353</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830002</w:t>
            </w:r>
          </w:p>
        </w:tc>
      </w:tr>
      <w:tr>
        <w:tblPrEx>
          <w:tblCellMar>
            <w:top w:w="0" w:type="dxa"/>
            <w:left w:w="108" w:type="dxa"/>
            <w:bottom w:w="0" w:type="dxa"/>
            <w:right w:w="108" w:type="dxa"/>
          </w:tblCellMar>
        </w:tblPrEx>
        <w:trPr>
          <w:trHeight w:val="1320"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伊犁州奎屯市喀什东路17号</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pPr>
        <w:spacing w:line="265" w:lineRule="auto"/>
        <w:rPr>
          <w:rFonts w:ascii="Arial"/>
          <w:sz w:val="21"/>
        </w:rPr>
      </w:pPr>
    </w:p>
    <w:p>
      <w:pPr>
        <w:spacing w:line="252" w:lineRule="auto"/>
        <w:rPr>
          <w:rFonts w:ascii="Arial"/>
          <w:sz w:val="21"/>
        </w:rPr>
      </w:pPr>
    </w:p>
    <w:p/>
    <w:p>
      <w:pPr>
        <w:sectPr>
          <w:headerReference r:id="rId5" w:type="default"/>
          <w:footerReference r:id="rId6" w:type="default"/>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17"/>
      </w:pPr>
    </w:p>
    <w:p/>
    <w:p>
      <w:pPr>
        <w:pStyle w:val="2"/>
      </w:pPr>
    </w:p>
    <w:p>
      <w:pPr>
        <w:pStyle w:val="12"/>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4"/>
        <w:gridCol w:w="46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6" w:hRule="atLeast"/>
          <w:jc w:val="center"/>
        </w:trPr>
        <w:tc>
          <w:tcPr>
            <w:tcW w:w="4624" w:type="dxa"/>
          </w:tcPr>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ind w:left="0" w:right="0"/>
              <w:textAlignment w:val="baseline"/>
              <w:rPr>
                <w:rFonts w:hint="eastAsia" w:eastAsia="宋体"/>
                <w:vertAlign w:val="baseline"/>
                <w:lang w:eastAsia="zh-CN"/>
              </w:rPr>
            </w:pPr>
            <w:r>
              <w:rPr>
                <w:rFonts w:hint="eastAsia" w:eastAsia="宋体"/>
                <w:lang w:val="en-US" w:eastAsia="zh-CN"/>
              </w:rPr>
              <w:drawing>
                <wp:anchor distT="0" distB="0" distL="114300" distR="114300" simplePos="0" relativeHeight="251665408" behindDoc="0" locked="0" layoutInCell="1" allowOverlap="1">
                  <wp:simplePos x="0" y="0"/>
                  <wp:positionH relativeFrom="column">
                    <wp:posOffset>86360</wp:posOffset>
                  </wp:positionH>
                  <wp:positionV relativeFrom="paragraph">
                    <wp:posOffset>42545</wp:posOffset>
                  </wp:positionV>
                  <wp:extent cx="2593340" cy="2921000"/>
                  <wp:effectExtent l="0" t="0" r="16510" b="12700"/>
                  <wp:wrapTopAndBottom/>
                  <wp:docPr id="68" name="图片 68" descr="ff94d63241f3ce4856b9fa41760cf678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ff94d63241f3ce4856b9fa41760cf678_"/>
                          <pic:cNvPicPr>
                            <a:picLocks noChangeAspect="1"/>
                          </pic:cNvPicPr>
                        </pic:nvPicPr>
                        <pic:blipFill>
                          <a:blip r:embed="rId20"/>
                          <a:stretch>
                            <a:fillRect/>
                          </a:stretch>
                        </pic:blipFill>
                        <pic:spPr>
                          <a:xfrm>
                            <a:off x="0" y="0"/>
                            <a:ext cx="2593340" cy="2921000"/>
                          </a:xfrm>
                          <a:prstGeom prst="rect">
                            <a:avLst/>
                          </a:prstGeom>
                        </pic:spPr>
                      </pic:pic>
                    </a:graphicData>
                  </a:graphic>
                </wp:anchor>
              </w:drawing>
            </w:r>
          </w:p>
        </w:tc>
        <w:tc>
          <w:tcPr>
            <w:tcW w:w="4624" w:type="dxa"/>
          </w:tcPr>
          <w:p>
            <w:pPr>
              <w:keepNext w:val="0"/>
              <w:keepLines w:val="0"/>
              <w:widowControl w:val="0"/>
              <w:suppressLineNumbers w:val="0"/>
              <w:spacing w:before="0" w:beforeAutospacing="0" w:after="0" w:afterAutospacing="0"/>
              <w:ind w:left="0" w:right="0"/>
              <w:rPr>
                <w:rFonts w:hint="eastAsia" w:eastAsia="宋体"/>
                <w:vertAlign w:val="baseline"/>
                <w:lang w:eastAsia="zh-CN"/>
              </w:rPr>
            </w:pPr>
            <w:r>
              <w:rPr>
                <w:rFonts w:hint="eastAsia" w:eastAsia="宋体"/>
                <w:lang w:eastAsia="zh-CN"/>
              </w:rPr>
              <w:drawing>
                <wp:anchor distT="0" distB="0" distL="114300" distR="114300" simplePos="0" relativeHeight="251666432" behindDoc="0" locked="0" layoutInCell="1" allowOverlap="1">
                  <wp:simplePos x="0" y="0"/>
                  <wp:positionH relativeFrom="column">
                    <wp:posOffset>36830</wp:posOffset>
                  </wp:positionH>
                  <wp:positionV relativeFrom="paragraph">
                    <wp:posOffset>50165</wp:posOffset>
                  </wp:positionV>
                  <wp:extent cx="2665095" cy="2905125"/>
                  <wp:effectExtent l="0" t="0" r="1905" b="9525"/>
                  <wp:wrapTopAndBottom/>
                  <wp:docPr id="67" name="图片 67" descr="83c5d2c8447ba46d17cc455b24db224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83c5d2c8447ba46d17cc455b24db2241_"/>
                          <pic:cNvPicPr>
                            <a:picLocks noChangeAspect="1"/>
                          </pic:cNvPicPr>
                        </pic:nvPicPr>
                        <pic:blipFill>
                          <a:blip r:embed="rId21"/>
                          <a:stretch>
                            <a:fillRect/>
                          </a:stretch>
                        </pic:blipFill>
                        <pic:spPr>
                          <a:xfrm>
                            <a:off x="0" y="0"/>
                            <a:ext cx="2665095" cy="290512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4624" w:type="dxa"/>
          </w:tcPr>
          <w:p>
            <w:pPr>
              <w:keepNext w:val="0"/>
              <w:keepLines w:val="0"/>
              <w:widowControl w:val="0"/>
              <w:suppressLineNumbers w:val="0"/>
              <w:spacing w:before="0" w:beforeAutospacing="0" w:after="0" w:afterAutospacing="0"/>
              <w:ind w:left="0" w:right="0"/>
              <w:jc w:val="center"/>
              <w:rPr>
                <w:rFonts w:hint="eastAsia" w:eastAsia="宋体"/>
                <w:sz w:val="21"/>
                <w:szCs w:val="21"/>
                <w:vertAlign w:val="baseline"/>
                <w:lang w:eastAsia="zh-CN"/>
              </w:rPr>
            </w:pPr>
            <w:r>
              <w:rPr>
                <w:rFonts w:hint="eastAsia" w:eastAsia="宋体"/>
                <w:sz w:val="21"/>
                <w:szCs w:val="21"/>
                <w:lang w:val="en-US" w:eastAsia="zh-CN"/>
              </w:rPr>
              <w:t>北一区库尔勒路</w:t>
            </w:r>
          </w:p>
        </w:tc>
        <w:tc>
          <w:tcPr>
            <w:tcW w:w="4624" w:type="dxa"/>
          </w:tcPr>
          <w:p>
            <w:pPr>
              <w:keepNext w:val="0"/>
              <w:keepLines w:val="0"/>
              <w:widowControl w:val="0"/>
              <w:suppressLineNumbers w:val="0"/>
              <w:spacing w:before="0" w:beforeAutospacing="0" w:after="0" w:afterAutospacing="0"/>
              <w:ind w:left="0" w:right="0"/>
              <w:jc w:val="center"/>
              <w:rPr>
                <w:rFonts w:hint="default" w:eastAsia="宋体"/>
                <w:sz w:val="21"/>
                <w:szCs w:val="21"/>
                <w:vertAlign w:val="baseline"/>
                <w:lang w:val="en-US" w:eastAsia="zh-CN"/>
              </w:rPr>
            </w:pPr>
            <w:r>
              <w:rPr>
                <w:rFonts w:hint="eastAsia" w:eastAsia="宋体"/>
                <w:sz w:val="21"/>
                <w:szCs w:val="21"/>
                <w:vertAlign w:val="baseline"/>
                <w:lang w:val="en-US" w:eastAsia="zh-CN"/>
              </w:rPr>
              <w:t>项目区道路现状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6" w:hRule="atLeast"/>
          <w:jc w:val="center"/>
        </w:trPr>
        <w:tc>
          <w:tcPr>
            <w:tcW w:w="4624" w:type="dxa"/>
          </w:tcPr>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textAlignment w:val="baseline"/>
              <w:rPr>
                <w:rFonts w:hint="eastAsia" w:eastAsia="宋体"/>
                <w:sz w:val="21"/>
                <w:szCs w:val="21"/>
                <w:vertAlign w:val="baseline"/>
                <w:lang w:eastAsia="zh-CN"/>
              </w:rPr>
            </w:pPr>
            <w:r>
              <w:rPr>
                <w:rFonts w:hint="eastAsia" w:eastAsia="宋体"/>
                <w:sz w:val="21"/>
                <w:szCs w:val="21"/>
                <w:lang w:eastAsia="zh-CN"/>
              </w:rPr>
              <w:drawing>
                <wp:anchor distT="0" distB="0" distL="114300" distR="114300" simplePos="0" relativeHeight="251670528" behindDoc="0" locked="0" layoutInCell="1" allowOverlap="1">
                  <wp:simplePos x="0" y="0"/>
                  <wp:positionH relativeFrom="column">
                    <wp:posOffset>-8890</wp:posOffset>
                  </wp:positionH>
                  <wp:positionV relativeFrom="paragraph">
                    <wp:posOffset>122555</wp:posOffset>
                  </wp:positionV>
                  <wp:extent cx="2727325" cy="1933575"/>
                  <wp:effectExtent l="0" t="0" r="15875" b="9525"/>
                  <wp:wrapTopAndBottom/>
                  <wp:docPr id="66" name="图片 66" descr="9fc7b4129a6bac1ef9f1f4a650ba0c32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9fc7b4129a6bac1ef9f1f4a650ba0c32_"/>
                          <pic:cNvPicPr>
                            <a:picLocks noChangeAspect="1"/>
                          </pic:cNvPicPr>
                        </pic:nvPicPr>
                        <pic:blipFill>
                          <a:blip r:embed="rId22"/>
                          <a:stretch>
                            <a:fillRect/>
                          </a:stretch>
                        </pic:blipFill>
                        <pic:spPr>
                          <a:xfrm>
                            <a:off x="0" y="0"/>
                            <a:ext cx="2727325" cy="1933575"/>
                          </a:xfrm>
                          <a:prstGeom prst="rect">
                            <a:avLst/>
                          </a:prstGeom>
                        </pic:spPr>
                      </pic:pic>
                    </a:graphicData>
                  </a:graphic>
                </wp:anchor>
              </w:drawing>
            </w:r>
          </w:p>
        </w:tc>
        <w:tc>
          <w:tcPr>
            <w:tcW w:w="4624" w:type="dxa"/>
          </w:tcPr>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textAlignment w:val="baseline"/>
              <w:rPr>
                <w:rFonts w:hint="eastAsia" w:eastAsia="宋体"/>
                <w:sz w:val="21"/>
                <w:szCs w:val="21"/>
                <w:vertAlign w:val="baseline"/>
                <w:lang w:eastAsia="zh-CN"/>
              </w:rPr>
            </w:pPr>
            <w:r>
              <w:rPr>
                <w:rFonts w:hint="eastAsia" w:eastAsia="宋体"/>
                <w:sz w:val="21"/>
                <w:szCs w:val="21"/>
                <w:lang w:val="en-US" w:eastAsia="zh-CN"/>
              </w:rPr>
              <w:drawing>
                <wp:anchor distT="0" distB="0" distL="114300" distR="114300" simplePos="0" relativeHeight="251671552" behindDoc="0" locked="0" layoutInCell="1" allowOverlap="1">
                  <wp:simplePos x="0" y="0"/>
                  <wp:positionH relativeFrom="column">
                    <wp:posOffset>-28575</wp:posOffset>
                  </wp:positionH>
                  <wp:positionV relativeFrom="paragraph">
                    <wp:posOffset>104775</wp:posOffset>
                  </wp:positionV>
                  <wp:extent cx="2780030" cy="1934845"/>
                  <wp:effectExtent l="0" t="0" r="1270" b="8255"/>
                  <wp:wrapTopAndBottom/>
                  <wp:docPr id="71" name="图片 71" descr="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13-"/>
                          <pic:cNvPicPr>
                            <a:picLocks noChangeAspect="1"/>
                          </pic:cNvPicPr>
                        </pic:nvPicPr>
                        <pic:blipFill>
                          <a:blip r:embed="rId23"/>
                          <a:stretch>
                            <a:fillRect/>
                          </a:stretch>
                        </pic:blipFill>
                        <pic:spPr>
                          <a:xfrm>
                            <a:off x="0" y="0"/>
                            <a:ext cx="2780030" cy="193484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4624" w:type="dxa"/>
          </w:tcPr>
          <w:p>
            <w:pPr>
              <w:keepNext w:val="0"/>
              <w:keepLines w:val="0"/>
              <w:widowControl w:val="0"/>
              <w:suppressLineNumbers w:val="0"/>
              <w:spacing w:before="0" w:beforeAutospacing="0" w:after="0" w:afterAutospacing="0"/>
              <w:ind w:left="0" w:right="0"/>
              <w:jc w:val="center"/>
              <w:rPr>
                <w:rFonts w:hint="eastAsia" w:eastAsia="宋体"/>
                <w:sz w:val="21"/>
                <w:szCs w:val="21"/>
                <w:vertAlign w:val="baseline"/>
                <w:lang w:eastAsia="zh-CN"/>
              </w:rPr>
            </w:pPr>
            <w:r>
              <w:rPr>
                <w:rFonts w:hint="eastAsia" w:eastAsia="宋体"/>
                <w:sz w:val="21"/>
                <w:szCs w:val="21"/>
                <w:lang w:val="en-US" w:eastAsia="zh-CN"/>
              </w:rPr>
              <w:t>路标</w:t>
            </w:r>
          </w:p>
        </w:tc>
        <w:tc>
          <w:tcPr>
            <w:tcW w:w="4624" w:type="dxa"/>
          </w:tcPr>
          <w:p>
            <w:pPr>
              <w:keepNext w:val="0"/>
              <w:keepLines w:val="0"/>
              <w:widowControl w:val="0"/>
              <w:suppressLineNumbers w:val="0"/>
              <w:spacing w:before="0" w:beforeAutospacing="0" w:after="0" w:afterAutospacing="0"/>
              <w:ind w:left="0" w:right="0"/>
              <w:jc w:val="center"/>
              <w:rPr>
                <w:rFonts w:hint="default" w:eastAsia="宋体"/>
                <w:sz w:val="21"/>
                <w:szCs w:val="21"/>
                <w:vertAlign w:val="baseline"/>
                <w:lang w:val="en-US" w:eastAsia="zh-CN"/>
              </w:rPr>
            </w:pPr>
            <w:r>
              <w:rPr>
                <w:rFonts w:hint="eastAsia" w:eastAsia="宋体"/>
                <w:sz w:val="21"/>
                <w:szCs w:val="21"/>
                <w:vertAlign w:val="baseline"/>
                <w:lang w:val="en-US" w:eastAsia="zh-CN"/>
              </w:rPr>
              <w:t>电力线路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5" w:hRule="atLeast"/>
          <w:jc w:val="center"/>
        </w:trPr>
        <w:tc>
          <w:tcPr>
            <w:tcW w:w="4624" w:type="dxa"/>
          </w:tcPr>
          <w:p>
            <w:pPr>
              <w:keepNext w:val="0"/>
              <w:keepLines w:val="0"/>
              <w:widowControl w:val="0"/>
              <w:suppressLineNumbers w:val="0"/>
              <w:spacing w:before="0" w:beforeAutospacing="0" w:after="0" w:afterAutospacing="0"/>
              <w:ind w:left="0" w:right="0"/>
              <w:jc w:val="center"/>
              <w:rPr>
                <w:rFonts w:hint="eastAsia" w:eastAsia="宋体"/>
                <w:sz w:val="24"/>
                <w:szCs w:val="24"/>
                <w:lang w:val="en-US" w:eastAsia="zh-CN"/>
              </w:rPr>
            </w:pPr>
            <w:r>
              <w:rPr>
                <w:rFonts w:hint="eastAsia" w:eastAsia="宋体"/>
                <w:sz w:val="24"/>
                <w:szCs w:val="24"/>
                <w:lang w:val="en-US" w:eastAsia="zh-CN"/>
              </w:rPr>
              <w:drawing>
                <wp:inline distT="0" distB="0" distL="114300" distR="114300">
                  <wp:extent cx="2787650" cy="4356735"/>
                  <wp:effectExtent l="0" t="0" r="12700" b="5715"/>
                  <wp:docPr id="72" name="图片 72" descr="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013"/>
                          <pic:cNvPicPr>
                            <a:picLocks noChangeAspect="1"/>
                          </pic:cNvPicPr>
                        </pic:nvPicPr>
                        <pic:blipFill>
                          <a:blip r:embed="rId24"/>
                          <a:stretch>
                            <a:fillRect/>
                          </a:stretch>
                        </pic:blipFill>
                        <pic:spPr>
                          <a:xfrm>
                            <a:off x="0" y="0"/>
                            <a:ext cx="2787650" cy="4356735"/>
                          </a:xfrm>
                          <a:prstGeom prst="rect">
                            <a:avLst/>
                          </a:prstGeom>
                        </pic:spPr>
                      </pic:pic>
                    </a:graphicData>
                  </a:graphic>
                </wp:inline>
              </w:drawing>
            </w:r>
          </w:p>
        </w:tc>
        <w:tc>
          <w:tcPr>
            <w:tcW w:w="4624" w:type="dxa"/>
          </w:tcPr>
          <w:p>
            <w:pPr>
              <w:keepNext w:val="0"/>
              <w:keepLines w:val="0"/>
              <w:widowControl w:val="0"/>
              <w:suppressLineNumbers w:val="0"/>
              <w:spacing w:before="0" w:beforeAutospacing="0" w:after="0" w:afterAutospacing="0"/>
              <w:ind w:left="0" w:right="0"/>
              <w:rPr>
                <w:rFonts w:hint="eastAsia" w:eastAsia="宋体"/>
                <w:vertAlign w:val="baseline"/>
                <w:lang w:eastAsia="zh-CN"/>
              </w:rPr>
            </w:pPr>
            <w:r>
              <w:rPr>
                <w:rFonts w:hint="eastAsia" w:eastAsia="宋体"/>
                <w:vertAlign w:val="baseline"/>
                <w:lang w:eastAsia="zh-CN"/>
              </w:rPr>
              <w:drawing>
                <wp:inline distT="0" distB="0" distL="114300" distR="114300">
                  <wp:extent cx="2797810" cy="4345305"/>
                  <wp:effectExtent l="0" t="0" r="2540" b="17145"/>
                  <wp:docPr id="69" name="图片 69" descr="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2013"/>
                          <pic:cNvPicPr>
                            <a:picLocks noChangeAspect="1"/>
                          </pic:cNvPicPr>
                        </pic:nvPicPr>
                        <pic:blipFill>
                          <a:blip r:embed="rId25"/>
                          <a:stretch>
                            <a:fillRect/>
                          </a:stretch>
                        </pic:blipFill>
                        <pic:spPr>
                          <a:xfrm>
                            <a:off x="0" y="0"/>
                            <a:ext cx="2797810" cy="43453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eastAsia" w:eastAsia="宋体"/>
                <w:sz w:val="21"/>
                <w:szCs w:val="21"/>
                <w:lang w:val="en-US" w:eastAsia="zh-CN"/>
              </w:rPr>
            </w:pPr>
            <w:r>
              <w:rPr>
                <w:rFonts w:hint="eastAsia" w:eastAsia="宋体"/>
                <w:sz w:val="21"/>
                <w:szCs w:val="21"/>
                <w:vertAlign w:val="baseline"/>
                <w:lang w:val="en-US" w:eastAsia="zh-CN"/>
              </w:rPr>
              <w:t>项目区道路现状</w:t>
            </w:r>
          </w:p>
        </w:tc>
        <w:tc>
          <w:tcPr>
            <w:tcW w:w="4624" w:type="dxa"/>
          </w:tcPr>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ind w:left="0" w:right="0"/>
              <w:jc w:val="center"/>
              <w:textAlignment w:val="baseline"/>
              <w:rPr>
                <w:rFonts w:hint="eastAsia" w:eastAsia="宋体"/>
                <w:sz w:val="21"/>
                <w:szCs w:val="21"/>
                <w:vertAlign w:val="baseline"/>
                <w:lang w:eastAsia="zh-CN"/>
              </w:rPr>
            </w:pPr>
            <w:r>
              <w:rPr>
                <w:rFonts w:hint="eastAsia" w:eastAsia="宋体"/>
                <w:sz w:val="21"/>
                <w:szCs w:val="21"/>
                <w:vertAlign w:val="baseline"/>
                <w:lang w:val="en-US" w:eastAsia="zh-CN"/>
              </w:rPr>
              <w:t>电力线路</w:t>
            </w:r>
          </w:p>
        </w:tc>
      </w:tr>
    </w:tbl>
    <w:p>
      <w:pPr>
        <w:pStyle w:val="7"/>
        <w:keepNext w:val="0"/>
        <w:keepLines w:val="0"/>
        <w:pageBreakBefore w:val="0"/>
        <w:widowControl/>
        <w:kinsoku w:val="0"/>
        <w:wordWrap/>
        <w:overflowPunct/>
        <w:topLinePunct w:val="0"/>
        <w:autoSpaceDE w:val="0"/>
        <w:autoSpaceDN w:val="0"/>
        <w:bidi w:val="0"/>
        <w:adjustRightInd w:val="0"/>
        <w:snapToGrid w:val="0"/>
        <w:spacing w:before="0" w:beforeLines="500" w:after="0"/>
        <w:ind w:left="0" w:leftChars="0" w:firstLine="0" w:firstLineChars="0"/>
        <w:textAlignment w:val="baseline"/>
        <w:rPr>
          <w:rFonts w:hint="eastAsia"/>
          <w:lang w:eastAsia="zh-CN"/>
        </w:rPr>
      </w:pPr>
    </w:p>
    <w:p>
      <w:pPr>
        <w:pStyle w:val="6"/>
        <w:rPr>
          <w:rFonts w:hint="eastAsia"/>
          <w:lang w:eastAsia="zh-CN"/>
        </w:rPr>
      </w:pPr>
    </w:p>
    <w:p>
      <w:pPr>
        <w:pStyle w:val="7"/>
        <w:rPr>
          <w:rFonts w:hint="eastAsia"/>
          <w:lang w:eastAsia="zh-CN"/>
        </w:rPr>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29</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42</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r>
        <w:fldChar w:fldCharType="end"/>
      </w:r>
    </w:p>
    <w:p>
      <w:pPr>
        <w:pStyle w:val="17"/>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
      <w:pPr>
        <w:pStyle w:val="2"/>
      </w:pPr>
    </w:p>
    <w:p>
      <w:pPr>
        <w:pStyle w:val="2"/>
      </w:pPr>
    </w:p>
    <w:p>
      <w:pPr>
        <w:pStyle w:val="2"/>
      </w:pPr>
    </w:p>
    <w:p>
      <w:pPr>
        <w:pStyle w:val="2"/>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19"/>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73"/>
        <w:gridCol w:w="1394"/>
        <w:gridCol w:w="681"/>
        <w:gridCol w:w="951"/>
        <w:gridCol w:w="945"/>
        <w:gridCol w:w="270"/>
        <w:gridCol w:w="1034"/>
        <w:gridCol w:w="111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w:t>
            </w:r>
            <w:r>
              <w:rPr>
                <w:rFonts w:hint="eastAsia" w:ascii="宋体" w:hAnsi="宋体" w:eastAsia="宋体" w:cs="宋体"/>
                <w:spacing w:val="-1"/>
                <w:sz w:val="24"/>
                <w:szCs w:val="24"/>
                <w:lang w:val="en-US" w:eastAsia="zh-CN"/>
              </w:rPr>
              <w:t>础设施建设项目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新疆润盛投资发展有限公司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3026" w:type="dxa"/>
            <w:gridSpan w:val="3"/>
            <w:vAlign w:val="center"/>
          </w:tcPr>
          <w:p>
            <w:pPr>
              <w:keepNext w:val="0"/>
              <w:keepLines w:val="0"/>
              <w:pageBreakBefore w:val="0"/>
              <w:widowControl/>
              <w:kinsoku/>
              <w:wordWrap/>
              <w:overflowPunct/>
              <w:topLinePunct w:val="0"/>
              <w:autoSpaceDE/>
              <w:autoSpaceDN/>
              <w:bidi w:val="0"/>
              <w:spacing w:line="221" w:lineRule="auto"/>
              <w:ind w:left="0" w:right="0" w:firstLine="0" w:firstLineChars="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鄂军将</w:t>
            </w:r>
          </w:p>
        </w:tc>
        <w:tc>
          <w:tcPr>
            <w:tcW w:w="1215" w:type="dxa"/>
            <w:gridSpan w:val="2"/>
            <w:vAlign w:val="center"/>
          </w:tcPr>
          <w:p>
            <w:pPr>
              <w:keepNext w:val="0"/>
              <w:keepLines w:val="0"/>
              <w:pageBreakBefore w:val="0"/>
              <w:widowControl/>
              <w:kinsoku/>
              <w:wordWrap/>
              <w:overflowPunct/>
              <w:topLinePunct w:val="0"/>
              <w:autoSpaceDE/>
              <w:autoSpaceDN/>
              <w:bidi w:val="0"/>
              <w:spacing w:line="222"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149" w:type="dxa"/>
            <w:gridSpan w:val="2"/>
            <w:vAlign w:val="center"/>
          </w:tcPr>
          <w:p>
            <w:pPr>
              <w:keepNext w:val="0"/>
              <w:keepLines w:val="0"/>
              <w:pageBreakBefore w:val="0"/>
              <w:widowControl/>
              <w:kinsoku/>
              <w:wordWrap/>
              <w:overflowPunct/>
              <w:topLinePunct w:val="0"/>
              <w:autoSpaceDE/>
              <w:autoSpaceDN/>
              <w:bidi w:val="0"/>
              <w:adjustRightInd w:val="0"/>
              <w:snapToGrid w:val="0"/>
              <w:spacing w:line="221"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张文娟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390" w:type="dxa"/>
            <w:gridSpan w:val="7"/>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伊犁州奎屯市喀什东路17号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075" w:type="dxa"/>
            <w:gridSpan w:val="2"/>
            <w:vAlign w:val="center"/>
          </w:tcPr>
          <w:p>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13565572558</w:t>
            </w:r>
          </w:p>
        </w:tc>
        <w:tc>
          <w:tcPr>
            <w:tcW w:w="951"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15" w:type="dxa"/>
            <w:gridSpan w:val="2"/>
            <w:vAlign w:val="center"/>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03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eastAsia" w:ascii="Times New Roman" w:hAnsi="Times New Roman" w:eastAsia="宋体" w:cs="Times New Roman"/>
                <w:spacing w:val="-2"/>
                <w:sz w:val="24"/>
                <w:szCs w:val="24"/>
                <w:highlight w:val="none"/>
                <w:lang w:val="en-US" w:eastAsia="zh-CN"/>
              </w:rPr>
              <w:t>32200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390" w:type="dxa"/>
            <w:gridSpan w:val="7"/>
            <w:vAlign w:val="center"/>
          </w:tcPr>
          <w:p>
            <w:pPr>
              <w:keepNext w:val="0"/>
              <w:keepLines w:val="0"/>
              <w:pageBreakBefore w:val="0"/>
              <w:widowControl/>
              <w:suppressLineNumbers w:val="0"/>
              <w:kinsoku/>
              <w:wordWrap/>
              <w:overflowPunct/>
              <w:topLinePunct w:val="0"/>
              <w:autoSpaceDE/>
              <w:autoSpaceDN/>
              <w:bidi w:val="0"/>
              <w:ind w:left="0" w:right="0" w:firstLine="0" w:firstLineChars="0"/>
              <w:jc w:val="center"/>
              <w:rPr>
                <w:rFonts w:hint="eastAsia" w:ascii="Times New Roman" w:hAnsi="Times New Roman" w:eastAsia="宋体" w:cs="Times New Roman"/>
                <w:color w:val="auto"/>
                <w:sz w:val="24"/>
                <w:szCs w:val="24"/>
                <w:u w:val="none"/>
                <w:lang w:val="en-US" w:eastAsia="zh-CN"/>
              </w:rPr>
            </w:pPr>
            <w:r>
              <w:rPr>
                <w:rFonts w:hint="eastAsia" w:ascii="Times New Roman" w:hAnsi="Times New Roman" w:eastAsia="宋体" w:cs="Times New Roman"/>
                <w:color w:val="auto"/>
                <w:sz w:val="24"/>
                <w:szCs w:val="24"/>
                <w:u w:val="none"/>
                <w:lang w:val="en-US" w:eastAsia="zh-CN"/>
              </w:rPr>
              <w:t>奎屯-独山子经济技术开发区内</w:t>
            </w:r>
          </w:p>
          <w:p>
            <w:pPr>
              <w:pStyle w:val="20"/>
              <w:keepNext w:val="0"/>
              <w:keepLines w:val="0"/>
              <w:pageBreakBefore w:val="0"/>
              <w:widowControl/>
              <w:kinsoku/>
              <w:wordWrap/>
              <w:overflowPunct/>
              <w:topLinePunct w:val="0"/>
              <w:autoSpaceDE/>
              <w:autoSpaceDN/>
              <w:bidi w:val="0"/>
              <w:adjustRightInd/>
              <w:snapToGrid/>
              <w:ind w:left="0" w:right="0" w:firstLine="0" w:firstLineChars="0"/>
              <w:jc w:val="center"/>
              <w:textAlignment w:val="auto"/>
              <w:rPr>
                <w:rFonts w:hint="default" w:ascii="Times New Roman" w:hAnsi="Times New Roman" w:eastAsia="宋体" w:cs="Times New Roman"/>
                <w:sz w:val="24"/>
                <w:szCs w:val="24"/>
                <w:lang w:val="en-US"/>
              </w:rPr>
            </w:pPr>
            <w:r>
              <w:rPr>
                <w:rFonts w:hint="default" w:ascii="Times New Roman" w:hAnsi="Times New Roman" w:eastAsia="Tahoma" w:cs="Times New Roman"/>
                <w:i w:val="0"/>
                <w:caps w:val="0"/>
                <w:color w:val="auto"/>
                <w:spacing w:val="0"/>
                <w:kern w:val="2"/>
                <w:sz w:val="24"/>
                <w:szCs w:val="24"/>
                <w:highlight w:val="none"/>
                <w:shd w:val="clear" w:color="auto" w:fill="FFFFFF"/>
                <w:lang w:val="en-US" w:eastAsia="zh-CN" w:bidi="ar-SA"/>
              </w:rPr>
              <w:t>E</w:t>
            </w:r>
            <w:r>
              <w:rPr>
                <w:rFonts w:hint="eastAsia" w:ascii="Times New Roman" w:hAnsi="Times New Roman" w:eastAsia="Tahoma" w:cs="Times New Roman"/>
                <w:i w:val="0"/>
                <w:caps w:val="0"/>
                <w:color w:val="auto"/>
                <w:spacing w:val="0"/>
                <w:kern w:val="2"/>
                <w:sz w:val="24"/>
                <w:szCs w:val="24"/>
                <w:highlight w:val="none"/>
                <w:shd w:val="clear" w:color="auto" w:fill="FFFFFF"/>
                <w:lang w:val="en-US" w:eastAsia="zh-CN" w:bidi="ar-SA"/>
              </w:rPr>
              <w:t>：</w:t>
            </w:r>
            <w:r>
              <w:rPr>
                <w:rFonts w:hint="default" w:ascii="Times New Roman" w:hAnsi="Times New Roman" w:cs="Times New Roman"/>
                <w:b w:val="0"/>
                <w:bCs w:val="0"/>
                <w:color w:val="auto"/>
                <w:sz w:val="24"/>
                <w:szCs w:val="24"/>
                <w:highlight w:val="none"/>
                <w:vertAlign w:val="baseline"/>
                <w:lang w:val="en-US" w:eastAsia="zh-CN"/>
              </w:rPr>
              <w:t>8</w:t>
            </w:r>
            <w:r>
              <w:rPr>
                <w:rFonts w:hint="eastAsia" w:ascii="Times New Roman" w:hAnsi="Times New Roman" w:cs="Times New Roman"/>
                <w:b w:val="0"/>
                <w:bCs w:val="0"/>
                <w:color w:val="auto"/>
                <w:sz w:val="24"/>
                <w:szCs w:val="24"/>
                <w:highlight w:val="none"/>
                <w:vertAlign w:val="baseline"/>
                <w:lang w:val="en-US" w:eastAsia="zh-CN"/>
              </w:rPr>
              <w:t>4</w:t>
            </w:r>
            <w:r>
              <w:rPr>
                <w:rFonts w:hint="default" w:ascii="Times New Roman" w:hAnsi="Times New Roman" w:cs="Times New Roman"/>
                <w:b w:val="0"/>
                <w:bCs w:val="0"/>
                <w:color w:val="auto"/>
                <w:sz w:val="24"/>
                <w:szCs w:val="24"/>
                <w:highlight w:val="none"/>
                <w:vertAlign w:val="baseline"/>
                <w:lang w:val="en-US" w:eastAsia="zh-CN"/>
              </w:rPr>
              <w:t>°</w:t>
            </w:r>
            <w:r>
              <w:rPr>
                <w:rFonts w:hint="eastAsia" w:ascii="Times New Roman" w:hAnsi="Times New Roman" w:cs="Times New Roman"/>
                <w:b w:val="0"/>
                <w:bCs w:val="0"/>
                <w:color w:val="auto"/>
                <w:sz w:val="24"/>
                <w:szCs w:val="24"/>
                <w:highlight w:val="none"/>
                <w:vertAlign w:val="baseline"/>
                <w:lang w:val="en-US" w:eastAsia="zh-CN"/>
              </w:rPr>
              <w:t>58</w:t>
            </w:r>
            <w:r>
              <w:rPr>
                <w:rFonts w:hint="default" w:ascii="Times New Roman" w:hAnsi="Times New Roman" w:cs="Times New Roman"/>
                <w:b w:val="0"/>
                <w:bCs w:val="0"/>
                <w:color w:val="auto"/>
                <w:sz w:val="24"/>
                <w:szCs w:val="24"/>
                <w:highlight w:val="none"/>
                <w:vertAlign w:val="baseline"/>
                <w:lang w:val="en-US" w:eastAsia="zh-CN"/>
              </w:rPr>
              <w:t>′</w:t>
            </w:r>
            <w:r>
              <w:rPr>
                <w:rFonts w:hint="eastAsia" w:ascii="Times New Roman" w:hAnsi="Times New Roman" w:cs="Times New Roman"/>
                <w:b w:val="0"/>
                <w:bCs w:val="0"/>
                <w:color w:val="auto"/>
                <w:sz w:val="24"/>
                <w:szCs w:val="24"/>
                <w:highlight w:val="none"/>
                <w:vertAlign w:val="baseline"/>
                <w:lang w:val="en-US" w:eastAsia="zh-CN"/>
              </w:rPr>
              <w:t>31.22</w:t>
            </w:r>
            <w:r>
              <w:rPr>
                <w:rFonts w:hint="default" w:ascii="Times New Roman" w:hAnsi="Times New Roman" w:cs="Times New Roman"/>
                <w:b w:val="0"/>
                <w:bCs w:val="0"/>
                <w:color w:val="auto"/>
                <w:sz w:val="24"/>
                <w:szCs w:val="24"/>
                <w:highlight w:val="none"/>
                <w:vertAlign w:val="baseline"/>
                <w:lang w:val="en-US" w:eastAsia="zh-CN"/>
              </w:rPr>
              <w:t>″</w:t>
            </w:r>
            <w:r>
              <w:rPr>
                <w:rFonts w:hint="eastAsia" w:ascii="Times New Roman" w:hAnsi="Times New Roman" w:cs="Times New Roman"/>
                <w:b w:val="0"/>
                <w:bCs w:val="0"/>
                <w:color w:val="auto"/>
                <w:sz w:val="24"/>
                <w:szCs w:val="24"/>
                <w:highlight w:val="none"/>
                <w:vertAlign w:val="baseline"/>
                <w:lang w:val="en-US" w:eastAsia="zh-CN"/>
              </w:rPr>
              <w:t>，</w:t>
            </w:r>
            <w:r>
              <w:rPr>
                <w:rFonts w:hint="default" w:ascii="Times New Roman" w:hAnsi="Times New Roman" w:eastAsia="Tahoma" w:cs="Times New Roman"/>
                <w:i w:val="0"/>
                <w:caps w:val="0"/>
                <w:color w:val="auto"/>
                <w:spacing w:val="0"/>
                <w:kern w:val="2"/>
                <w:sz w:val="24"/>
                <w:szCs w:val="24"/>
                <w:highlight w:val="none"/>
                <w:shd w:val="clear" w:color="auto" w:fill="FFFFFF"/>
                <w:lang w:val="en-US" w:eastAsia="zh-CN" w:bidi="ar-SA"/>
              </w:rPr>
              <w:t>N</w:t>
            </w:r>
            <w:r>
              <w:rPr>
                <w:rFonts w:hint="eastAsia" w:ascii="Times New Roman" w:hAnsi="Times New Roman" w:eastAsia="Tahoma" w:cs="Times New Roman"/>
                <w:i w:val="0"/>
                <w:caps w:val="0"/>
                <w:color w:val="auto"/>
                <w:spacing w:val="0"/>
                <w:kern w:val="2"/>
                <w:sz w:val="24"/>
                <w:szCs w:val="24"/>
                <w:highlight w:val="none"/>
                <w:shd w:val="clear" w:color="auto" w:fill="FFFFFF"/>
                <w:lang w:val="en-US" w:eastAsia="zh-CN" w:bidi="ar-SA"/>
              </w:rPr>
              <w:t>：</w:t>
            </w:r>
            <w:r>
              <w:rPr>
                <w:rFonts w:hint="eastAsia" w:ascii="Times New Roman" w:hAnsi="Times New Roman" w:eastAsia="宋体" w:cs="Times New Roman"/>
                <w:b w:val="0"/>
                <w:bCs w:val="0"/>
                <w:color w:val="auto"/>
                <w:sz w:val="24"/>
                <w:szCs w:val="24"/>
                <w:highlight w:val="none"/>
                <w:vertAlign w:val="baseline"/>
                <w:lang w:val="en-US" w:eastAsia="zh-CN"/>
              </w:rPr>
              <w:t>44</w:t>
            </w:r>
            <w:r>
              <w:rPr>
                <w:rFonts w:hint="default" w:ascii="Times New Roman" w:hAnsi="Times New Roman" w:eastAsia="宋体" w:cs="Times New Roman"/>
                <w:b w:val="0"/>
                <w:bCs w:val="0"/>
                <w:color w:val="auto"/>
                <w:sz w:val="24"/>
                <w:szCs w:val="24"/>
                <w:highlight w:val="none"/>
                <w:vertAlign w:val="baseline"/>
                <w:lang w:val="en-US" w:eastAsia="zh-CN"/>
              </w:rPr>
              <w:t>°</w:t>
            </w:r>
            <w:r>
              <w:rPr>
                <w:rFonts w:hint="eastAsia" w:ascii="Times New Roman" w:hAnsi="Times New Roman" w:eastAsia="宋体" w:cs="Times New Roman"/>
                <w:b w:val="0"/>
                <w:bCs w:val="0"/>
                <w:color w:val="auto"/>
                <w:sz w:val="24"/>
                <w:szCs w:val="24"/>
                <w:highlight w:val="none"/>
                <w:vertAlign w:val="baseline"/>
                <w:lang w:val="en-US" w:eastAsia="zh-CN"/>
              </w:rPr>
              <w:t>23</w:t>
            </w:r>
            <w:r>
              <w:rPr>
                <w:rFonts w:hint="default" w:ascii="Times New Roman" w:hAnsi="Times New Roman" w:eastAsia="宋体" w:cs="Times New Roman"/>
                <w:b w:val="0"/>
                <w:bCs w:val="0"/>
                <w:color w:val="auto"/>
                <w:sz w:val="24"/>
                <w:szCs w:val="24"/>
                <w:highlight w:val="none"/>
                <w:vertAlign w:val="baseline"/>
                <w:lang w:val="en-US" w:eastAsia="zh-CN"/>
              </w:rPr>
              <w:t>′</w:t>
            </w:r>
            <w:r>
              <w:rPr>
                <w:rFonts w:hint="eastAsia" w:ascii="Times New Roman" w:hAnsi="Times New Roman" w:eastAsia="宋体" w:cs="Times New Roman"/>
                <w:b w:val="0"/>
                <w:bCs w:val="0"/>
                <w:color w:val="auto"/>
                <w:sz w:val="24"/>
                <w:szCs w:val="24"/>
                <w:highlight w:val="none"/>
                <w:vertAlign w:val="baseline"/>
                <w:lang w:val="en-US" w:eastAsia="zh-CN"/>
              </w:rPr>
              <w:t>35.45</w:t>
            </w:r>
            <w:r>
              <w:rPr>
                <w:rFonts w:hint="default" w:ascii="Times New Roman" w:hAnsi="Times New Roman" w:eastAsia="宋体" w:cs="Times New Roman"/>
                <w:b w:val="0"/>
                <w:bCs w:val="0"/>
                <w:color w:val="auto"/>
                <w:sz w:val="24"/>
                <w:szCs w:val="24"/>
                <w:highlight w:val="none"/>
                <w:vertAlign w:val="baseline"/>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207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896"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2419"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color w:val="000000"/>
                <w:sz w:val="24"/>
                <w:szCs w:val="24"/>
                <w:lang w:val="en-US" w:eastAsia="zh-CN"/>
              </w:rPr>
              <w:t>E4813市政道路工程建筑</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2013年基础设施</w:t>
            </w:r>
            <w:r>
              <w:rPr>
                <w:rFonts w:hint="eastAsia" w:ascii="宋体" w:hAnsi="宋体" w:eastAsia="宋体" w:cs="宋体"/>
                <w:spacing w:val="-1"/>
                <w:sz w:val="24"/>
                <w:szCs w:val="24"/>
                <w:lang w:val="en-US" w:eastAsia="zh-CN"/>
              </w:rPr>
              <w:t>建设项目</w:t>
            </w:r>
            <w:r>
              <w:rPr>
                <w:rFonts w:hint="default" w:ascii="Times New Roman" w:hAnsi="Times New Roman" w:eastAsia="宋体" w:cs="Times New Roman"/>
                <w:sz w:val="24"/>
                <w:szCs w:val="24"/>
              </w:rPr>
              <w:t>环境影响报告表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olor w:val="auto"/>
                <w:sz w:val="24"/>
                <w:szCs w:val="24"/>
                <w:lang w:eastAsia="zh-CN"/>
              </w:rPr>
              <w:t>新疆净源环境咨询有限公司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2"/>
                <w:szCs w:val="22"/>
                <w:lang w:val="en-US" w:eastAsia="zh-CN"/>
              </w:rPr>
            </w:pPr>
            <w:r>
              <w:rPr>
                <w:rFonts w:hint="eastAsia" w:ascii="Times New Roman" w:hAnsi="Times New Roman" w:eastAsia="宋体" w:cs="Times New Roman"/>
                <w:sz w:val="22"/>
                <w:szCs w:val="22"/>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原奎屯-独山子经济技术开发区环境保护局</w:t>
            </w:r>
          </w:p>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17</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27</w:t>
            </w:r>
            <w:r>
              <w:rPr>
                <w:rFonts w:hint="default" w:ascii="Times New Roman" w:hAnsi="Times New Roman" w:eastAsia="宋体" w:cs="Times New Roman"/>
                <w:sz w:val="24"/>
                <w:szCs w:val="24"/>
              </w:rPr>
              <w:t>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16098</w:t>
            </w:r>
          </w:p>
        </w:tc>
        <w:tc>
          <w:tcPr>
            <w:tcW w:w="1632" w:type="dxa"/>
            <w:gridSpan w:val="2"/>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1385</w:t>
            </w:r>
          </w:p>
        </w:tc>
        <w:tc>
          <w:tcPr>
            <w:tcW w:w="1034" w:type="dxa"/>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8.6</w:t>
            </w:r>
            <w:r>
              <w:rPr>
                <w:rFonts w:hint="eastAsia" w:ascii="Times New Roman" w:hAnsi="Times New Roman" w:eastAsia="宋体"/>
                <w:color w:val="000000"/>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16098</w:t>
            </w:r>
          </w:p>
        </w:tc>
        <w:tc>
          <w:tcPr>
            <w:tcW w:w="1632" w:type="dxa"/>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1385</w:t>
            </w:r>
          </w:p>
        </w:tc>
        <w:tc>
          <w:tcPr>
            <w:tcW w:w="1034" w:type="dxa"/>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8.6</w:t>
            </w:r>
            <w:r>
              <w:rPr>
                <w:rFonts w:hint="eastAsia" w:ascii="Times New Roman" w:hAnsi="Times New Roman" w:eastAsia="宋体"/>
                <w:color w:val="000000"/>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3026"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color w:val="000000"/>
                <w:kern w:val="0"/>
                <w:sz w:val="24"/>
                <w:szCs w:val="24"/>
                <w:lang w:val="en-US" w:eastAsia="zh-CN" w:bidi="ar"/>
              </w:rPr>
              <w:t>道路工程17.52km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供排水管线1.1km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路肩改造0.24万m²、绿化、林床改造项目建设9.2万m</w:t>
            </w:r>
            <w:r>
              <w:rPr>
                <w:rFonts w:hint="default" w:ascii="Times New Roman" w:hAnsi="Times New Roman" w:eastAsia="宋体" w:cs="Times New Roman"/>
                <w:color w:val="000000"/>
                <w:kern w:val="0"/>
                <w:sz w:val="24"/>
                <w:szCs w:val="24"/>
                <w:vertAlign w:val="superscript"/>
                <w:lang w:val="en-US" w:eastAsia="zh-CN" w:bidi="ar"/>
              </w:rPr>
              <w:t>2</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亮化路灯320盏项目</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电力线路改迁建设</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pStyle w:val="7"/>
              <w:keepNext w:val="0"/>
              <w:keepLines w:val="0"/>
              <w:pageBreakBefore w:val="0"/>
              <w:widowControl/>
              <w:kinsoku/>
              <w:wordWrap/>
              <w:overflowPunct/>
              <w:topLinePunct w:val="0"/>
              <w:autoSpaceDE/>
              <w:autoSpaceDN/>
              <w:bidi w:val="0"/>
              <w:adjustRightInd w:val="0"/>
              <w:snapToGrid w:val="0"/>
              <w:spacing w:after="0" w:line="240" w:lineRule="auto"/>
              <w:ind w:left="0" w:leftChars="0" w:right="0" w:firstLine="0" w:firstLineChars="0"/>
              <w:jc w:val="center"/>
              <w:textAlignment w:val="baseline"/>
              <w:rPr>
                <w:rFonts w:hint="default" w:eastAsia="宋体"/>
                <w:lang w:val="en-US" w:eastAsia="zh-CN"/>
              </w:rPr>
            </w:pPr>
            <w:r>
              <w:rPr>
                <w:rFonts w:hint="default" w:ascii="Times New Roman" w:hAnsi="Times New Roman" w:eastAsia="Times New Roman" w:cs="Times New Roman"/>
                <w:spacing w:val="-1"/>
                <w:sz w:val="24"/>
                <w:szCs w:val="24"/>
                <w:highlight w:val="none"/>
              </w:rPr>
              <w:t>20</w:t>
            </w:r>
            <w:r>
              <w:rPr>
                <w:rFonts w:hint="eastAsia" w:ascii="Times New Roman" w:hAnsi="Times New Roman" w:eastAsia="宋体" w:cs="Times New Roman"/>
                <w:spacing w:val="-1"/>
                <w:sz w:val="24"/>
                <w:szCs w:val="24"/>
                <w:highlight w:val="none"/>
                <w:lang w:val="en-US" w:eastAsia="zh-CN"/>
              </w:rPr>
              <w:t>13</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pacing w:val="-1"/>
                <w:sz w:val="24"/>
                <w:szCs w:val="24"/>
                <w:highlight w:val="none"/>
                <w:lang w:val="en-US" w:eastAsia="zh-CN"/>
              </w:rPr>
              <w:t>6</w:t>
            </w:r>
            <w:r>
              <w:rPr>
                <w:rFonts w:hint="default" w:ascii="Times New Roman" w:hAnsi="Times New Roman" w:eastAsia="宋体" w:cs="Times New Roman"/>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3026"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color w:val="000000"/>
                <w:kern w:val="0"/>
                <w:sz w:val="24"/>
                <w:szCs w:val="24"/>
                <w:lang w:val="en-US" w:eastAsia="zh-CN" w:bidi="ar"/>
              </w:rPr>
              <w:t>道路工程17.52km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供排水管线1.1km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路肩改造0.24万m²、绿化、林床改造项目建设9.2万m</w:t>
            </w:r>
            <w:r>
              <w:rPr>
                <w:rFonts w:hint="default" w:ascii="Times New Roman" w:hAnsi="Times New Roman" w:eastAsia="宋体" w:cs="Times New Roman"/>
                <w:color w:val="000000"/>
                <w:kern w:val="0"/>
                <w:sz w:val="24"/>
                <w:szCs w:val="24"/>
                <w:vertAlign w:val="superscript"/>
                <w:lang w:val="en-US" w:eastAsia="zh-CN" w:bidi="ar"/>
              </w:rPr>
              <w:t>2</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亮化路灯320盏项目</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电力线路改迁建设</w:t>
            </w:r>
          </w:p>
        </w:tc>
        <w:tc>
          <w:tcPr>
            <w:tcW w:w="1215"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highlight w:val="yellow"/>
                <w:lang w:val="en-US" w:eastAsia="zh-CN"/>
              </w:rPr>
            </w:pPr>
            <w:r>
              <w:rPr>
                <w:rFonts w:hint="default" w:ascii="Times New Roman" w:hAnsi="Times New Roman" w:eastAsia="Times New Roman" w:cs="Times New Roman"/>
                <w:spacing w:val="-1"/>
                <w:sz w:val="24"/>
                <w:szCs w:val="24"/>
                <w:highlight w:val="none"/>
              </w:rPr>
              <w:t>202</w:t>
            </w:r>
            <w:r>
              <w:rPr>
                <w:rFonts w:hint="eastAsia" w:ascii="Times New Roman" w:hAnsi="Times New Roman" w:eastAsia="宋体" w:cs="Times New Roman"/>
                <w:spacing w:val="-1"/>
                <w:sz w:val="24"/>
                <w:szCs w:val="24"/>
                <w:highlight w:val="none"/>
                <w:lang w:val="en-US" w:eastAsia="zh-CN"/>
              </w:rPr>
              <w:t>3</w:t>
            </w:r>
            <w:r>
              <w:rPr>
                <w:rFonts w:hint="default" w:ascii="Times New Roman" w:hAnsi="Times New Roman" w:eastAsia="宋体" w:cs="Times New Roman"/>
                <w:spacing w:val="-1"/>
                <w:sz w:val="24"/>
                <w:szCs w:val="24"/>
                <w:highlight w:val="none"/>
              </w:rPr>
              <w:t>年</w:t>
            </w:r>
            <w:r>
              <w:rPr>
                <w:rFonts w:hint="eastAsia" w:ascii="Times New Roman" w:hAnsi="Times New Roman" w:eastAsia="宋体" w:cs="Times New Roman"/>
                <w:spacing w:val="-1"/>
                <w:sz w:val="24"/>
                <w:szCs w:val="24"/>
                <w:highlight w:val="none"/>
                <w:lang w:val="en-US" w:eastAsia="zh-CN"/>
              </w:rPr>
              <w:t>9</w:t>
            </w:r>
            <w:r>
              <w:rPr>
                <w:rFonts w:hint="default" w:ascii="Times New Roman" w:hAnsi="Times New Roman" w:eastAsia="宋体" w:cs="Times New Roman"/>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573" w:type="dxa"/>
            <w:vAlign w:val="center"/>
          </w:tcPr>
          <w:p>
            <w:pPr>
              <w:keepNext w:val="0"/>
              <w:keepLines w:val="0"/>
              <w:pageBreakBefore w:val="0"/>
              <w:widowControl/>
              <w:kinsoku/>
              <w:wordWrap/>
              <w:overflowPunct/>
              <w:topLinePunct w:val="0"/>
              <w:autoSpaceDE/>
              <w:autoSpaceDN/>
              <w:bidi w:val="0"/>
              <w:spacing w:line="219"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eastAsia" w:ascii="Times New Roman" w:hAnsi="Times New Roman" w:eastAsia="宋体" w:cs="Times New Roman"/>
                <w:spacing w:val="6"/>
                <w:sz w:val="24"/>
                <w:szCs w:val="24"/>
                <w:lang w:val="en-US" w:eastAsia="zh-CN"/>
              </w:rPr>
              <w:t>17</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7</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新疆润盛投资发展有限公司奎屯-独山子经济技术开发区2013年基础设施建设项目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w:t>
            </w:r>
            <w:r>
              <w:rPr>
                <w:rFonts w:hint="eastAsia" w:ascii="Times New Roman" w:hAnsi="Times New Roman" w:eastAsia="宋体" w:cs="Times New Roman"/>
                <w:spacing w:val="-3"/>
                <w:sz w:val="24"/>
                <w:szCs w:val="24"/>
                <w:highlight w:val="none"/>
                <w:lang w:val="en-US" w:eastAsia="zh-CN"/>
              </w:rPr>
              <w:t>17</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7</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18</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原奎屯-独山子经济技术开发区环境保护局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w:t>
            </w:r>
            <w:r>
              <w:rPr>
                <w:rFonts w:hint="eastAsia" w:ascii="宋体" w:hAnsi="宋体" w:eastAsia="宋体" w:cs="宋体"/>
                <w:spacing w:val="-1"/>
                <w:sz w:val="24"/>
                <w:szCs w:val="24"/>
                <w:lang w:val="en-US" w:eastAsia="zh-CN"/>
              </w:rPr>
              <w:t>础设施建设项目</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Times New Roman" w:hAnsi="Times New Roman" w:eastAsia="宋体" w:cs="Times New Roman"/>
                <w:sz w:val="24"/>
                <w:szCs w:val="24"/>
                <w:lang w:val="en-US" w:eastAsia="zh-CN"/>
              </w:rPr>
              <w:t>奎独开环函[2017]27号</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pacing w:val="-3"/>
                <w:sz w:val="24"/>
                <w:szCs w:val="24"/>
                <w:lang w:val="en-US" w:eastAsia="zh-CN"/>
              </w:rPr>
              <w:t>；</w:t>
            </w:r>
          </w:p>
          <w:p>
            <w:pPr>
              <w:keepNext w:val="0"/>
              <w:keepLines w:val="0"/>
              <w:pageBreakBefore w:val="0"/>
              <w:widowControl/>
              <w:kinsoku/>
              <w:wordWrap/>
              <w:overflowPunct/>
              <w:topLinePunct w:val="0"/>
              <w:autoSpaceDE/>
              <w:autoSpaceDN/>
              <w:bidi w:val="0"/>
              <w:adjustRightInd/>
              <w:snapToGrid/>
              <w:spacing w:after="0" w:line="360" w:lineRule="auto"/>
              <w:ind w:left="0" w:leftChars="0" w:right="0" w:firstLine="0" w:firstLineChars="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highlight w:val="none"/>
                <w:lang w:eastAsia="zh-CN"/>
              </w:rPr>
              <w:t>本项目</w:t>
            </w:r>
            <w:r>
              <w:rPr>
                <w:rFonts w:hint="eastAsia" w:ascii="Times New Roman" w:hAnsi="Times New Roman" w:eastAsia="宋体" w:cs="Times New Roman"/>
                <w:spacing w:val="-1"/>
                <w:sz w:val="24"/>
                <w:szCs w:val="24"/>
                <w:highlight w:val="none"/>
                <w:lang w:val="en-US" w:eastAsia="zh-CN"/>
              </w:rPr>
              <w:t>于</w:t>
            </w:r>
            <w:r>
              <w:rPr>
                <w:rFonts w:hint="default" w:ascii="Times New Roman" w:hAnsi="Times New Roman" w:eastAsia="宋体" w:cs="Times New Roman"/>
                <w:spacing w:val="6"/>
                <w:sz w:val="24"/>
                <w:szCs w:val="24"/>
                <w:highlight w:val="none"/>
                <w:lang w:eastAsia="zh-CN"/>
              </w:rPr>
              <w:t>202</w:t>
            </w:r>
            <w:r>
              <w:rPr>
                <w:rFonts w:hint="eastAsia" w:ascii="Times New Roman" w:hAnsi="Times New Roman" w:eastAsia="宋体" w:cs="Times New Roman"/>
                <w:spacing w:val="6"/>
                <w:sz w:val="24"/>
                <w:szCs w:val="24"/>
                <w:highlight w:val="none"/>
                <w:lang w:val="en-US" w:eastAsia="zh-CN"/>
              </w:rPr>
              <w:t>3</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9</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新疆润盛投资发展有限公司</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w:t>
            </w:r>
            <w:r>
              <w:rPr>
                <w:rFonts w:hint="eastAsia" w:ascii="宋体" w:hAnsi="宋体" w:eastAsia="宋体" w:cs="宋体"/>
                <w:spacing w:val="-1"/>
                <w:sz w:val="24"/>
                <w:szCs w:val="24"/>
                <w:lang w:val="en-US" w:eastAsia="zh-CN"/>
              </w:rPr>
              <w:t>础设施建设项目</w:t>
            </w:r>
            <w:r>
              <w:rPr>
                <w:rFonts w:hint="default" w:ascii="Times New Roman" w:hAnsi="Times New Roman" w:eastAsia="宋体" w:cs="Times New Roman"/>
                <w:spacing w:val="6"/>
                <w:sz w:val="24"/>
                <w:szCs w:val="24"/>
                <w:lang w:eastAsia="zh-CN"/>
              </w:rPr>
              <w:t>竣工环境保护验收调查报告表》。</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7" w:type="default"/>
          <w:pgSz w:w="11907" w:h="16839"/>
          <w:pgMar w:top="1803" w:right="1440" w:bottom="1633" w:left="1440" w:header="992" w:footer="991" w:gutter="0"/>
          <w:pgBorders>
            <w:top w:val="none" w:sz="0" w:space="0"/>
            <w:left w:val="none" w:sz="0" w:space="0"/>
            <w:bottom w:val="none" w:sz="0" w:space="0"/>
            <w:right w:val="none" w:sz="0" w:space="0"/>
          </w:pgBorders>
          <w:pgNumType w:fmt="decimal" w:start="1"/>
          <w:cols w:space="720" w:num="1"/>
        </w:sectPr>
      </w:pPr>
    </w:p>
    <w:p>
      <w:pPr>
        <w:pStyle w:val="3"/>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19"/>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9" w:hRule="atLeast"/>
        </w:trPr>
        <w:tc>
          <w:tcPr>
            <w:tcW w:w="568" w:type="dxa"/>
            <w:textDirection w:val="tbRlV"/>
            <w:vAlign w:val="top"/>
          </w:tcPr>
          <w:p>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新疆润盛投资发展有限公司奎屯-独山子经</w:t>
            </w:r>
            <w:r>
              <w:rPr>
                <w:rFonts w:hint="default" w:ascii="Times New Roman" w:hAnsi="Times New Roman" w:eastAsia="宋体" w:cs="Times New Roman"/>
                <w:spacing w:val="-1"/>
                <w:sz w:val="24"/>
                <w:szCs w:val="24"/>
                <w:lang w:val="en-US" w:eastAsia="zh-CN"/>
              </w:rPr>
              <w:t>济技术开发区2013年</w:t>
            </w:r>
            <w:r>
              <w:rPr>
                <w:rFonts w:hint="eastAsia" w:ascii="宋体" w:hAnsi="宋体" w:eastAsia="宋体" w:cs="宋体"/>
                <w:spacing w:val="-1"/>
                <w:sz w:val="24"/>
                <w:szCs w:val="24"/>
                <w:lang w:val="en-US" w:eastAsia="zh-CN"/>
              </w:rPr>
              <w:t>基础设施建设项目</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84" w:firstLineChars="200"/>
              <w:textAlignment w:val="baseline"/>
              <w:rPr>
                <w:rFonts w:hint="default" w:ascii="Times New Roman" w:hAnsi="Times New Roman" w:eastAsia="宋体" w:cs="Times New Roman"/>
                <w:spacing w:val="-11"/>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eastAsia="宋体"/>
                <w:lang w:val="en-US" w:eastAsia="zh-CN"/>
              </w:rPr>
            </w:pPr>
            <w:r>
              <w:rPr>
                <w:rFonts w:hint="default"/>
                <w:sz w:val="24"/>
                <w:szCs w:val="24"/>
              </w:rPr>
              <w:t>（5）坚持对工程建设前期、建设期、运营期环境影响进行全过程分析</w:t>
            </w:r>
            <w:r>
              <w:rPr>
                <w:rFonts w:hint="eastAsia"/>
                <w:sz w:val="24"/>
                <w:szCs w:val="24"/>
                <w:lang w:eastAsia="zh-CN"/>
              </w:rPr>
              <w:t>的</w:t>
            </w:r>
            <w:r>
              <w:rPr>
                <w:rFonts w:hint="eastAsia"/>
                <w:sz w:val="24"/>
                <w:szCs w:val="24"/>
                <w:lang w:val="en-US" w:eastAsia="zh-CN"/>
              </w:rPr>
              <w:t>原则。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pPr>
              <w:keepNext w:val="0"/>
              <w:keepLines w:val="0"/>
              <w:pageBreakBefore w:val="0"/>
              <w:widowControl/>
              <w:kinsoku/>
              <w:wordWrap/>
              <w:overflowPunct w:val="0"/>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pPr>
        <w:pStyle w:val="3"/>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19"/>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1"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新疆润盛投资发展有限公司奎屯-独山子经济技术开发</w:t>
            </w:r>
            <w:r>
              <w:rPr>
                <w:rFonts w:hint="default" w:ascii="Times New Roman" w:hAnsi="Times New Roman" w:eastAsia="宋体" w:cs="Times New Roman"/>
                <w:spacing w:val="-1"/>
                <w:sz w:val="24"/>
                <w:szCs w:val="24"/>
                <w:lang w:val="en-US" w:eastAsia="zh-CN"/>
              </w:rPr>
              <w:t>区2013年基础</w:t>
            </w:r>
            <w:r>
              <w:rPr>
                <w:rFonts w:hint="eastAsia" w:ascii="宋体" w:hAnsi="宋体" w:eastAsia="宋体" w:cs="宋体"/>
                <w:spacing w:val="-1"/>
                <w:sz w:val="24"/>
                <w:szCs w:val="24"/>
                <w:lang w:val="en-US" w:eastAsia="zh-CN"/>
              </w:rPr>
              <w:t>设施建设项目</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）生态环境：道路及管线工程两侧各</w:t>
            </w:r>
            <w:r>
              <w:rPr>
                <w:rFonts w:hint="default" w:ascii="Times New Roman" w:hAnsi="Times New Roman" w:eastAsia="宋体" w:cs="Times New Roman"/>
                <w:snapToGrid w:val="0"/>
                <w:color w:val="000000"/>
                <w:kern w:val="0"/>
                <w:sz w:val="24"/>
                <w:szCs w:val="24"/>
                <w:lang w:val="en-US" w:eastAsia="zh-CN" w:bidi="ar"/>
              </w:rPr>
              <w:t>300m</w:t>
            </w:r>
            <w:r>
              <w:rPr>
                <w:rFonts w:hint="eastAsia" w:ascii="宋体" w:hAnsi="宋体" w:eastAsia="宋体" w:cs="宋体"/>
                <w:snapToGrid w:val="0"/>
                <w:color w:val="000000"/>
                <w:kern w:val="0"/>
                <w:sz w:val="24"/>
                <w:szCs w:val="24"/>
                <w:lang w:val="en-US" w:eastAsia="zh-CN" w:bidi="ar"/>
              </w:rPr>
              <w:t>范围内区域，雨污水提升泵站和雨水泵站周边</w:t>
            </w:r>
            <w:r>
              <w:rPr>
                <w:rFonts w:hint="default" w:ascii="Times New Roman" w:hAnsi="Times New Roman" w:eastAsia="宋体" w:cs="Times New Roman"/>
                <w:snapToGrid w:val="0"/>
                <w:color w:val="000000"/>
                <w:kern w:val="0"/>
                <w:sz w:val="24"/>
                <w:szCs w:val="24"/>
                <w:lang w:val="en-US" w:eastAsia="zh-CN" w:bidi="ar"/>
              </w:rPr>
              <w:t>300m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w:t>
            </w:r>
            <w:r>
              <w:rPr>
                <w:rFonts w:hint="eastAsia" w:ascii="宋体" w:hAnsi="宋体" w:eastAsia="宋体" w:cs="宋体"/>
                <w:snapToGrid w:val="0"/>
                <w:color w:val="000000"/>
                <w:kern w:val="0"/>
                <w:sz w:val="24"/>
                <w:szCs w:val="24"/>
                <w:lang w:val="en-US" w:eastAsia="zh-CN" w:bidi="ar"/>
              </w:rPr>
              <w:t>）水环境：本项目施工期、运营期废水；</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w:t>
            </w:r>
            <w:r>
              <w:rPr>
                <w:rFonts w:hint="eastAsia" w:ascii="宋体" w:hAnsi="宋体" w:eastAsia="宋体" w:cs="宋体"/>
                <w:snapToGrid w:val="0"/>
                <w:color w:val="000000"/>
                <w:kern w:val="0"/>
                <w:sz w:val="24"/>
                <w:szCs w:val="24"/>
                <w:lang w:val="en-US" w:eastAsia="zh-CN" w:bidi="ar"/>
              </w:rPr>
              <w:t>）声环境：道路及管线工程两侧各</w:t>
            </w:r>
            <w:r>
              <w:rPr>
                <w:rFonts w:hint="default" w:ascii="Times New Roman" w:hAnsi="Times New Roman" w:eastAsia="宋体" w:cs="Times New Roman"/>
                <w:snapToGrid w:val="0"/>
                <w:color w:val="000000"/>
                <w:kern w:val="0"/>
                <w:sz w:val="24"/>
                <w:szCs w:val="24"/>
                <w:lang w:val="en-US" w:eastAsia="zh-CN" w:bidi="ar"/>
              </w:rPr>
              <w:t>200m</w:t>
            </w:r>
            <w:r>
              <w:rPr>
                <w:rFonts w:hint="eastAsia" w:ascii="宋体" w:hAnsi="宋体" w:eastAsia="宋体" w:cs="宋体"/>
                <w:snapToGrid w:val="0"/>
                <w:color w:val="000000"/>
                <w:kern w:val="0"/>
                <w:sz w:val="24"/>
                <w:szCs w:val="24"/>
                <w:lang w:val="en-US" w:eastAsia="zh-CN" w:bidi="ar"/>
              </w:rPr>
              <w:t>范围内区域，雨污水提升泵站和雨水泵站周边</w:t>
            </w:r>
            <w:r>
              <w:rPr>
                <w:rFonts w:hint="default" w:ascii="Times New Roman" w:hAnsi="Times New Roman" w:eastAsia="宋体" w:cs="Times New Roman"/>
                <w:snapToGrid w:val="0"/>
                <w:color w:val="000000"/>
                <w:kern w:val="0"/>
                <w:sz w:val="24"/>
                <w:szCs w:val="24"/>
                <w:lang w:val="en-US" w:eastAsia="zh-CN" w:bidi="ar"/>
              </w:rPr>
              <w:t>200m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w:t>
            </w:r>
            <w:r>
              <w:rPr>
                <w:rFonts w:hint="eastAsia" w:ascii="宋体" w:hAnsi="宋体" w:eastAsia="宋体" w:cs="宋体"/>
                <w:snapToGrid w:val="0"/>
                <w:color w:val="000000"/>
                <w:kern w:val="0"/>
                <w:sz w:val="24"/>
                <w:szCs w:val="24"/>
                <w:lang w:val="en-US" w:eastAsia="zh-CN" w:bidi="ar"/>
              </w:rPr>
              <w:t>）环境空气：道路及管线工程两侧各</w:t>
            </w:r>
            <w:r>
              <w:rPr>
                <w:rFonts w:hint="default" w:ascii="Times New Roman" w:hAnsi="Times New Roman" w:eastAsia="宋体" w:cs="Times New Roman"/>
                <w:snapToGrid w:val="0"/>
                <w:color w:val="000000"/>
                <w:kern w:val="0"/>
                <w:sz w:val="24"/>
                <w:szCs w:val="24"/>
                <w:lang w:val="en-US" w:eastAsia="zh-CN" w:bidi="ar"/>
              </w:rPr>
              <w:t>500m</w:t>
            </w:r>
            <w:r>
              <w:rPr>
                <w:rFonts w:hint="eastAsia" w:ascii="宋体" w:hAnsi="宋体" w:eastAsia="宋体" w:cs="宋体"/>
                <w:snapToGrid w:val="0"/>
                <w:color w:val="000000"/>
                <w:kern w:val="0"/>
                <w:sz w:val="24"/>
                <w:szCs w:val="24"/>
                <w:lang w:val="en-US" w:eastAsia="zh-CN" w:bidi="ar"/>
              </w:rPr>
              <w:t>范围内区域，雨污水提升泵站和雨水泵站周边</w:t>
            </w:r>
            <w:r>
              <w:rPr>
                <w:rFonts w:hint="default" w:ascii="Times New Roman" w:hAnsi="Times New Roman" w:eastAsia="宋体" w:cs="Times New Roman"/>
                <w:snapToGrid w:val="0"/>
                <w:color w:val="000000"/>
                <w:kern w:val="0"/>
                <w:sz w:val="24"/>
                <w:szCs w:val="24"/>
                <w:lang w:val="en-US" w:eastAsia="zh-CN" w:bidi="ar"/>
              </w:rPr>
              <w:t>500m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rFonts w:hint="default" w:ascii="Times New Roman" w:hAnsi="Times New Roman" w:eastAsia="宋体" w:cs="Times New Roman"/>
                <w:sz w:val="21"/>
                <w:szCs w:val="21"/>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）社会环境：本项目涉及的行政区域。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周围基础设施的施工过程中工程占地类型、实际情况，临时占地的恢复情况，取料场、弃渣场的恢复与防护情况。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w:t>
            </w:r>
            <w:r>
              <w:rPr>
                <w:rFonts w:hint="eastAsia" w:ascii="Times New Roman" w:hAnsi="Times New Roman" w:eastAsia="宋体" w:cs="Times New Roman"/>
                <w:spacing w:val="7"/>
                <w:sz w:val="24"/>
                <w:szCs w:val="24"/>
                <w:lang w:val="en-US" w:eastAsia="zh-CN"/>
              </w:rPr>
              <w:t>运营期</w:t>
            </w:r>
            <w:r>
              <w:rPr>
                <w:rFonts w:hint="default" w:ascii="Times New Roman" w:hAnsi="Times New Roman" w:eastAsia="宋体" w:cs="Times New Roman"/>
                <w:spacing w:val="7"/>
                <w:sz w:val="24"/>
                <w:szCs w:val="24"/>
              </w:rPr>
              <w:t>污水排放情况及去向。</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51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eastAsia" w:ascii="Times New Roman" w:hAnsi="Times New Roman" w:eastAsia="宋体" w:cs="Times New Roman"/>
                <w:spacing w:val="8"/>
                <w:sz w:val="24"/>
                <w:szCs w:val="24"/>
                <w:lang w:val="en-US" w:eastAsia="zh-CN"/>
              </w:rPr>
              <w:t>社会影响</w:t>
            </w:r>
            <w:r>
              <w:rPr>
                <w:rFonts w:hint="default" w:ascii="Times New Roman" w:hAnsi="Times New Roman" w:eastAsia="宋体" w:cs="Times New Roman"/>
                <w:spacing w:val="4"/>
                <w:sz w:val="24"/>
                <w:szCs w:val="24"/>
              </w:rPr>
              <w:t>：</w:t>
            </w:r>
            <w:r>
              <w:rPr>
                <w:rFonts w:hint="eastAsia" w:ascii="宋体" w:hAnsi="宋体" w:eastAsia="宋体" w:cs="宋体"/>
                <w:snapToGrid w:val="0"/>
                <w:color w:val="000000"/>
                <w:kern w:val="0"/>
                <w:sz w:val="24"/>
                <w:szCs w:val="24"/>
                <w:lang w:val="en-US" w:eastAsia="zh-CN" w:bidi="ar"/>
              </w:rPr>
              <w:t>施工期和运营期对周围居民的影响。</w:t>
            </w:r>
          </w:p>
        </w:tc>
      </w:tr>
    </w:tbl>
    <w:p>
      <w:pPr>
        <w:spacing w:line="74" w:lineRule="exact"/>
        <w:rPr>
          <w:rFonts w:hint="default" w:ascii="Times New Roman" w:hAnsi="Times New Roman" w:cs="Times New Roman"/>
        </w:rPr>
      </w:pPr>
    </w:p>
    <w:tbl>
      <w:tblPr>
        <w:tblStyle w:val="19"/>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220"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val="0"/>
              <w:wordWrap/>
              <w:overflowPunct/>
              <w:topLinePunct w:val="0"/>
              <w:autoSpaceDE w:val="0"/>
              <w:autoSpaceDN w:val="0"/>
              <w:bidi w:val="0"/>
              <w:adjustRightInd/>
              <w:snapToGrid/>
              <w:spacing w:line="360" w:lineRule="auto"/>
              <w:ind w:left="0" w:firstLine="480" w:firstLineChars="200"/>
              <w:jc w:val="both"/>
              <w:textAlignment w:val="baseline"/>
              <w:rPr>
                <w:rFonts w:hint="default" w:ascii="Times New Roman" w:hAnsi="Times New Roman" w:cs="Times New Roman"/>
                <w:lang w:val="en-US" w:eastAsia="zh-CN"/>
              </w:rPr>
            </w:pPr>
            <w:r>
              <w:rPr>
                <w:rFonts w:hint="eastAsia" w:ascii="Times New Roman" w:hAnsi="Times New Roman" w:eastAsia="宋体" w:cs="Times New Roman"/>
                <w:color w:val="000000"/>
                <w:kern w:val="0"/>
                <w:sz w:val="24"/>
                <w:szCs w:val="24"/>
                <w:lang w:val="en-US" w:eastAsia="zh-CN" w:bidi="ar"/>
              </w:rPr>
              <w:t>本项目</w:t>
            </w:r>
            <w:r>
              <w:rPr>
                <w:rFonts w:hint="default" w:ascii="Times New Roman" w:hAnsi="Times New Roman" w:eastAsia="宋体" w:cs="Times New Roman"/>
                <w:color w:val="000000"/>
                <w:kern w:val="0"/>
                <w:sz w:val="24"/>
                <w:szCs w:val="24"/>
                <w:lang w:val="en-US" w:eastAsia="zh-CN" w:bidi="ar"/>
              </w:rPr>
              <w:t>道路工程17.52km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供排水管线1.1km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路肩改造0.24万m²、绿化、林床改造项目建设9.2万m</w:t>
            </w:r>
            <w:r>
              <w:rPr>
                <w:rFonts w:hint="default" w:ascii="Times New Roman" w:hAnsi="Times New Roman" w:eastAsia="宋体" w:cs="Times New Roman"/>
                <w:color w:val="000000"/>
                <w:kern w:val="0"/>
                <w:sz w:val="24"/>
                <w:szCs w:val="24"/>
                <w:vertAlign w:val="superscript"/>
                <w:lang w:val="en-US" w:eastAsia="zh-CN" w:bidi="ar"/>
              </w:rPr>
              <w:t>2</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亮化路灯320盏项目</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电力线路改迁建设</w:t>
            </w:r>
            <w:r>
              <w:rPr>
                <w:rFonts w:hint="eastAsia" w:ascii="Times New Roman" w:hAnsi="Times New Roman" w:eastAsia="宋体" w:cs="Times New Roman"/>
                <w:color w:val="000000"/>
                <w:kern w:val="0"/>
                <w:sz w:val="24"/>
                <w:szCs w:val="24"/>
                <w:lang w:val="en-US" w:eastAsia="zh-CN" w:bidi="ar"/>
              </w:rPr>
              <w:t>，根据现场调查，工程沿线现状除库尔勒路有康乐园小区、同济里小区、乌孙里小区、美美广场等敏感点外，其余工程沿线再无居住区、学校、医院等大气、噪声、生态敏感目标。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pPr>
        <w:rPr>
          <w:rFonts w:hint="default" w:ascii="Times New Roman" w:hAnsi="Times New Roman" w:cs="Times New Roman"/>
          <w:sz w:val="21"/>
        </w:rPr>
      </w:pPr>
    </w:p>
    <w:p>
      <w:pPr>
        <w:rPr>
          <w:rFonts w:hint="default" w:ascii="Times New Roman" w:hAnsi="Times New Roman" w:cs="Times New Roman"/>
        </w:rPr>
        <w:sectPr>
          <w:footerReference r:id="rId8"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19"/>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5"/>
        <w:gridCol w:w="731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88" w:hRule="atLeast"/>
        </w:trPr>
        <w:tc>
          <w:tcPr>
            <w:tcW w:w="1755" w:type="dxa"/>
            <w:vAlign w:val="center"/>
          </w:tcPr>
          <w:p>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4"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pPr>
              <w:keepNext w:val="0"/>
              <w:keepLines w:val="0"/>
              <w:pageBreakBefore w:val="0"/>
              <w:widowControl/>
              <w:numPr>
                <w:ilvl w:val="0"/>
                <w:numId w:val="1"/>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6"/>
              <w:gridCol w:w="1839"/>
              <w:gridCol w:w="1827"/>
              <w:gridCol w:w="2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032" w:type="pct"/>
                  <w:noWrap w:val="0"/>
                  <w:vAlign w:val="center"/>
                </w:tcPr>
                <w:p>
                  <w:pPr>
                    <w:keepNext w:val="0"/>
                    <w:keepLines w:val="0"/>
                    <w:widowControl/>
                    <w:suppressLineNumbers w:val="0"/>
                    <w:spacing w:before="0" w:beforeAutospacing="0" w:after="0" w:afterAutospacing="0" w:line="0" w:lineRule="atLeast"/>
                    <w:ind w:left="0" w:right="0"/>
                    <w:jc w:val="both"/>
                    <w:rPr>
                      <w:rFonts w:hint="default" w:ascii="Times New Roman" w:hAnsi="Times New Roman" w:cs="Times New Roman"/>
                      <w:b/>
                      <w:bCs/>
                    </w:rPr>
                  </w:pPr>
                  <w:r>
                    <w:rPr>
                      <w:rFonts w:hint="default" w:ascii="Times New Roman" w:hAnsi="Times New Roman" w:cs="Times New Roman"/>
                      <w:b/>
                      <w:bCs/>
                    </w:rPr>
                    <w:t>污染物名称</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平均时间</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浓度限值μg/m</w:t>
                  </w:r>
                  <w:r>
                    <w:rPr>
                      <w:rFonts w:hint="default" w:ascii="Times New Roman" w:hAnsi="Times New Roman" w:cs="Times New Roman"/>
                      <w:b/>
                      <w:bCs/>
                      <w:vertAlign w:val="superscript"/>
                    </w:rPr>
                    <w:t>3</w:t>
                  </w:r>
                </w:p>
              </w:tc>
              <w:tc>
                <w:tcPr>
                  <w:tcW w:w="1454"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SO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500</w:t>
                  </w:r>
                </w:p>
              </w:tc>
              <w:tc>
                <w:tcPr>
                  <w:tcW w:w="1454"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《环境空气质量标准》（GB3095-2012）</w:t>
                  </w:r>
                </w:p>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NO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80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40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PM</w:t>
                  </w:r>
                  <w:r>
                    <w:rPr>
                      <w:rFonts w:hint="default" w:ascii="Times New Roman" w:hAnsi="Times New Roman" w:cs="Times New Roman"/>
                      <w:vertAlign w:val="subscript"/>
                    </w:rPr>
                    <w:t>10</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24小时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w:t>
                  </w:r>
                  <w:r>
                    <w:rPr>
                      <w:rFonts w:hint="default" w:ascii="Times New Roman" w:hAnsi="Times New Roman" w:cs="Times New Roman"/>
                      <w:lang w:val="en-US" w:eastAsia="zh-CN"/>
                    </w:rPr>
                    <w:t>平均</w:t>
                  </w:r>
                  <w:r>
                    <w:rPr>
                      <w:rFonts w:hint="default" w:ascii="Times New Roman" w:hAnsi="Times New Roman" w:cs="Times New Roman"/>
                    </w:rPr>
                    <w:t>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70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rPr>
                    <w:t>PM</w:t>
                  </w:r>
                  <w:r>
                    <w:rPr>
                      <w:rFonts w:hint="default" w:ascii="Times New Roman" w:hAnsi="Times New Roman" w:cs="Times New Roman"/>
                      <w:vertAlign w:val="subscript"/>
                      <w:lang w:val="en-US" w:eastAsia="zh-CN"/>
                    </w:rPr>
                    <w:t>2.5</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75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CO</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4000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10000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O</w:t>
                  </w:r>
                  <w:r>
                    <w:rPr>
                      <w:rFonts w:hint="default" w:ascii="Times New Roman" w:hAnsi="Times New Roman" w:cs="Times New Roman"/>
                      <w:vertAlign w:val="subscript"/>
                      <w:lang w:val="en-US" w:eastAsia="zh-CN"/>
                    </w:rPr>
                    <w:t>3</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日最大8小时平均值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w:t>
            </w:r>
            <w:r>
              <w:rPr>
                <w:rFonts w:hint="eastAsia" w:ascii="Times New Roman" w:hAnsi="Times New Roman" w:cs="Times New Roman"/>
                <w:sz w:val="24"/>
                <w:szCs w:val="24"/>
                <w:lang w:val="en-US" w:eastAsia="zh-CN"/>
              </w:rPr>
              <w:t>4a</w:t>
            </w:r>
            <w:r>
              <w:rPr>
                <w:rFonts w:hint="default" w:ascii="Times New Roman" w:hAnsi="Times New Roman" w:cs="Times New Roman"/>
                <w:sz w:val="24"/>
                <w:szCs w:val="24"/>
                <w:lang w:val="en-US" w:eastAsia="zh-CN"/>
              </w:rPr>
              <w:t>类标准要求。</w:t>
            </w:r>
          </w:p>
          <w:p>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2416"/>
              <w:gridCol w:w="26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49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噪声</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rPr>
                  </w:pPr>
                  <w:r>
                    <w:rPr>
                      <w:rFonts w:hint="eastAsia" w:ascii="Times New Roman" w:hAnsi="Times New Roman" w:cs="Times New Roman"/>
                      <w:lang w:val="en-US" w:eastAsia="zh-CN"/>
                    </w:rPr>
                    <w:t>7</w:t>
                  </w:r>
                  <w:r>
                    <w:rPr>
                      <w:rFonts w:hint="default" w:ascii="Times New Roman" w:hAnsi="Times New Roman" w:cs="Times New Roman"/>
                      <w:lang w:val="en-US" w:eastAsia="zh-CN"/>
                    </w:rPr>
                    <w:t>0</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eastAsia" w:ascii="Times New Roman" w:hAnsi="Times New Roman" w:eastAsia="宋体" w:cs="Times New Roman"/>
                      <w:lang w:eastAsia="zh-CN"/>
                    </w:rPr>
                  </w:pPr>
                  <w:r>
                    <w:rPr>
                      <w:rFonts w:hint="default" w:ascii="Times New Roman" w:hAnsi="Times New Roman" w:cs="Times New Roman"/>
                    </w:rPr>
                    <w:t>5</w:t>
                  </w:r>
                  <w:r>
                    <w:rPr>
                      <w:rFonts w:hint="eastAsia" w:ascii="Times New Roman" w:hAnsi="Times New Roman" w:eastAsia="宋体" w:cs="Times New Roman"/>
                      <w:lang w:val="en-US" w:eastAsia="zh-CN"/>
                    </w:rPr>
                    <w:t>5</w:t>
                  </w: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w:t>
            </w:r>
            <w:r>
              <w:rPr>
                <w:rFonts w:hint="eastAsia" w:ascii="Times New Roman" w:hAnsi="Times New Roman" w:cs="Times New Roman"/>
                <w:sz w:val="24"/>
                <w:szCs w:val="24"/>
                <w:lang w:val="en-US" w:eastAsia="zh-CN"/>
              </w:rPr>
              <w:t>地下水</w:t>
            </w:r>
            <w:r>
              <w:rPr>
                <w:rFonts w:hint="default" w:ascii="Times New Roman" w:hAnsi="Times New Roman" w:cs="Times New Roman"/>
                <w:sz w:val="24"/>
                <w:szCs w:val="24"/>
                <w:lang w:val="en-US" w:eastAsia="zh-CN"/>
              </w:rPr>
              <w:t>质量标准》(GB</w:t>
            </w:r>
            <w:r>
              <w:rPr>
                <w:rFonts w:hint="eastAsia" w:ascii="Times New Roman" w:hAnsi="Times New Roman" w:cs="Times New Roman"/>
                <w:sz w:val="24"/>
                <w:szCs w:val="24"/>
                <w:lang w:val="en-US" w:eastAsia="zh-CN"/>
              </w:rPr>
              <w:t>/T14848</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93</w:t>
            </w:r>
            <w:r>
              <w:rPr>
                <w:rFonts w:hint="default" w:ascii="Times New Roman" w:hAnsi="Times New Roman" w:cs="Times New Roman"/>
                <w:sz w:val="24"/>
                <w:szCs w:val="24"/>
                <w:lang w:val="en-US" w:eastAsia="zh-CN"/>
              </w:rPr>
              <w:t>)中</w:t>
            </w:r>
            <w:r>
              <w:rPr>
                <w:rFonts w:hint="default" w:ascii="Times New Roman" w:hAnsi="Times New Roman" w:eastAsia="宋体" w:cs="Times New Roman"/>
                <w:sz w:val="24"/>
                <w:szCs w:val="24"/>
                <w:lang w:val="en-US" w:eastAsia="zh-CN"/>
              </w:rPr>
              <w:t>Ⅲ</w:t>
            </w:r>
            <w:r>
              <w:rPr>
                <w:rFonts w:hint="default" w:ascii="Times New Roman" w:hAnsi="Times New Roman" w:cs="Times New Roman"/>
                <w:sz w:val="24"/>
                <w:szCs w:val="24"/>
                <w:lang w:val="en-US" w:eastAsia="zh-CN"/>
              </w:rPr>
              <w:t>类标准要求。</w:t>
            </w:r>
          </w:p>
          <w:p>
            <w:pPr>
              <w:rPr>
                <w:rFonts w:hint="default" w:ascii="Times New Roman" w:hAnsi="Times New Roman" w:cs="Times New Roma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5" w:type="dxa"/>
            <w:vAlign w:val="center"/>
          </w:tcPr>
          <w:p>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4" w:type="dxa"/>
            <w:vAlign w:val="center"/>
          </w:tcPr>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420" w:leftChars="0"/>
              <w:jc w:val="left"/>
              <w:textAlignment w:val="auto"/>
              <w:rPr>
                <w:rFonts w:hint="default" w:ascii="Times New Roman" w:hAnsi="Times New Roman" w:eastAsia="宋体" w:cs="Times New Roman"/>
                <w:b w:val="0"/>
                <w:bCs w:val="0"/>
                <w:color w:val="auto"/>
                <w:kern w:val="0"/>
                <w:sz w:val="24"/>
                <w:szCs w:val="22"/>
                <w:highlight w:val="none"/>
                <w:lang w:val="en-US" w:eastAsia="zh-CN"/>
              </w:rPr>
            </w:pPr>
            <w:r>
              <w:rPr>
                <w:rFonts w:hint="default" w:ascii="Times New Roman" w:hAnsi="Times New Roman" w:eastAsia="宋体" w:cs="Times New Roman"/>
                <w:b w:val="0"/>
                <w:bCs w:val="0"/>
                <w:color w:val="auto"/>
                <w:kern w:val="0"/>
                <w:sz w:val="24"/>
                <w:szCs w:val="22"/>
                <w:highlight w:val="none"/>
                <w:lang w:val="en-US" w:eastAsia="zh-CN"/>
              </w:rPr>
              <w:t>1、</w:t>
            </w:r>
            <w:r>
              <w:rPr>
                <w:rFonts w:hint="eastAsia" w:ascii="Times New Roman" w:hAnsi="Times New Roman" w:eastAsia="宋体" w:cs="Times New Roman"/>
                <w:b w:val="0"/>
                <w:bCs w:val="0"/>
                <w:color w:val="auto"/>
                <w:kern w:val="0"/>
                <w:sz w:val="24"/>
                <w:szCs w:val="22"/>
                <w:highlight w:val="none"/>
                <w:lang w:val="en-US" w:eastAsia="zh-CN"/>
              </w:rPr>
              <w:t>电磁环境</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left"/>
              <w:textAlignment w:val="auto"/>
              <w:rPr>
                <w:rFonts w:hint="default" w:ascii="Times New Roman" w:hAnsi="Times New Roman" w:eastAsia="宋体" w:cs="Times New Roman"/>
                <w:color w:val="auto"/>
                <w:sz w:val="24"/>
                <w:szCs w:val="32"/>
                <w:lang w:val="en-US" w:eastAsia="zh-CN"/>
              </w:rPr>
            </w:pPr>
            <w:r>
              <w:rPr>
                <w:rFonts w:hint="eastAsia" w:ascii="Times New Roman" w:hAnsi="Times New Roman" w:eastAsia="宋体" w:cs="Times New Roman"/>
                <w:color w:val="auto"/>
                <w:sz w:val="24"/>
                <w:szCs w:val="32"/>
                <w:lang w:val="en-US" w:eastAsia="zh-CN"/>
              </w:rPr>
              <w:t>运营</w:t>
            </w:r>
            <w:r>
              <w:rPr>
                <w:rFonts w:hint="default" w:ascii="Times New Roman" w:hAnsi="Times New Roman" w:eastAsia="宋体" w:cs="Times New Roman"/>
                <w:color w:val="auto"/>
                <w:sz w:val="24"/>
                <w:szCs w:val="32"/>
              </w:rPr>
              <w:t>期</w:t>
            </w:r>
            <w:r>
              <w:rPr>
                <w:rFonts w:hint="eastAsia" w:ascii="Times New Roman" w:hAnsi="Times New Roman" w:eastAsia="宋体" w:cs="Times New Roman"/>
                <w:color w:val="auto"/>
                <w:sz w:val="24"/>
                <w:szCs w:val="32"/>
                <w:lang w:val="en-US" w:eastAsia="zh-CN"/>
              </w:rPr>
              <w:t>工频磁场与工频电场</w:t>
            </w:r>
            <w:r>
              <w:rPr>
                <w:rFonts w:hint="default" w:ascii="Times New Roman" w:hAnsi="Times New Roman" w:eastAsia="宋体" w:cs="Times New Roman"/>
                <w:color w:val="auto"/>
                <w:sz w:val="24"/>
                <w:szCs w:val="32"/>
              </w:rPr>
              <w:t>执行</w:t>
            </w:r>
            <w:r>
              <w:rPr>
                <w:rFonts w:hint="default" w:ascii="Times New Roman" w:hAnsi="Times New Roman" w:eastAsia="宋体" w:cs="Times New Roman"/>
                <w:snapToGrid w:val="0"/>
                <w:color w:val="auto"/>
                <w:sz w:val="24"/>
                <w:szCs w:val="32"/>
              </w:rPr>
              <w:t>《</w:t>
            </w:r>
            <w:r>
              <w:rPr>
                <w:rFonts w:hint="default" w:ascii="Times New Roman" w:hAnsi="Times New Roman" w:eastAsia="宋体" w:cs="Times New Roman"/>
                <w:color w:val="auto"/>
                <w:sz w:val="24"/>
                <w:szCs w:val="32"/>
              </w:rPr>
              <w:t>500kV超高压送变电工程电磁辐射环境影响评价技术规范</w:t>
            </w:r>
            <w:r>
              <w:rPr>
                <w:rFonts w:hint="default" w:ascii="Times New Roman" w:hAnsi="Times New Roman" w:eastAsia="宋体" w:cs="Times New Roman"/>
                <w:snapToGrid w:val="0"/>
                <w:color w:val="auto"/>
                <w:sz w:val="24"/>
                <w:szCs w:val="32"/>
              </w:rPr>
              <w:t>》</w:t>
            </w:r>
            <w:r>
              <w:rPr>
                <w:rFonts w:hint="eastAsia" w:ascii="Times New Roman" w:hAnsi="Times New Roman" w:eastAsia="宋体" w:cs="Times New Roman"/>
                <w:color w:val="auto"/>
                <w:sz w:val="24"/>
                <w:szCs w:val="32"/>
                <w:lang w:val="en-US" w:eastAsia="zh-CN"/>
              </w:rPr>
              <w:t>中的相关限值。</w:t>
            </w:r>
          </w:p>
          <w:p>
            <w:pPr>
              <w:spacing w:line="240" w:lineRule="auto"/>
              <w:ind w:right="23" w:firstLine="422"/>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cs="Times New Roman"/>
                <w:b/>
                <w:bCs/>
                <w:color w:val="auto"/>
                <w:sz w:val="21"/>
                <w:szCs w:val="21"/>
              </w:rPr>
              <w:t>表</w:t>
            </w:r>
            <w:r>
              <w:rPr>
                <w:rFonts w:hint="default" w:ascii="Times New Roman" w:hAnsi="Times New Roman" w:cs="Times New Roman"/>
                <w:b/>
                <w:bCs/>
                <w:color w:val="auto"/>
                <w:sz w:val="21"/>
                <w:szCs w:val="21"/>
                <w:lang w:val="en-US" w:eastAsia="zh-CN"/>
              </w:rPr>
              <w:t>4-</w:t>
            </w:r>
            <w:r>
              <w:rPr>
                <w:rFonts w:hint="eastAsia" w:ascii="Times New Roman" w:hAnsi="Times New Roman" w:cs="Times New Roman"/>
                <w:b/>
                <w:bCs/>
                <w:color w:val="auto"/>
                <w:sz w:val="21"/>
                <w:szCs w:val="21"/>
                <w:lang w:val="en-US" w:eastAsia="zh-CN"/>
              </w:rPr>
              <w:t>3</w:t>
            </w:r>
            <w:r>
              <w:rPr>
                <w:rFonts w:hint="default" w:ascii="Times New Roman" w:hAnsi="Times New Roman" w:cs="Times New Roman"/>
                <w:b/>
                <w:bCs/>
                <w:color w:val="auto"/>
                <w:sz w:val="21"/>
                <w:szCs w:val="21"/>
              </w:rPr>
              <w:t xml:space="preserve">    </w:t>
            </w:r>
            <w:r>
              <w:rPr>
                <w:rFonts w:hint="eastAsia" w:ascii="Times New Roman" w:hAnsi="Times New Roman" w:eastAsia="宋体" w:cs="Times New Roman"/>
                <w:b/>
                <w:bCs/>
                <w:color w:val="000000"/>
                <w:sz w:val="21"/>
                <w:szCs w:val="21"/>
                <w:lang w:val="en-US" w:eastAsia="zh-CN"/>
              </w:rPr>
              <w:t>运营期执行标准</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64"/>
              <w:gridCol w:w="3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442" w:type="pct"/>
                  <w:noWrap w:val="0"/>
                  <w:vAlign w:val="center"/>
                </w:tcPr>
                <w:p>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工频电场</w:t>
                  </w:r>
                </w:p>
              </w:tc>
              <w:tc>
                <w:tcPr>
                  <w:tcW w:w="2557" w:type="pct"/>
                  <w:noWrap w:val="0"/>
                  <w:vAlign w:val="center"/>
                </w:tcPr>
                <w:p>
                  <w:pPr>
                    <w:keepNext w:val="0"/>
                    <w:keepLines w:val="0"/>
                    <w:widowControl/>
                    <w:suppressLineNumbers w:val="0"/>
                    <w:spacing w:before="0" w:beforeAutospacing="0" w:after="0" w:afterAutospacing="0" w:line="240" w:lineRule="auto"/>
                    <w:ind w:left="0" w:right="0" w:firstLine="0" w:firstLineChars="0"/>
                    <w:jc w:val="center"/>
                    <w:rPr>
                      <w:rFonts w:hint="eastAsia" w:ascii="Times New Roman" w:hAnsi="Times New Roman" w:eastAsia="宋体" w:cs="Times New Roman"/>
                      <w:b/>
                      <w:bCs/>
                      <w:color w:val="auto"/>
                      <w:sz w:val="21"/>
                      <w:szCs w:val="21"/>
                      <w:lang w:eastAsia="zh-CN"/>
                    </w:rPr>
                  </w:pPr>
                  <w:r>
                    <w:rPr>
                      <w:rFonts w:hint="eastAsia" w:ascii="Times New Roman" w:hAnsi="Times New Roman" w:eastAsia="宋体" w:cs="Times New Roman"/>
                      <w:b/>
                      <w:bCs/>
                      <w:color w:val="auto"/>
                      <w:sz w:val="21"/>
                      <w:szCs w:val="21"/>
                      <w:lang w:val="en-US" w:eastAsia="zh-CN"/>
                    </w:rPr>
                    <w:t>工频磁场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 w:hRule="atLeast"/>
                <w:jc w:val="center"/>
              </w:trPr>
              <w:tc>
                <w:tcPr>
                  <w:tcW w:w="2442" w:type="pct"/>
                  <w:noWrap w:val="0"/>
                  <w:vAlign w:val="center"/>
                </w:tcPr>
                <w:p>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4kV/m</w:t>
                  </w:r>
                </w:p>
              </w:tc>
              <w:tc>
                <w:tcPr>
                  <w:tcW w:w="2557" w:type="pct"/>
                  <w:noWrap w:val="0"/>
                  <w:vAlign w:val="center"/>
                </w:tcPr>
                <w:p>
                  <w:pPr>
                    <w:keepNext w:val="0"/>
                    <w:keepLines w:val="0"/>
                    <w:widowControl/>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b w:val="0"/>
                      <w:bCs w:val="0"/>
                      <w:color w:val="auto"/>
                      <w:sz w:val="21"/>
                      <w:szCs w:val="21"/>
                      <w:lang w:val="en-US" w:eastAsia="zh-CN"/>
                    </w:rPr>
                  </w:pPr>
                  <w:r>
                    <w:rPr>
                      <w:rFonts w:hint="eastAsia" w:ascii="Times New Roman" w:hAnsi="Times New Roman" w:eastAsia="宋体" w:cs="Times New Roman"/>
                      <w:b w:val="0"/>
                      <w:bCs w:val="0"/>
                      <w:color w:val="auto"/>
                      <w:sz w:val="21"/>
                      <w:szCs w:val="21"/>
                      <w:lang w:val="en-US" w:eastAsia="zh-CN"/>
                    </w:rPr>
                    <w:t>0.1mT</w:t>
                  </w:r>
                </w:p>
              </w:tc>
            </w:tr>
          </w:tbl>
          <w:p>
            <w:pPr>
              <w:spacing w:before="69" w:line="232" w:lineRule="auto"/>
              <w:ind w:left="3309"/>
              <w:rPr>
                <w:rFonts w:hint="default" w:ascii="Times New Roman" w:hAnsi="Times New Roman" w:eastAsia="Times New Roman" w:cs="Times New Roman"/>
                <w:sz w:val="24"/>
                <w:szCs w:val="24"/>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5" w:type="dxa"/>
            <w:vAlign w:val="center"/>
          </w:tcPr>
          <w:p>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4" w:type="dxa"/>
            <w:vAlign w:val="center"/>
          </w:tcPr>
          <w:p>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5" w:type="dxa"/>
            <w:vAlign w:val="center"/>
          </w:tcPr>
          <w:p>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）《建设项目竣工环境保护验收技术规范 水利水电》（HJ 464-2009）；</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5" w:type="dxa"/>
            <w:vAlign w:val="center"/>
          </w:tcPr>
          <w:p>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）关于印发《新疆维吾尔自治区环境影响评价管理中建设项目重大变动界定程序规定》的通知(新环环评发[2019]140号)；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13</w:t>
            </w:r>
            <w:r>
              <w:rPr>
                <w:rFonts w:hint="default" w:ascii="Times New Roman" w:hAnsi="Times New Roman" w:eastAsia="宋体" w:cs="Times New Roman"/>
                <w:spacing w:val="8"/>
                <w:sz w:val="24"/>
                <w:szCs w:val="24"/>
                <w:lang w:eastAsia="zh-CN"/>
              </w:rPr>
              <w:t>）20</w:t>
            </w:r>
            <w:r>
              <w:rPr>
                <w:rFonts w:hint="eastAsia" w:ascii="Times New Roman" w:hAnsi="Times New Roman" w:eastAsia="宋体" w:cs="Times New Roman"/>
                <w:spacing w:val="8"/>
                <w:sz w:val="24"/>
                <w:szCs w:val="24"/>
                <w:lang w:val="en-US" w:eastAsia="zh-CN"/>
              </w:rPr>
              <w:t>17</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新疆净源环境咨询有限公司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新疆润盛投资发展有限公司奎屯-独山子经济技术开发区2013年基础设施建设项目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14</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w:t>
            </w:r>
            <w:r>
              <w:rPr>
                <w:rFonts w:hint="eastAsia" w:ascii="Times New Roman" w:hAnsi="Times New Roman" w:eastAsia="宋体" w:cs="Times New Roman"/>
                <w:spacing w:val="2"/>
                <w:sz w:val="24"/>
                <w:szCs w:val="24"/>
                <w:highlight w:val="none"/>
                <w:lang w:val="en-US" w:eastAsia="zh-CN"/>
              </w:rPr>
              <w:t>17</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7</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18</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原奎屯-独山子经济技术开发区环境保护局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新疆润盛投资发展有限公司奎屯-独山子经济技术开发区2013年基础设施建设项目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新疆润盛投资发展有限公司奎屯-独山</w:t>
            </w:r>
            <w:r>
              <w:rPr>
                <w:rFonts w:hint="default" w:ascii="Times New Roman" w:hAnsi="Times New Roman" w:eastAsia="宋体" w:cs="Times New Roman"/>
                <w:spacing w:val="6"/>
                <w:sz w:val="24"/>
                <w:szCs w:val="24"/>
                <w:lang w:val="en-US" w:eastAsia="zh-CN"/>
              </w:rPr>
              <w:t>子经济技术开发区2013年基础设施建设项目</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Times New Roman" w:hAnsi="Times New Roman" w:eastAsia="宋体" w:cs="Times New Roman"/>
                <w:color w:val="auto"/>
                <w:sz w:val="24"/>
                <w:szCs w:val="24"/>
                <w:lang w:val="en-US" w:eastAsia="zh-CN"/>
              </w:rPr>
              <w:t>奎独开环函</w:t>
            </w:r>
            <w:r>
              <w:rPr>
                <w:rFonts w:hint="default" w:ascii="Times New Roman" w:hAnsi="Times New Roman" w:eastAsia="宋体" w:cs="Times New Roman"/>
                <w:color w:val="auto"/>
                <w:sz w:val="24"/>
                <w:szCs w:val="24"/>
                <w:lang w:val="en-US" w:eastAsia="zh-CN"/>
              </w:rPr>
              <w:t>[2017]27</w:t>
            </w:r>
            <w:r>
              <w:rPr>
                <w:rFonts w:hint="eastAsia" w:ascii="宋体" w:hAnsi="宋体" w:eastAsia="宋体" w:cs="宋体"/>
                <w:color w:val="auto"/>
                <w:sz w:val="24"/>
                <w:szCs w:val="24"/>
                <w:lang w:val="en-US" w:eastAsia="zh-CN"/>
              </w:rPr>
              <w:t>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15</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新疆润盛投资发展有限公司奎屯-独山子经济技术开发区2013年基础设施建设项目</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9"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19"/>
        <w:tblW w:w="910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997"/>
        <w:gridCol w:w="710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77" w:hRule="atLeast"/>
          <w:jc w:val="center"/>
        </w:trPr>
        <w:tc>
          <w:tcPr>
            <w:tcW w:w="2134" w:type="dxa"/>
            <w:vAlign w:val="center"/>
          </w:tcPr>
          <w:p>
            <w:pPr>
              <w:spacing w:before="117"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6970" w:type="dxa"/>
            <w:vAlign w:val="top"/>
          </w:tcPr>
          <w:p>
            <w:pPr>
              <w:spacing w:before="117" w:line="220" w:lineRule="auto"/>
              <w:jc w:val="center"/>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新疆润盛投资发展有限公司奎屯-独山子经济技术开发区2013年基础设施建设项目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08" w:hRule="atLeast"/>
          <w:jc w:val="center"/>
        </w:trPr>
        <w:tc>
          <w:tcPr>
            <w:tcW w:w="2134" w:type="dxa"/>
            <w:vAlign w:val="center"/>
          </w:tcPr>
          <w:p>
            <w:pPr>
              <w:spacing w:before="78"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6970" w:type="dxa"/>
            <w:vAlign w:val="top"/>
          </w:tcPr>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outlineLvl w:val="9"/>
              <w:rPr>
                <w:rFonts w:hint="default" w:ascii="Times New Roman" w:hAnsi="Times New Roman" w:eastAsia="宋体" w:cs="Times New Roman"/>
                <w:b w:val="0"/>
                <w:bCs/>
                <w:color w:val="auto"/>
                <w:kern w:val="0"/>
                <w:sz w:val="24"/>
                <w:szCs w:val="24"/>
                <w:vertAlign w:val="baseline"/>
                <w:lang w:val="en-US" w:eastAsia="zh-CN" w:bidi="ar"/>
              </w:rPr>
            </w:pPr>
            <w:r>
              <w:rPr>
                <w:rFonts w:hint="default" w:ascii="Times New Roman" w:hAnsi="Times New Roman" w:eastAsia="宋体" w:cs="Times New Roman"/>
                <w:b w:val="0"/>
                <w:bCs/>
                <w:color w:val="auto"/>
                <w:kern w:val="0"/>
                <w:sz w:val="24"/>
                <w:szCs w:val="24"/>
                <w:vertAlign w:val="baseline"/>
                <w:lang w:val="en-US" w:eastAsia="zh-CN" w:bidi="ar"/>
              </w:rPr>
              <w:t>建设地点</w:t>
            </w:r>
            <w:r>
              <w:rPr>
                <w:rFonts w:hint="eastAsia" w:ascii="Times New Roman" w:hAnsi="Times New Roman" w:eastAsia="宋体" w:cs="Times New Roman"/>
                <w:b w:val="0"/>
                <w:bCs/>
                <w:color w:val="auto"/>
                <w:kern w:val="0"/>
                <w:sz w:val="24"/>
                <w:szCs w:val="24"/>
                <w:vertAlign w:val="baseline"/>
                <w:lang w:val="en-US" w:eastAsia="zh-CN" w:bidi="ar"/>
              </w:rPr>
              <w:t>：</w:t>
            </w:r>
            <w:r>
              <w:rPr>
                <w:rFonts w:hint="default" w:ascii="Times New Roman" w:hAnsi="Times New Roman" w:eastAsia="宋体" w:cs="Times New Roman"/>
                <w:b w:val="0"/>
                <w:bCs/>
                <w:color w:val="auto"/>
                <w:kern w:val="0"/>
                <w:sz w:val="24"/>
                <w:szCs w:val="24"/>
                <w:vertAlign w:val="baseline"/>
                <w:lang w:val="en-US" w:eastAsia="zh-CN" w:bidi="ar"/>
              </w:rPr>
              <w:t>奎屯-独山子经济技术开发区内。其中道路工程分布在北一区、北二区和奎东特色产业园区内，其余排水管线、路肩改造、绿化林床改造、亮化路灯、电力线路改迁工程均位于北一区内。项目主要工程地理坐标</w:t>
            </w:r>
            <w:r>
              <w:rPr>
                <w:rFonts w:hint="eastAsia" w:ascii="Times New Roman" w:hAnsi="Times New Roman" w:eastAsia="宋体" w:cs="Times New Roman"/>
                <w:b w:val="0"/>
                <w:bCs/>
                <w:color w:val="auto"/>
                <w:kern w:val="0"/>
                <w:sz w:val="24"/>
                <w:szCs w:val="24"/>
                <w:vertAlign w:val="baseline"/>
                <w:lang w:val="en-US" w:eastAsia="zh-CN" w:bidi="ar"/>
              </w:rPr>
              <w:t>：</w:t>
            </w:r>
            <w:r>
              <w:rPr>
                <w:rFonts w:hint="default" w:ascii="Times New Roman" w:hAnsi="Times New Roman" w:eastAsia="宋体" w:cs="Times New Roman"/>
                <w:b w:val="0"/>
                <w:bCs/>
                <w:color w:val="auto"/>
                <w:kern w:val="0"/>
                <w:sz w:val="24"/>
                <w:szCs w:val="24"/>
                <w:vertAlign w:val="baseline"/>
                <w:lang w:val="en-US" w:eastAsia="zh-CN" w:bidi="ar"/>
              </w:rPr>
              <w:t>东经84°58'31.22"，北纬44°23'35.45"</w:t>
            </w:r>
            <w:r>
              <w:rPr>
                <w:rFonts w:hint="eastAsia" w:ascii="Times New Roman" w:hAnsi="Times New Roman" w:eastAsia="宋体" w:cs="Times New Roman"/>
                <w:b w:val="0"/>
                <w:bCs/>
                <w:color w:val="auto"/>
                <w:kern w:val="0"/>
                <w:sz w:val="24"/>
                <w:szCs w:val="24"/>
                <w:vertAlign w:val="baseline"/>
                <w:lang w:val="en-US" w:eastAsia="zh-CN" w:bidi="ar"/>
              </w:rPr>
              <w:t>。</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9104" w:type="dxa"/>
            <w:gridSpan w:val="2"/>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建设内容及规模</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napToGrid w:val="0"/>
                <w:sz w:val="24"/>
                <w:szCs w:val="24"/>
              </w:rPr>
            </w:pPr>
            <w:r>
              <w:rPr>
                <w:rFonts w:hint="default" w:ascii="Times New Roman" w:hAnsi="Times New Roman" w:eastAsia="宋体" w:cs="Times New Roman"/>
                <w:snapToGrid w:val="0"/>
                <w:sz w:val="24"/>
                <w:szCs w:val="24"/>
              </w:rPr>
              <w:t>道路工程17.52km，其中</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北一区改造道路0.6km，北二区新建道路7.57km，奎东特色产业园新建道路9.35km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北一区仓储物流区建设供排水管线1.1km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路肩改造0.24万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、绿化、林床改造项目建设9.2万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亮化路灯320盏项目</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电力线路改迁建设4.081km。</w:t>
            </w:r>
          </w:p>
          <w:p>
            <w:pPr>
              <w:keepNext w:val="0"/>
              <w:keepLines w:val="0"/>
              <w:pageBreakBefore w:val="0"/>
              <w:widowControl/>
              <w:kinsoku/>
              <w:wordWrap/>
              <w:overflowPunct/>
              <w:topLinePunct w:val="0"/>
              <w:autoSpaceDE/>
              <w:autoSpaceDN/>
              <w:bidi w:val="0"/>
              <w:adjustRightInd w:val="0"/>
              <w:snapToGrid w:val="0"/>
              <w:spacing w:line="360" w:lineRule="auto"/>
              <w:ind w:left="0" w:firstLine="4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工</w:t>
            </w:r>
            <w:r>
              <w:rPr>
                <w:rFonts w:hint="default" w:ascii="Times New Roman" w:hAnsi="Times New Roman" w:eastAsia="宋体" w:cs="Times New Roman"/>
                <w:spacing w:val="-8"/>
                <w:sz w:val="24"/>
                <w:szCs w:val="24"/>
              </w:rPr>
              <w:t>程</w:t>
            </w:r>
            <w:r>
              <w:rPr>
                <w:rFonts w:hint="default" w:ascii="Times New Roman" w:hAnsi="Times New Roman" w:eastAsia="宋体" w:cs="Times New Roman"/>
                <w:spacing w:val="-5"/>
                <w:sz w:val="24"/>
                <w:szCs w:val="24"/>
              </w:rPr>
              <w:t>建设内容见表</w:t>
            </w:r>
            <w:r>
              <w:rPr>
                <w:rFonts w:hint="default" w:ascii="Times New Roman" w:hAnsi="Times New Roman" w:eastAsia="宋体" w:cs="Times New Roman"/>
                <w:spacing w:val="-5"/>
                <w:sz w:val="24"/>
                <w:szCs w:val="24"/>
                <w:lang w:val="en-US" w:eastAsia="zh-CN"/>
              </w:rPr>
              <w:t>5</w:t>
            </w:r>
            <w:r>
              <w:rPr>
                <w:rFonts w:hint="default" w:ascii="Times New Roman" w:hAnsi="Times New Roman" w:eastAsia="Times New Roman" w:cs="Times New Roman"/>
                <w:spacing w:val="-5"/>
                <w:sz w:val="24"/>
                <w:szCs w:val="24"/>
              </w:rPr>
              <w:t>-1</w:t>
            </w:r>
            <w:r>
              <w:rPr>
                <w:rFonts w:hint="default" w:ascii="Times New Roman" w:hAnsi="Times New Roman" w:eastAsia="宋体" w:cs="Times New Roman"/>
                <w:spacing w:val="-5"/>
                <w:sz w:val="24"/>
                <w:szCs w:val="24"/>
              </w:rPr>
              <w:t>。</w:t>
            </w:r>
          </w:p>
          <w:p>
            <w:pPr>
              <w:keepNext w:val="0"/>
              <w:keepLines w:val="0"/>
              <w:pageBreakBefore w:val="0"/>
              <w:widowControl/>
              <w:kinsoku w:val="0"/>
              <w:wordWrap/>
              <w:overflowPunct/>
              <w:topLinePunct w:val="0"/>
              <w:autoSpaceDE/>
              <w:autoSpaceDN/>
              <w:bidi w:val="0"/>
              <w:adjustRightInd/>
              <w:snapToGrid/>
              <w:jc w:val="center"/>
              <w:textAlignment w:val="baseline"/>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z w:val="21"/>
                <w:szCs w:val="21"/>
                <w:highlight w:val="none"/>
                <w:lang w:val="en-US" w:eastAsia="zh-CN"/>
              </w:rPr>
              <w:t>5</w:t>
            </w:r>
            <w:r>
              <w:rPr>
                <w:rFonts w:hint="default" w:ascii="Times New Roman" w:hAnsi="Times New Roman" w:eastAsia="Times New Roman" w:cs="Times New Roman"/>
                <w:b/>
                <w:bCs/>
                <w:sz w:val="21"/>
                <w:szCs w:val="21"/>
                <w:highlight w:val="none"/>
              </w:rPr>
              <w:t>-</w:t>
            </w:r>
            <w:r>
              <w:rPr>
                <w:rFonts w:hint="eastAsia" w:ascii="Times New Roman" w:hAnsi="Times New Roman" w:eastAsia="宋体" w:cs="Times New Roman"/>
                <w:b/>
                <w:bCs/>
                <w:sz w:val="21"/>
                <w:szCs w:val="21"/>
                <w:highlight w:val="none"/>
                <w:lang w:val="en-US" w:eastAsia="zh-CN"/>
              </w:rPr>
              <w:t>1</w:t>
            </w:r>
            <w:r>
              <w:rPr>
                <w:rFonts w:hint="default" w:ascii="Times New Roman" w:hAnsi="Times New Roman" w:eastAsia="Times New Roman" w:cs="Times New Roman"/>
                <w:sz w:val="21"/>
                <w:szCs w:val="21"/>
                <w:highlight w:val="none"/>
              </w:rPr>
              <w:t xml:space="preserve">  </w:t>
            </w: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工程建设内容</w:t>
            </w:r>
          </w:p>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2"/>
              <w:gridCol w:w="807"/>
              <w:gridCol w:w="1089"/>
              <w:gridCol w:w="1278"/>
              <w:gridCol w:w="2670"/>
              <w:gridCol w:w="20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44" w:type="pct"/>
                  <w:gridSpan w:val="5"/>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环评设计建设</w:t>
                  </w:r>
                </w:p>
              </w:tc>
              <w:tc>
                <w:tcPr>
                  <w:tcW w:w="1155"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实际建情况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2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项目名称</w:t>
                  </w:r>
                </w:p>
              </w:tc>
              <w:tc>
                <w:tcPr>
                  <w:tcW w:w="444"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单位</w:t>
                  </w:r>
                </w:p>
              </w:tc>
              <w:tc>
                <w:tcPr>
                  <w:tcW w:w="59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default" w:ascii="Times New Roman" w:hAnsi="Times New Roman" w:eastAsia="宋体" w:cs="Times New Roman"/>
                      <w:b/>
                      <w:bCs/>
                      <w:sz w:val="21"/>
                      <w:szCs w:val="21"/>
                      <w:vertAlign w:val="baseline"/>
                      <w:lang w:val="en-US" w:eastAsia="zh-CN"/>
                    </w:rPr>
                    <w:t>规模</w:t>
                  </w:r>
                </w:p>
              </w:tc>
              <w:tc>
                <w:tcPr>
                  <w:tcW w:w="703"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所在区域</w:t>
                  </w:r>
                </w:p>
              </w:tc>
              <w:tc>
                <w:tcPr>
                  <w:tcW w:w="1468"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备注</w:t>
                  </w:r>
                </w:p>
              </w:tc>
              <w:tc>
                <w:tcPr>
                  <w:tcW w:w="1155" w:type="pct"/>
                  <w:vMerge w:val="continue"/>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b/>
                      <w:bCs/>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7" w:hRule="atLeast"/>
                <w:jc w:val="center"/>
              </w:trPr>
              <w:tc>
                <w:tcPr>
                  <w:tcW w:w="629"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道路</w:t>
                  </w:r>
                </w:p>
              </w:tc>
              <w:tc>
                <w:tcPr>
                  <w:tcW w:w="444"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km</w:t>
                  </w:r>
                </w:p>
              </w:tc>
              <w:tc>
                <w:tcPr>
                  <w:tcW w:w="599"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snapToGrid/>
                      <w:color w:val="auto"/>
                      <w:spacing w:val="-1"/>
                      <w:kern w:val="0"/>
                      <w:sz w:val="21"/>
                      <w:szCs w:val="21"/>
                      <w:lang w:val="en-US" w:eastAsia="zh-CN" w:bidi="ar-SA"/>
                    </w:rPr>
                  </w:pPr>
                  <w:r>
                    <w:rPr>
                      <w:rFonts w:hint="eastAsia" w:ascii="Times New Roman" w:hAnsi="Times New Roman" w:eastAsia="宋体" w:cs="Times New Roman"/>
                      <w:snapToGrid/>
                      <w:color w:val="auto"/>
                      <w:spacing w:val="-1"/>
                      <w:kern w:val="0"/>
                      <w:sz w:val="21"/>
                      <w:szCs w:val="21"/>
                      <w:lang w:val="en-US" w:eastAsia="zh-CN" w:bidi="ar-SA"/>
                    </w:rPr>
                    <w:t>17.52</w:t>
                  </w:r>
                </w:p>
              </w:tc>
              <w:tc>
                <w:tcPr>
                  <w:tcW w:w="703"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r>
                    <w:rPr>
                      <w:rFonts w:hint="eastAsia" w:ascii="Times New Roman" w:hAnsi="Times New Roman" w:eastAsia="宋体" w:cs="Times New Roman"/>
                      <w:b w:val="0"/>
                      <w:bCs w:val="0"/>
                      <w:color w:val="auto"/>
                      <w:kern w:val="0"/>
                      <w:sz w:val="21"/>
                      <w:szCs w:val="21"/>
                      <w:lang w:val="en-US" w:eastAsia="zh-CN" w:bidi="ar"/>
                    </w:rPr>
                    <w:t>北一区</w:t>
                  </w:r>
                </w:p>
              </w:tc>
              <w:tc>
                <w:tcPr>
                  <w:tcW w:w="146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b w:val="0"/>
                      <w:bCs w:val="0"/>
                      <w:color w:val="auto"/>
                      <w:kern w:val="0"/>
                      <w:sz w:val="21"/>
                      <w:szCs w:val="21"/>
                      <w:lang w:val="en-US" w:eastAsia="zh-CN" w:bidi="ar"/>
                    </w:rPr>
                    <w:t>改造</w:t>
                  </w:r>
                  <w:r>
                    <w:rPr>
                      <w:rFonts w:hint="eastAsia" w:ascii="Times New Roman" w:hAnsi="Times New Roman" w:eastAsia="宋体" w:cs="Times New Roman"/>
                      <w:b w:val="0"/>
                      <w:bCs w:val="0"/>
                      <w:color w:val="auto"/>
                      <w:kern w:val="0"/>
                      <w:sz w:val="21"/>
                      <w:szCs w:val="21"/>
                      <w:lang w:val="en-US" w:eastAsia="zh-CN" w:bidi="ar"/>
                    </w:rPr>
                    <w:t>：</w:t>
                  </w:r>
                  <w:r>
                    <w:rPr>
                      <w:rFonts w:hint="default" w:ascii="Times New Roman" w:hAnsi="Times New Roman" w:eastAsia="宋体" w:cs="Times New Roman"/>
                      <w:b w:val="0"/>
                      <w:bCs w:val="0"/>
                      <w:color w:val="auto"/>
                      <w:kern w:val="0"/>
                      <w:sz w:val="21"/>
                      <w:szCs w:val="21"/>
                      <w:lang w:val="en-US" w:eastAsia="zh-CN" w:bidi="ar"/>
                    </w:rPr>
                    <w:t>库尔勒路0.6km</w:t>
                  </w:r>
                </w:p>
              </w:tc>
              <w:tc>
                <w:tcPr>
                  <w:tcW w:w="1155" w:type="pct"/>
                  <w:vMerge w:val="restar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 w:hRule="atLeast"/>
                <w:jc w:val="center"/>
              </w:trPr>
              <w:tc>
                <w:tcPr>
                  <w:tcW w:w="629"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21"/>
                    </w:rPr>
                  </w:pPr>
                </w:p>
              </w:tc>
              <w:tc>
                <w:tcPr>
                  <w:tcW w:w="444"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21"/>
                    </w:rPr>
                  </w:pPr>
                </w:p>
              </w:tc>
              <w:tc>
                <w:tcPr>
                  <w:tcW w:w="599"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21"/>
                    </w:rPr>
                  </w:pPr>
                </w:p>
              </w:tc>
              <w:tc>
                <w:tcPr>
                  <w:tcW w:w="703"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color w:val="auto"/>
                      <w:sz w:val="21"/>
                      <w:szCs w:val="21"/>
                    </w:rPr>
                  </w:pPr>
                </w:p>
              </w:tc>
              <w:tc>
                <w:tcPr>
                  <w:tcW w:w="146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新建</w:t>
                  </w:r>
                  <w:r>
                    <w:rPr>
                      <w:rFonts w:hint="eastAsia" w:ascii="Times New Roman" w:hAnsi="Times New Roman" w:eastAsia="宋体" w:cs="Times New Roman"/>
                      <w:color w:val="auto"/>
                      <w:kern w:val="0"/>
                      <w:sz w:val="21"/>
                      <w:szCs w:val="21"/>
                      <w:lang w:val="en-US" w:eastAsia="zh-CN" w:bidi="ar"/>
                    </w:rPr>
                    <w:t>：</w:t>
                  </w:r>
                  <w:r>
                    <w:rPr>
                      <w:rFonts w:hint="default" w:ascii="Times New Roman" w:hAnsi="Times New Roman" w:eastAsia="宋体" w:cs="Times New Roman"/>
                      <w:color w:val="auto"/>
                      <w:kern w:val="0"/>
                      <w:sz w:val="21"/>
                      <w:szCs w:val="21"/>
                      <w:lang w:val="en-US" w:eastAsia="zh-CN" w:bidi="ar"/>
                    </w:rPr>
                    <w:t>天津路4.5km</w:t>
                  </w:r>
                  <w:r>
                    <w:rPr>
                      <w:rFonts w:hint="eastAsia" w:ascii="Times New Roman" w:hAnsi="Times New Roman" w:eastAsia="宋体" w:cs="Times New Roman"/>
                      <w:color w:val="auto"/>
                      <w:kern w:val="0"/>
                      <w:sz w:val="21"/>
                      <w:szCs w:val="21"/>
                      <w:lang w:val="en-US" w:eastAsia="zh-CN" w:bidi="ar"/>
                    </w:rPr>
                    <w:t>；</w:t>
                  </w:r>
                  <w:r>
                    <w:rPr>
                      <w:rFonts w:hint="default" w:ascii="Times New Roman" w:hAnsi="Times New Roman" w:eastAsia="宋体" w:cs="Times New Roman"/>
                      <w:color w:val="auto"/>
                      <w:kern w:val="0"/>
                      <w:sz w:val="21"/>
                      <w:szCs w:val="21"/>
                      <w:lang w:val="en-US" w:eastAsia="zh-CN" w:bidi="ar"/>
                    </w:rPr>
                    <w:t>华山路3.07km</w:t>
                  </w:r>
                </w:p>
              </w:tc>
              <w:tc>
                <w:tcPr>
                  <w:tcW w:w="1155"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7" w:hRule="atLeast"/>
                <w:jc w:val="center"/>
              </w:trPr>
              <w:tc>
                <w:tcPr>
                  <w:tcW w:w="629"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c>
                <w:tcPr>
                  <w:tcW w:w="444"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c>
                <w:tcPr>
                  <w:tcW w:w="599"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c>
                <w:tcPr>
                  <w:tcW w:w="703"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c>
                <w:tcPr>
                  <w:tcW w:w="1468"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b w:val="0"/>
                      <w:bCs w:val="0"/>
                      <w:color w:val="auto"/>
                      <w:kern w:val="0"/>
                      <w:sz w:val="21"/>
                      <w:szCs w:val="21"/>
                      <w:lang w:val="en-US" w:eastAsia="zh-CN" w:bidi="ar"/>
                    </w:rPr>
                  </w:pPr>
                  <w:r>
                    <w:rPr>
                      <w:rFonts w:hint="default" w:ascii="Times New Roman" w:hAnsi="Times New Roman" w:cs="Times New Roman"/>
                      <w:color w:val="auto"/>
                      <w:sz w:val="21"/>
                      <w:szCs w:val="21"/>
                      <w:lang w:val="en-US" w:eastAsia="zh-CN"/>
                    </w:rPr>
                    <w:t>新建</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光伏大道4.9km</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安通大街2.7km</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联运街1.6km</w:t>
                  </w:r>
                  <w:r>
                    <w:rPr>
                      <w:rFonts w:hint="eastAsia" w:ascii="Times New Roman" w:hAnsi="Times New Roman" w:cs="Times New Roman"/>
                      <w:color w:val="auto"/>
                      <w:sz w:val="21"/>
                      <w:szCs w:val="21"/>
                      <w:lang w:val="en-US" w:eastAsia="zh-CN"/>
                    </w:rPr>
                    <w:t>；</w:t>
                  </w:r>
                  <w:r>
                    <w:rPr>
                      <w:rFonts w:hint="default" w:ascii="Times New Roman" w:hAnsi="Times New Roman" w:cs="Times New Roman"/>
                      <w:color w:val="auto"/>
                      <w:sz w:val="21"/>
                      <w:szCs w:val="21"/>
                      <w:lang w:val="en-US" w:eastAsia="zh-CN"/>
                    </w:rPr>
                    <w:t>东边街0.15km.</w:t>
                  </w:r>
                </w:p>
              </w:tc>
              <w:tc>
                <w:tcPr>
                  <w:tcW w:w="1155"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7" w:hRule="atLeast"/>
                <w:jc w:val="center"/>
              </w:trPr>
              <w:tc>
                <w:tcPr>
                  <w:tcW w:w="62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排水管线</w:t>
                  </w:r>
                </w:p>
              </w:tc>
              <w:tc>
                <w:tcPr>
                  <w:tcW w:w="444" w:type="pct"/>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km</w:t>
                  </w:r>
                </w:p>
              </w:tc>
              <w:tc>
                <w:tcPr>
                  <w:tcW w:w="59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snapToGrid/>
                      <w:color w:val="auto"/>
                      <w:spacing w:val="-1"/>
                      <w:kern w:val="0"/>
                      <w:sz w:val="21"/>
                      <w:szCs w:val="21"/>
                      <w:lang w:val="en-US" w:eastAsia="zh-CN" w:bidi="ar-SA"/>
                    </w:rPr>
                  </w:pPr>
                  <w:r>
                    <w:rPr>
                      <w:rFonts w:hint="eastAsia" w:ascii="Times New Roman" w:hAnsi="Times New Roman" w:eastAsia="宋体" w:cs="Times New Roman"/>
                      <w:snapToGrid/>
                      <w:color w:val="auto"/>
                      <w:spacing w:val="-1"/>
                      <w:kern w:val="0"/>
                      <w:sz w:val="21"/>
                      <w:szCs w:val="21"/>
                      <w:lang w:val="en-US" w:eastAsia="zh-CN" w:bidi="ar-SA"/>
                    </w:rPr>
                    <w:t>1.1</w:t>
                  </w:r>
                </w:p>
              </w:tc>
              <w:tc>
                <w:tcPr>
                  <w:tcW w:w="703"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b w:val="0"/>
                      <w:bCs w:val="0"/>
                      <w:color w:val="auto"/>
                      <w:kern w:val="0"/>
                      <w:sz w:val="21"/>
                      <w:szCs w:val="21"/>
                      <w:lang w:val="en-US" w:eastAsia="zh-CN" w:bidi="ar"/>
                    </w:rPr>
                    <w:t>北二区</w:t>
                  </w:r>
                </w:p>
              </w:tc>
              <w:tc>
                <w:tcPr>
                  <w:tcW w:w="146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firstLine="0" w:firstLineChars="0"/>
                    <w:jc w:val="center"/>
                    <w:textAlignment w:val="auto"/>
                    <w:rPr>
                      <w:rFonts w:hint="default" w:ascii="Times New Roman" w:hAnsi="Times New Roman" w:eastAsia="宋体" w:cs="Times New Roman"/>
                      <w:color w:val="auto"/>
                      <w:kern w:val="0"/>
                      <w:sz w:val="21"/>
                      <w:szCs w:val="21"/>
                      <w:lang w:val="en-US" w:eastAsia="zh-CN" w:bidi="ar"/>
                    </w:rPr>
                  </w:pPr>
                  <w:r>
                    <w:rPr>
                      <w:rFonts w:hint="default" w:ascii="Times New Roman" w:hAnsi="Times New Roman" w:cs="Times New Roman"/>
                      <w:color w:val="auto"/>
                      <w:sz w:val="21"/>
                      <w:szCs w:val="21"/>
                    </w:rPr>
                    <w:t>仓储区兰干路</w:t>
                  </w:r>
                </w:p>
              </w:tc>
              <w:tc>
                <w:tcPr>
                  <w:tcW w:w="1155"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629"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cs="Times New Roman"/>
                      <w:color w:val="auto"/>
                      <w:sz w:val="21"/>
                      <w:szCs w:val="21"/>
                      <w:lang w:val="en-US" w:eastAsia="zh-CN"/>
                    </w:rPr>
                    <w:t>路肩改造</w:t>
                  </w:r>
                </w:p>
              </w:tc>
              <w:tc>
                <w:tcPr>
                  <w:tcW w:w="444"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万m</w:t>
                  </w:r>
                  <w:r>
                    <w:rPr>
                      <w:rFonts w:hint="eastAsia" w:ascii="Times New Roman" w:hAnsi="Times New Roman" w:eastAsia="宋体" w:cs="Times New Roman"/>
                      <w:color w:val="auto"/>
                      <w:sz w:val="21"/>
                      <w:szCs w:val="21"/>
                      <w:vertAlign w:val="superscript"/>
                      <w:lang w:val="en-US" w:eastAsia="zh-CN"/>
                    </w:rPr>
                    <w:t>2</w:t>
                  </w:r>
                </w:p>
              </w:tc>
              <w:tc>
                <w:tcPr>
                  <w:tcW w:w="599"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snapToGrid/>
                      <w:color w:val="auto"/>
                      <w:spacing w:val="-1"/>
                      <w:kern w:val="0"/>
                      <w:sz w:val="21"/>
                      <w:szCs w:val="21"/>
                      <w:lang w:val="en-US" w:eastAsia="zh-CN" w:bidi="ar-SA"/>
                    </w:rPr>
                  </w:pPr>
                  <w:r>
                    <w:rPr>
                      <w:rFonts w:hint="eastAsia" w:ascii="Times New Roman" w:hAnsi="Times New Roman" w:eastAsia="宋体" w:cs="Times New Roman"/>
                      <w:snapToGrid/>
                      <w:color w:val="auto"/>
                      <w:spacing w:val="-1"/>
                      <w:kern w:val="0"/>
                      <w:sz w:val="21"/>
                      <w:szCs w:val="21"/>
                      <w:lang w:val="en-US" w:eastAsia="zh-CN" w:bidi="ar-SA"/>
                    </w:rPr>
                    <w:t>0.24</w:t>
                  </w:r>
                </w:p>
              </w:tc>
              <w:tc>
                <w:tcPr>
                  <w:tcW w:w="703"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奎东特色产业园区</w:t>
                  </w:r>
                </w:p>
              </w:tc>
              <w:tc>
                <w:tcPr>
                  <w:tcW w:w="1468"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 w:val="0"/>
                      <w:bCs w:val="0"/>
                      <w:i w:val="0"/>
                      <w:snapToGrid w:val="0"/>
                      <w:color w:val="auto"/>
                      <w:kern w:val="0"/>
                      <w:sz w:val="21"/>
                      <w:szCs w:val="21"/>
                      <w:u w:val="none"/>
                      <w:lang w:val="en-US" w:eastAsia="zh-CN"/>
                    </w:rPr>
                    <w:t>库尔勒路(迎宾大道一沙湾街)</w:t>
                  </w:r>
                </w:p>
              </w:tc>
              <w:tc>
                <w:tcPr>
                  <w:tcW w:w="1155"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绿化、林床改造</w:t>
                  </w:r>
                </w:p>
              </w:tc>
              <w:tc>
                <w:tcPr>
                  <w:tcW w:w="444"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万m</w:t>
                  </w:r>
                  <w:r>
                    <w:rPr>
                      <w:rFonts w:hint="eastAsia" w:ascii="Times New Roman" w:hAnsi="Times New Roman" w:eastAsia="宋体" w:cs="Times New Roman"/>
                      <w:color w:val="auto"/>
                      <w:sz w:val="21"/>
                      <w:szCs w:val="21"/>
                      <w:vertAlign w:val="superscript"/>
                      <w:lang w:val="en-US" w:eastAsia="zh-CN"/>
                    </w:rPr>
                    <w:t>2</w:t>
                  </w:r>
                </w:p>
              </w:tc>
              <w:tc>
                <w:tcPr>
                  <w:tcW w:w="599"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snapToGrid/>
                      <w:color w:val="auto"/>
                      <w:spacing w:val="-1"/>
                      <w:kern w:val="0"/>
                      <w:sz w:val="21"/>
                      <w:szCs w:val="21"/>
                      <w:lang w:val="en-US" w:eastAsia="zh-CN" w:bidi="ar-SA"/>
                    </w:rPr>
                  </w:pPr>
                  <w:r>
                    <w:rPr>
                      <w:rFonts w:hint="eastAsia" w:ascii="Times New Roman" w:hAnsi="Times New Roman" w:eastAsia="宋体" w:cs="Times New Roman"/>
                      <w:snapToGrid/>
                      <w:color w:val="auto"/>
                      <w:spacing w:val="-1"/>
                      <w:kern w:val="0"/>
                      <w:sz w:val="21"/>
                      <w:szCs w:val="21"/>
                      <w:lang w:val="en-US" w:eastAsia="zh-CN" w:bidi="ar-SA"/>
                    </w:rPr>
                    <w:t>9.2</w:t>
                  </w:r>
                </w:p>
              </w:tc>
              <w:tc>
                <w:tcPr>
                  <w:tcW w:w="703"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rPr>
                  </w:pPr>
                  <w:r>
                    <w:rPr>
                      <w:rFonts w:hint="eastAsia" w:ascii="Times New Roman" w:hAnsi="Times New Roman" w:eastAsia="宋体" w:cs="Times New Roman"/>
                      <w:b w:val="0"/>
                      <w:bCs w:val="0"/>
                      <w:color w:val="auto"/>
                      <w:kern w:val="0"/>
                      <w:sz w:val="21"/>
                      <w:szCs w:val="21"/>
                      <w:lang w:val="en-US" w:eastAsia="zh-CN" w:bidi="ar"/>
                    </w:rPr>
                    <w:t>北一区</w:t>
                  </w:r>
                </w:p>
              </w:tc>
              <w:tc>
                <w:tcPr>
                  <w:tcW w:w="1468"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cs="Times New Roman"/>
                      <w:color w:val="auto"/>
                      <w:sz w:val="21"/>
                      <w:szCs w:val="21"/>
                    </w:rPr>
                  </w:pPr>
                  <w:r>
                    <w:rPr>
                      <w:rFonts w:hint="eastAsia" w:ascii="Times New Roman" w:hAnsi="Times New Roman" w:eastAsia="宋体" w:cs="Times New Roman"/>
                      <w:b w:val="0"/>
                      <w:bCs w:val="0"/>
                      <w:i w:val="0"/>
                      <w:snapToGrid w:val="0"/>
                      <w:color w:val="auto"/>
                      <w:kern w:val="0"/>
                      <w:sz w:val="21"/>
                      <w:szCs w:val="21"/>
                      <w:u w:val="none"/>
                      <w:lang w:val="en-US" w:eastAsia="zh-CN"/>
                    </w:rPr>
                    <w:t>迎宾大道(312国道一南环路)</w:t>
                  </w:r>
                </w:p>
              </w:tc>
              <w:tc>
                <w:tcPr>
                  <w:tcW w:w="1155"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62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亮化路灯</w:t>
                  </w:r>
                </w:p>
              </w:tc>
              <w:tc>
                <w:tcPr>
                  <w:tcW w:w="444"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盏</w:t>
                  </w:r>
                </w:p>
              </w:tc>
              <w:tc>
                <w:tcPr>
                  <w:tcW w:w="599"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i w:val="0"/>
                      <w:snapToGrid w:val="0"/>
                      <w:color w:val="auto"/>
                      <w:kern w:val="0"/>
                      <w:sz w:val="21"/>
                      <w:szCs w:val="21"/>
                      <w:u w:val="none"/>
                      <w:lang w:val="en-US" w:eastAsia="zh-CN"/>
                    </w:rPr>
                    <w:t>320</w:t>
                  </w:r>
                </w:p>
              </w:tc>
              <w:tc>
                <w:tcPr>
                  <w:tcW w:w="703"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color w:val="auto"/>
                      <w:kern w:val="0"/>
                      <w:sz w:val="21"/>
                      <w:szCs w:val="21"/>
                      <w:lang w:val="en-US" w:eastAsia="zh-CN" w:bidi="ar"/>
                    </w:rPr>
                    <w:t>北一区</w:t>
                  </w:r>
                </w:p>
              </w:tc>
              <w:tc>
                <w:tcPr>
                  <w:tcW w:w="1468"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i w:val="0"/>
                      <w:snapToGrid w:val="0"/>
                      <w:color w:val="auto"/>
                      <w:kern w:val="0"/>
                      <w:sz w:val="21"/>
                      <w:szCs w:val="21"/>
                      <w:u w:val="none"/>
                      <w:lang w:val="en-US" w:eastAsia="zh-CN"/>
                    </w:rPr>
                    <w:t>迎宾大道</w:t>
                  </w:r>
                </w:p>
              </w:tc>
              <w:tc>
                <w:tcPr>
                  <w:tcW w:w="1155"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baseline"/>
                    <w:rPr>
                      <w:rFonts w:hint="default" w:ascii="Times New Roman" w:hAnsi="Times New Roman" w:eastAsia="宋体" w:cs="Times New Roman"/>
                      <w:sz w:val="21"/>
                      <w:szCs w:val="21"/>
                      <w:vertAlign w:val="base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jc w:val="center"/>
              </w:trPr>
              <w:tc>
                <w:tcPr>
                  <w:tcW w:w="629"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电力线路迁改</w:t>
                  </w:r>
                </w:p>
              </w:tc>
              <w:tc>
                <w:tcPr>
                  <w:tcW w:w="444"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firstLine="0" w:firstLineChars="0"/>
                    <w:jc w:val="center"/>
                    <w:textAlignment w:val="baseline"/>
                    <w:rPr>
                      <w:rFonts w:hint="default" w:ascii="Times New Roman" w:hAnsi="Times New Roman" w:eastAsia="宋体" w:cs="Times New Roman"/>
                      <w:color w:val="auto"/>
                      <w:sz w:val="21"/>
                      <w:szCs w:val="21"/>
                      <w:vertAlign w:val="baseline"/>
                      <w:lang w:val="en-US" w:eastAsia="zh-CN"/>
                    </w:rPr>
                  </w:pPr>
                  <w:r>
                    <w:rPr>
                      <w:rFonts w:hint="eastAsia" w:ascii="Times New Roman" w:hAnsi="Times New Roman" w:eastAsia="宋体" w:cs="Times New Roman"/>
                      <w:color w:val="auto"/>
                      <w:sz w:val="21"/>
                      <w:szCs w:val="21"/>
                      <w:vertAlign w:val="baseline"/>
                      <w:lang w:val="en-US" w:eastAsia="zh-CN"/>
                    </w:rPr>
                    <w:t>km</w:t>
                  </w:r>
                </w:p>
              </w:tc>
              <w:tc>
                <w:tcPr>
                  <w:tcW w:w="599"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default"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i w:val="0"/>
                      <w:snapToGrid w:val="0"/>
                      <w:color w:val="auto"/>
                      <w:kern w:val="0"/>
                      <w:sz w:val="21"/>
                      <w:szCs w:val="21"/>
                      <w:u w:val="none"/>
                      <w:lang w:val="en-US" w:eastAsia="zh-CN"/>
                    </w:rPr>
                    <w:t>4.081</w:t>
                  </w:r>
                </w:p>
              </w:tc>
              <w:tc>
                <w:tcPr>
                  <w:tcW w:w="703"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color w:val="auto"/>
                      <w:kern w:val="0"/>
                      <w:sz w:val="21"/>
                      <w:szCs w:val="21"/>
                      <w:lang w:val="en-US" w:eastAsia="zh-CN" w:bidi="ar"/>
                    </w:rPr>
                    <w:t>北一区</w:t>
                  </w:r>
                </w:p>
              </w:tc>
              <w:tc>
                <w:tcPr>
                  <w:tcW w:w="1468" w:type="pct"/>
                  <w:vAlign w:val="center"/>
                </w:tcPr>
                <w:p>
                  <w:pPr>
                    <w:keepNext w:val="0"/>
                    <w:keepLines w:val="0"/>
                    <w:pageBreakBefore w:val="0"/>
                    <w:widowControl w:val="0"/>
                    <w:suppressLineNumbers w:val="0"/>
                    <w:wordWrap/>
                    <w:overflowPunct/>
                    <w:topLinePunct w:val="0"/>
                    <w:bidi w:val="0"/>
                    <w:adjustRightInd/>
                    <w:snapToGrid/>
                    <w:spacing w:before="0" w:beforeAutospacing="0" w:after="0" w:afterAutospacing="0" w:line="240" w:lineRule="auto"/>
                    <w:ind w:left="0" w:right="0" w:firstLine="0" w:firstLineChars="0"/>
                    <w:jc w:val="center"/>
                    <w:rPr>
                      <w:rFonts w:hint="eastAsia" w:ascii="Times New Roman" w:hAnsi="Times New Roman" w:eastAsia="宋体" w:cs="Times New Roman"/>
                      <w:b w:val="0"/>
                      <w:bCs w:val="0"/>
                      <w:i w:val="0"/>
                      <w:snapToGrid w:val="0"/>
                      <w:color w:val="auto"/>
                      <w:kern w:val="0"/>
                      <w:sz w:val="21"/>
                      <w:szCs w:val="21"/>
                      <w:u w:val="none"/>
                      <w:lang w:val="en-US" w:eastAsia="zh-CN"/>
                    </w:rPr>
                  </w:pPr>
                  <w:r>
                    <w:rPr>
                      <w:rFonts w:hint="eastAsia" w:ascii="Times New Roman" w:hAnsi="Times New Roman" w:eastAsia="宋体" w:cs="Times New Roman"/>
                      <w:b w:val="0"/>
                      <w:bCs w:val="0"/>
                      <w:i w:val="0"/>
                      <w:snapToGrid w:val="0"/>
                      <w:color w:val="auto"/>
                      <w:kern w:val="0"/>
                      <w:sz w:val="21"/>
                      <w:szCs w:val="21"/>
                      <w:u w:val="none"/>
                      <w:lang w:val="en-US" w:eastAsia="zh-CN"/>
                    </w:rPr>
                    <w:t>兴业路(由路中间迁建至路边)</w:t>
                  </w:r>
                </w:p>
              </w:tc>
              <w:tc>
                <w:tcPr>
                  <w:tcW w:w="1155" w:type="pct"/>
                  <w:vAlign w:val="center"/>
                </w:tcPr>
                <w:p>
                  <w:pPr>
                    <w:pStyle w:val="1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leftChars="0" w:right="0" w:rightChars="0" w:firstLine="0" w:firstLineChars="0"/>
                    <w:jc w:val="center"/>
                    <w:textAlignment w:val="baseline"/>
                    <w:rPr>
                      <w:rFonts w:hint="default" w:ascii="Times New Roman" w:hAnsi="Times New Roman" w:eastAsia="宋体" w:cs="Times New Roman"/>
                      <w:sz w:val="21"/>
                      <w:szCs w:val="21"/>
                      <w:vertAlign w:val="baseline"/>
                      <w:lang w:val="en-US"/>
                    </w:rPr>
                  </w:pPr>
                  <w:r>
                    <w:rPr>
                      <w:rFonts w:hint="default" w:ascii="Times New Roman" w:hAnsi="Times New Roman" w:eastAsia="宋体" w:cs="Times New Roman"/>
                      <w:sz w:val="21"/>
                      <w:szCs w:val="21"/>
                      <w:vertAlign w:val="baseline"/>
                      <w:lang w:val="en-US" w:eastAsia="zh-CN"/>
                    </w:rPr>
                    <w:t>与环评一致</w:t>
                  </w:r>
                </w:p>
              </w:tc>
            </w:tr>
          </w:tbl>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.2</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工作制度及劳动定员</w:t>
            </w:r>
          </w:p>
          <w:p>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0000FF"/>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本工程营运期采用无人值守。</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公用工程</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（1）供电</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本工程施工用电量较小，施工用电</w:t>
            </w:r>
            <w:r>
              <w:rPr>
                <w:rFonts w:hint="eastAsia" w:ascii="Times New Roman" w:hAnsi="Times New Roman" w:eastAsia="宋体" w:cs="Times New Roman"/>
                <w:snapToGrid w:val="0"/>
                <w:color w:val="000000"/>
                <w:kern w:val="0"/>
                <w:sz w:val="24"/>
                <w:szCs w:val="24"/>
                <w:lang w:val="en-US" w:eastAsia="zh-CN" w:bidi="ar"/>
              </w:rPr>
              <w:t>为市政用电</w:t>
            </w:r>
            <w:r>
              <w:rPr>
                <w:rFonts w:hint="default" w:ascii="Times New Roman" w:hAnsi="Times New Roman" w:eastAsia="宋体" w:cs="Times New Roman"/>
                <w:snapToGrid w:val="0"/>
                <w:color w:val="000000"/>
                <w:kern w:val="0"/>
                <w:sz w:val="24"/>
                <w:szCs w:val="24"/>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（2）供水</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施工用水和生活用水均</w:t>
            </w:r>
            <w:r>
              <w:rPr>
                <w:rFonts w:hint="eastAsia" w:ascii="Times New Roman" w:hAnsi="Times New Roman" w:eastAsia="宋体" w:cs="Times New Roman"/>
                <w:snapToGrid w:val="0"/>
                <w:color w:val="000000"/>
                <w:kern w:val="0"/>
                <w:sz w:val="24"/>
                <w:szCs w:val="24"/>
                <w:lang w:val="en-US" w:eastAsia="zh-CN" w:bidi="ar"/>
              </w:rPr>
              <w:t>来</w:t>
            </w:r>
            <w:r>
              <w:rPr>
                <w:rFonts w:hint="default" w:ascii="Times New Roman" w:hAnsi="Times New Roman" w:eastAsia="宋体" w:cs="Times New Roman"/>
                <w:snapToGrid w:val="0"/>
                <w:color w:val="000000"/>
                <w:kern w:val="0"/>
                <w:sz w:val="24"/>
                <w:szCs w:val="24"/>
                <w:lang w:val="en-US" w:eastAsia="zh-CN" w:bidi="ar"/>
              </w:rPr>
              <w:t>从附近居民点。</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（3）排水</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w:t>
            </w:r>
            <w:r>
              <w:rPr>
                <w:rFonts w:hint="eastAsia" w:ascii="Times New Roman" w:hAnsi="Times New Roman" w:eastAsia="宋体" w:cs="Times New Roman"/>
                <w:snapToGrid w:val="0"/>
                <w:color w:val="000000"/>
                <w:kern w:val="0"/>
                <w:sz w:val="24"/>
                <w:szCs w:val="24"/>
                <w:lang w:val="en-US" w:eastAsia="zh-CN" w:bidi="ar"/>
              </w:rPr>
              <w:t>排水为少量</w:t>
            </w:r>
            <w:r>
              <w:rPr>
                <w:rFonts w:hint="default" w:ascii="Times New Roman" w:hAnsi="Times New Roman" w:eastAsia="宋体" w:cs="Times New Roman"/>
                <w:snapToGrid w:val="0"/>
                <w:color w:val="000000"/>
                <w:kern w:val="0"/>
                <w:sz w:val="24"/>
                <w:szCs w:val="24"/>
                <w:lang w:val="en-US" w:eastAsia="zh-CN" w:bidi="ar"/>
              </w:rPr>
              <w:t>生活污水量。</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.4</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pPr>
              <w:kinsoku/>
              <w:autoSpaceDE/>
              <w:autoSpaceDN/>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不涉及</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重大变更。</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pPr>
              <w:keepNext w:val="0"/>
              <w:keepLines w:val="0"/>
              <w:pageBreakBefore w:val="0"/>
              <w:widowControl/>
              <w:kinsoku w:val="0"/>
              <w:wordWrap/>
              <w:overflowPunct/>
              <w:topLinePunct w:val="0"/>
              <w:autoSpaceDE w:val="0"/>
              <w:autoSpaceDN w:val="0"/>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详见表5-2。</w:t>
            </w:r>
          </w:p>
          <w:p>
            <w:pPr>
              <w:keepNext w:val="0"/>
              <w:keepLines w:val="0"/>
              <w:pageBreakBefore w:val="0"/>
              <w:widowControl/>
              <w:kinsoku w:val="0"/>
              <w:wordWrap/>
              <w:overflowPunct/>
              <w:topLinePunct w:val="0"/>
              <w:autoSpaceDE w:val="0"/>
              <w:autoSpaceDN w:val="0"/>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default" w:ascii="Times New Roman" w:hAnsi="Times New Roman" w:eastAsia="Times New Roman" w:cs="Times New Roman"/>
                <w:b/>
                <w:bCs/>
                <w:spacing w:val="6"/>
                <w:sz w:val="21"/>
                <w:szCs w:val="21"/>
              </w:rPr>
              <w:t>-</w:t>
            </w:r>
            <w:r>
              <w:rPr>
                <w:rFonts w:hint="default" w:ascii="Times New Roman" w:hAnsi="Times New Roman" w:eastAsia="宋体" w:cs="Times New Roman"/>
                <w:b/>
                <w:bCs/>
                <w:spacing w:val="6"/>
                <w:sz w:val="21"/>
                <w:szCs w:val="21"/>
                <w:lang w:val="en-US" w:eastAsia="zh-CN"/>
              </w:rPr>
              <w:t>2</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pPr>
              <w:keepNext w:val="0"/>
              <w:keepLines w:val="0"/>
              <w:pageBreakBefore w:val="0"/>
              <w:widowControl/>
              <w:kinsoku w:val="0"/>
              <w:wordWrap/>
              <w:overflowPunct/>
              <w:topLinePunct w:val="0"/>
              <w:autoSpaceDE w:val="0"/>
              <w:autoSpaceDN w:val="0"/>
              <w:bidi w:val="0"/>
              <w:adjustRightInd/>
              <w:snapToGrid/>
              <w:spacing w:line="240" w:lineRule="auto"/>
              <w:textAlignment w:val="baseline"/>
              <w:rPr>
                <w:rFonts w:hint="default" w:ascii="Times New Roman" w:hAnsi="Times New Roman" w:cs="Times New Roman"/>
                <w:sz w:val="2"/>
              </w:rPr>
            </w:pPr>
          </w:p>
          <w:tbl>
            <w:tblPr>
              <w:tblStyle w:val="19"/>
              <w:tblW w:w="909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8"/>
              <w:gridCol w:w="6444"/>
              <w:gridCol w:w="18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3997" w:type="pct"/>
                  <w:gridSpan w:val="2"/>
                  <w:tcBorders>
                    <w:left w:val="single" w:color="000000" w:sz="6" w:space="0"/>
                    <w:righ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c>
                <w:tcPr>
                  <w:tcW w:w="1002" w:type="pct"/>
                  <w:tcBorders>
                    <w:left w:val="single" w:color="000000" w:sz="6" w:space="0"/>
                    <w:righ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5" w:type="pct"/>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5" w:type="pct"/>
                  <w:vMerge w:val="restart"/>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5" w:type="pct"/>
                  <w:vMerge w:val="continue"/>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5" w:type="pct"/>
                  <w:vMerge w:val="restart"/>
                  <w:tcBorders>
                    <w:left w:val="single" w:color="000000" w:sz="6" w:space="0"/>
                    <w:bottom w:val="nil"/>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5" w:type="pct"/>
                  <w:vMerge w:val="continue"/>
                  <w:tcBorders>
                    <w:top w:val="nil"/>
                    <w:left w:val="single" w:color="000000" w:sz="6" w:space="0"/>
                    <w:bottom w:val="nil"/>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top w:val="nil"/>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5" w:type="pct"/>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542" w:type="pct"/>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1002" w:type="pct"/>
                  <w:tcBorders>
                    <w:right w:val="single" w:color="000000" w:sz="6" w:space="0"/>
                  </w:tcBorders>
                  <w:vAlign w:val="center"/>
                </w:tcPr>
                <w:p>
                  <w:pPr>
                    <w:keepNext w:val="0"/>
                    <w:keepLines w:val="0"/>
                    <w:pageBreakBefore w:val="0"/>
                    <w:widowControl/>
                    <w:kinsoku w:val="0"/>
                    <w:wordWrap/>
                    <w:overflowPunct/>
                    <w:topLinePunct w:val="0"/>
                    <w:autoSpaceDE w:val="0"/>
                    <w:autoSpaceDN w:val="0"/>
                    <w:bidi w:val="0"/>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62" w:firstLineChars="200"/>
              <w:textAlignment w:val="baseline"/>
              <w:rPr>
                <w:rFonts w:hint="default" w:ascii="Times New Roman" w:hAnsi="Times New Roman" w:eastAsia="宋体" w:cs="Times New Roman"/>
                <w:b/>
                <w:bCs/>
                <w:sz w:val="28"/>
                <w:szCs w:val="28"/>
                <w:highlight w:val="none"/>
                <w:lang w:val="en-US" w:eastAsia="zh-CN"/>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.5</w:t>
            </w:r>
            <w:r>
              <w:rPr>
                <w:rFonts w:hint="default" w:ascii="Times New Roman" w:hAnsi="Times New Roman" w:eastAsia="宋体" w:cs="Times New Roman"/>
                <w:b/>
                <w:bCs/>
                <w:sz w:val="28"/>
                <w:szCs w:val="28"/>
                <w:highlight w:val="none"/>
                <w:lang w:val="en-US" w:eastAsia="zh-CN"/>
              </w:rPr>
              <w:t xml:space="preserve"> </w:t>
            </w:r>
            <w:r>
              <w:rPr>
                <w:rFonts w:hint="eastAsia" w:ascii="Times New Roman" w:hAnsi="Times New Roman" w:eastAsia="宋体" w:cs="Times New Roman"/>
                <w:b/>
                <w:bCs/>
                <w:sz w:val="28"/>
                <w:szCs w:val="28"/>
                <w:highlight w:val="none"/>
                <w:lang w:val="en-US" w:eastAsia="zh-CN"/>
              </w:rPr>
              <w:t>主要建设方案</w:t>
            </w:r>
          </w:p>
          <w:p>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480" w:firstLineChars="200"/>
              <w:jc w:val="both"/>
              <w:textAlignment w:val="auto"/>
              <w:rPr>
                <w:rFonts w:hint="eastAsia" w:ascii="Times New Roman" w:hAnsi="Times New Roman" w:eastAsia="宋体" w:cs="Times New Roman"/>
                <w:snapToGrid/>
                <w:color w:val="auto"/>
                <w:kern w:val="2"/>
                <w:sz w:val="24"/>
                <w:szCs w:val="24"/>
                <w:lang w:val="en-US" w:eastAsia="zh-CN" w:bidi="ar"/>
              </w:rPr>
            </w:pPr>
            <w:r>
              <w:rPr>
                <w:rFonts w:hint="eastAsia" w:ascii="Times New Roman" w:hAnsi="Times New Roman" w:eastAsia="宋体" w:cs="Times New Roman"/>
                <w:snapToGrid/>
                <w:color w:val="auto"/>
                <w:kern w:val="2"/>
                <w:sz w:val="24"/>
                <w:szCs w:val="24"/>
                <w:lang w:val="en-US" w:eastAsia="zh-CN" w:bidi="ar"/>
              </w:rPr>
              <w:t>5.5.1道路工程</w:t>
            </w:r>
          </w:p>
          <w:p>
            <w:pPr>
              <w:pStyle w:val="2"/>
              <w:keepNext w:val="0"/>
              <w:keepLines w:val="0"/>
              <w:pageBreakBefore w:val="0"/>
              <w:widowControl/>
              <w:numPr>
                <w:ilvl w:val="0"/>
                <w:numId w:val="2"/>
              </w:numPr>
              <w:kinsoku w:val="0"/>
              <w:wordWrap/>
              <w:overflowPunct/>
              <w:topLinePunct w:val="0"/>
              <w:autoSpaceDE w:val="0"/>
              <w:autoSpaceDN w:val="0"/>
              <w:bidi w:val="0"/>
              <w:adjustRightInd/>
              <w:snapToGrid/>
              <w:spacing w:line="360" w:lineRule="auto"/>
              <w:ind w:firstLine="480" w:firstLineChars="200"/>
              <w:textAlignment w:val="baseline"/>
              <w:rPr>
                <w:rFonts w:hint="eastAsia" w:eastAsia="宋体"/>
                <w:sz w:val="24"/>
                <w:szCs w:val="24"/>
                <w:lang w:val="en-US" w:eastAsia="zh-CN"/>
              </w:rPr>
            </w:pPr>
            <w:r>
              <w:rPr>
                <w:rFonts w:hint="eastAsia" w:eastAsia="宋体"/>
                <w:sz w:val="24"/>
                <w:szCs w:val="24"/>
                <w:lang w:val="en-US" w:eastAsia="zh-CN"/>
              </w:rPr>
              <w:t>库尔勒路改造工程（北一区）</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eastAsia" w:eastAsia="宋体"/>
                <w:sz w:val="24"/>
                <w:szCs w:val="24"/>
                <w:lang w:val="en-US" w:eastAsia="zh-CN"/>
              </w:rPr>
            </w:pPr>
            <w:r>
              <w:rPr>
                <w:rFonts w:hint="eastAsia" w:eastAsia="宋体"/>
                <w:sz w:val="24"/>
                <w:szCs w:val="24"/>
                <w:lang w:val="en-US" w:eastAsia="zh-CN"/>
              </w:rPr>
              <w:t>库尔勒路现状为混凝土路面，道路红线为80m。经过了多年的使用，道路使用状况较差，路面发生了结构性的破坏，目前部分路面病害严重，需要进行彻底的翻修。翻修工程主要为面层翻修，将混凝土面层改造为沥青混凝土面层。翻修库尔勒路0.6km，翻修后的道路为三幅路型式，道路红线80m，道路中间为16.0m宽的机动车道，两侧依次为2X4.0m宽的绿化带，2X8.0m宽的人非混行道，2X20.0m宽的防护林带，道路绿化率为60%。16m宽的机动车道设置为双向四车道，路缘带为0.25m宽，车行道分为3.75mX4。道路等级：内部道路。设计车速：40km/h。</w:t>
            </w:r>
          </w:p>
          <w:p>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color w:val="auto"/>
              </w:rPr>
            </w:pPr>
            <w:r>
              <w:drawing>
                <wp:inline distT="0" distB="0" distL="114300" distR="114300">
                  <wp:extent cx="5086350" cy="2857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6"/>
                          <a:stretch>
                            <a:fillRect/>
                          </a:stretch>
                        </pic:blipFill>
                        <pic:spPr>
                          <a:xfrm>
                            <a:off x="0" y="0"/>
                            <a:ext cx="5086350" cy="2857500"/>
                          </a:xfrm>
                          <a:prstGeom prst="rect">
                            <a:avLst/>
                          </a:prstGeom>
                          <a:noFill/>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eastAsia" w:eastAsia="宋体"/>
                <w:b/>
                <w:bCs/>
                <w:sz w:val="24"/>
                <w:szCs w:val="24"/>
                <w:lang w:val="en-US" w:eastAsia="zh-CN"/>
              </w:rPr>
            </w:pPr>
            <w:r>
              <w:rPr>
                <w:rFonts w:hint="default" w:ascii="Times New Roman" w:hAnsi="Times New Roman" w:eastAsia="宋体" w:cs="Times New Roman"/>
                <w:b/>
                <w:bCs/>
                <w:spacing w:val="18"/>
                <w:sz w:val="24"/>
                <w:szCs w:val="24"/>
                <w:lang w:val="en-US" w:eastAsia="zh-CN"/>
              </w:rPr>
              <w:t xml:space="preserve">图5.1   </w:t>
            </w:r>
            <w:r>
              <w:rPr>
                <w:rFonts w:hint="eastAsia" w:eastAsia="宋体"/>
                <w:b/>
                <w:bCs/>
                <w:sz w:val="24"/>
                <w:szCs w:val="24"/>
                <w:lang w:val="en-US" w:eastAsia="zh-CN"/>
              </w:rPr>
              <w:t>库尔勒路横断面设计方案</w:t>
            </w:r>
          </w:p>
          <w:p>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（2）天津路新建工程（北二区）</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新建天津路4.5km，新建道路为四幅路型式，道路红线100m。道路中间为8m宽的中央分隔带，两侧依次为2X16.0m宽的机动车道，2X24.0m宽的防护林带，2X6.0m宽的人非混行道，道路绿化率为56%。单侧16m宽的机动车道设置为四车道，两侧路缘带均为0.5m宽，车行道分为3.75mx4。道路等级</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内部道路</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设计车速</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40km/h。</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道路及场地路面结构如下</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自上至下依次为</w:t>
            </w:r>
            <w:r>
              <w:rPr>
                <w:rFonts w:hint="eastAsia" w:eastAsia="宋体"/>
                <w:b w:val="0"/>
                <w:bCs w:val="0"/>
                <w:sz w:val="24"/>
                <w:szCs w:val="24"/>
                <w:lang w:val="en-US" w:eastAsia="zh-CN"/>
              </w:rPr>
              <w:t>：</w:t>
            </w:r>
            <w:r>
              <w:rPr>
                <w:rFonts w:hint="default" w:ascii="Times New Roman" w:hAnsi="Times New Roman" w:eastAsia="宋体" w:cs="Times New Roman"/>
                <w:b w:val="0"/>
                <w:bCs w:val="0"/>
                <w:sz w:val="24"/>
                <w:szCs w:val="24"/>
                <w:lang w:val="en-US" w:eastAsia="zh-CN"/>
              </w:rPr>
              <w:t>3.5cm厚细粒式沥青混凝土上面层(AC-13C)，4.5cm厚中粒式沥青混凝土上面层(AC-16C)，20cm4%水泥稳定砂砾基层，35cm天然砂砾底基层。</w:t>
            </w:r>
          </w:p>
          <w:p>
            <w:pPr>
              <w:keepNext w:val="0"/>
              <w:keepLines w:val="0"/>
              <w:pageBreakBefore w:val="0"/>
              <w:widowControl/>
              <w:kinsoku/>
              <w:wordWrap/>
              <w:overflowPunct/>
              <w:topLinePunct w:val="0"/>
              <w:autoSpaceDE/>
              <w:autoSpaceDN/>
              <w:bidi w:val="0"/>
              <w:adjustRightInd w:val="0"/>
              <w:snapToGrid w:val="0"/>
              <w:spacing w:line="360" w:lineRule="auto"/>
              <w:ind w:firstLine="420" w:firstLineChars="200"/>
              <w:textAlignment w:val="baseline"/>
              <w:rPr>
                <w:rFonts w:hint="default" w:ascii="Times New Roman" w:hAnsi="Times New Roman" w:eastAsia="宋体" w:cs="Times New Roman"/>
                <w:sz w:val="24"/>
                <w:szCs w:val="24"/>
                <w:lang w:val="en-US" w:eastAsia="zh-CN"/>
              </w:rPr>
            </w:pPr>
            <w:r>
              <w:drawing>
                <wp:inline distT="0" distB="0" distL="114300" distR="114300">
                  <wp:extent cx="5391150" cy="20097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5391150" cy="2009775"/>
                          </a:xfrm>
                          <a:prstGeom prst="rect">
                            <a:avLst/>
                          </a:prstGeom>
                          <a:noFill/>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eastAsia" w:eastAsia="宋体"/>
                <w:b/>
                <w:bCs/>
                <w:sz w:val="24"/>
                <w:szCs w:val="24"/>
                <w:lang w:val="en-US" w:eastAsia="zh-CN"/>
              </w:rPr>
            </w:pPr>
            <w:r>
              <w:rPr>
                <w:rFonts w:hint="default" w:ascii="Times New Roman" w:hAnsi="Times New Roman" w:eastAsia="宋体" w:cs="Times New Roman"/>
                <w:b/>
                <w:bCs/>
                <w:spacing w:val="18"/>
                <w:sz w:val="24"/>
                <w:szCs w:val="24"/>
                <w:lang w:val="en-US" w:eastAsia="zh-CN"/>
              </w:rPr>
              <w:t>图5.</w:t>
            </w:r>
            <w:r>
              <w:rPr>
                <w:rFonts w:hint="eastAsia" w:ascii="Times New Roman" w:hAnsi="Times New Roman" w:eastAsia="宋体" w:cs="Times New Roman"/>
                <w:b/>
                <w:bCs/>
                <w:spacing w:val="18"/>
                <w:sz w:val="24"/>
                <w:szCs w:val="24"/>
                <w:lang w:val="en-US" w:eastAsia="zh-CN"/>
              </w:rPr>
              <w:t xml:space="preserve">2 </w:t>
            </w:r>
            <w:r>
              <w:rPr>
                <w:rFonts w:hint="default" w:ascii="Times New Roman" w:hAnsi="Times New Roman" w:eastAsia="宋体" w:cs="Times New Roman"/>
                <w:b/>
                <w:bCs/>
                <w:spacing w:val="18"/>
                <w:sz w:val="24"/>
                <w:szCs w:val="24"/>
                <w:lang w:val="en-US" w:eastAsia="zh-CN"/>
              </w:rPr>
              <w:t xml:space="preserve">   </w:t>
            </w:r>
            <w:r>
              <w:rPr>
                <w:rFonts w:hint="eastAsia" w:eastAsia="宋体"/>
                <w:b/>
                <w:bCs/>
                <w:sz w:val="24"/>
                <w:szCs w:val="24"/>
                <w:lang w:val="en-US" w:eastAsia="zh-CN"/>
              </w:rPr>
              <w:t>天津路横断面设计方案</w:t>
            </w:r>
          </w:p>
          <w:p>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eastAsia="宋体"/>
                <w:b w:val="0"/>
                <w:bCs w:val="0"/>
                <w:sz w:val="24"/>
                <w:szCs w:val="24"/>
                <w:lang w:val="en-US" w:eastAsia="zh-CN"/>
              </w:rPr>
            </w:pPr>
            <w:r>
              <w:rPr>
                <w:rFonts w:hint="eastAsia" w:eastAsia="宋体"/>
                <w:b w:val="0"/>
                <w:bCs w:val="0"/>
                <w:sz w:val="24"/>
                <w:szCs w:val="24"/>
                <w:lang w:val="en-US" w:eastAsia="zh-CN"/>
              </w:rPr>
              <w:t>（3）华山路、光伏大道和安通大街</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eastAsia="宋体"/>
                <w:b w:val="0"/>
                <w:bCs w:val="0"/>
                <w:sz w:val="24"/>
                <w:szCs w:val="24"/>
                <w:lang w:val="en-US" w:eastAsia="zh-CN"/>
              </w:rPr>
            </w:pPr>
            <w:r>
              <w:rPr>
                <w:rFonts w:hint="default" w:eastAsia="宋体"/>
                <w:b w:val="0"/>
                <w:bCs w:val="0"/>
                <w:sz w:val="24"/>
                <w:szCs w:val="24"/>
                <w:lang w:val="en-US" w:eastAsia="zh-CN"/>
              </w:rPr>
              <w:t>新建华山路3.07km、新建光伏大道4.9km、新建安通大街2.7km，道路红线均为80m。新建道路为四幅路型式，道路中间为6m宽的中央分隔带，两侧依次为2X12.0m 宽的机动车道，2X2.0m宽的设施带，2X5.0m宽的非机动车道，2X12.0m宽的防护林带</w:t>
            </w:r>
            <w:r>
              <w:rPr>
                <w:rFonts w:hint="eastAsia" w:eastAsia="宋体"/>
                <w:b w:val="0"/>
                <w:bCs w:val="0"/>
                <w:sz w:val="24"/>
                <w:szCs w:val="24"/>
                <w:lang w:val="en-US" w:eastAsia="zh-CN"/>
              </w:rPr>
              <w:t>，</w:t>
            </w:r>
            <w:r>
              <w:rPr>
                <w:rFonts w:hint="default" w:eastAsia="宋体"/>
                <w:b w:val="0"/>
                <w:bCs w:val="0"/>
                <w:sz w:val="24"/>
                <w:szCs w:val="24"/>
                <w:lang w:val="en-US" w:eastAsia="zh-CN"/>
              </w:rPr>
              <w:t>2X6.0m宽的人行道，道路绿化率为37.5%。单侧12m宽的机动车道设置为三车道</w:t>
            </w:r>
            <w:r>
              <w:rPr>
                <w:rFonts w:hint="eastAsia" w:eastAsia="宋体"/>
                <w:b w:val="0"/>
                <w:bCs w:val="0"/>
                <w:sz w:val="24"/>
                <w:szCs w:val="24"/>
                <w:lang w:val="en-US" w:eastAsia="zh-CN"/>
              </w:rPr>
              <w:t>，</w:t>
            </w:r>
            <w:r>
              <w:rPr>
                <w:rFonts w:hint="default" w:eastAsia="宋体"/>
                <w:b w:val="0"/>
                <w:bCs w:val="0"/>
                <w:sz w:val="24"/>
                <w:szCs w:val="24"/>
                <w:lang w:val="en-US" w:eastAsia="zh-CN"/>
              </w:rPr>
              <w:t>两侧路缘带均为0.5m宽</w:t>
            </w:r>
            <w:r>
              <w:rPr>
                <w:rFonts w:hint="eastAsia" w:eastAsia="宋体"/>
                <w:b w:val="0"/>
                <w:bCs w:val="0"/>
                <w:sz w:val="24"/>
                <w:szCs w:val="24"/>
                <w:lang w:val="en-US" w:eastAsia="zh-CN"/>
              </w:rPr>
              <w:t>，</w:t>
            </w:r>
            <w:r>
              <w:rPr>
                <w:rFonts w:hint="default" w:eastAsia="宋体"/>
                <w:b w:val="0"/>
                <w:bCs w:val="0"/>
                <w:sz w:val="24"/>
                <w:szCs w:val="24"/>
                <w:lang w:val="en-US" w:eastAsia="zh-CN"/>
              </w:rPr>
              <w:t>车行道分为3.75mX2+3.5m。道路等级</w:t>
            </w:r>
            <w:r>
              <w:rPr>
                <w:rFonts w:hint="eastAsia" w:eastAsia="宋体"/>
                <w:b w:val="0"/>
                <w:bCs w:val="0"/>
                <w:sz w:val="24"/>
                <w:szCs w:val="24"/>
                <w:lang w:val="en-US" w:eastAsia="zh-CN"/>
              </w:rPr>
              <w:t>：</w:t>
            </w:r>
            <w:r>
              <w:rPr>
                <w:rFonts w:hint="default" w:eastAsia="宋体"/>
                <w:b w:val="0"/>
                <w:bCs w:val="0"/>
                <w:sz w:val="24"/>
                <w:szCs w:val="24"/>
                <w:lang w:val="en-US" w:eastAsia="zh-CN"/>
              </w:rPr>
              <w:t>内部道路</w:t>
            </w:r>
            <w:r>
              <w:rPr>
                <w:rFonts w:hint="eastAsia" w:eastAsia="宋体"/>
                <w:b w:val="0"/>
                <w:bCs w:val="0"/>
                <w:sz w:val="24"/>
                <w:szCs w:val="24"/>
                <w:lang w:val="en-US" w:eastAsia="zh-CN"/>
              </w:rPr>
              <w:t>；</w:t>
            </w:r>
            <w:r>
              <w:rPr>
                <w:rFonts w:hint="default" w:eastAsia="宋体"/>
                <w:b w:val="0"/>
                <w:bCs w:val="0"/>
                <w:sz w:val="24"/>
                <w:szCs w:val="24"/>
                <w:lang w:val="en-US" w:eastAsia="zh-CN"/>
              </w:rPr>
              <w:t>设计车速</w:t>
            </w:r>
            <w:r>
              <w:rPr>
                <w:rFonts w:hint="eastAsia" w:eastAsia="宋体"/>
                <w:b w:val="0"/>
                <w:bCs w:val="0"/>
                <w:sz w:val="24"/>
                <w:szCs w:val="24"/>
                <w:lang w:val="en-US" w:eastAsia="zh-CN"/>
              </w:rPr>
              <w:t>：</w:t>
            </w:r>
            <w:r>
              <w:rPr>
                <w:rFonts w:hint="default" w:eastAsia="宋体"/>
                <w:b w:val="0"/>
                <w:bCs w:val="0"/>
                <w:sz w:val="24"/>
                <w:szCs w:val="24"/>
                <w:lang w:val="en-US" w:eastAsia="zh-CN"/>
              </w:rPr>
              <w:t>40km/h。</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eastAsia="宋体"/>
                <w:b w:val="0"/>
                <w:bCs w:val="0"/>
                <w:sz w:val="24"/>
                <w:szCs w:val="24"/>
                <w:lang w:val="en-US" w:eastAsia="zh-CN"/>
              </w:rPr>
            </w:pPr>
            <w:r>
              <w:rPr>
                <w:rFonts w:hint="default" w:eastAsia="宋体"/>
                <w:b w:val="0"/>
                <w:bCs w:val="0"/>
                <w:sz w:val="24"/>
                <w:szCs w:val="24"/>
                <w:lang w:val="en-US" w:eastAsia="zh-CN"/>
              </w:rPr>
              <w:t>道路及场地路面结构如下</w:t>
            </w:r>
            <w:r>
              <w:rPr>
                <w:rFonts w:hint="eastAsia" w:eastAsia="宋体"/>
                <w:b w:val="0"/>
                <w:bCs w:val="0"/>
                <w:sz w:val="24"/>
                <w:szCs w:val="24"/>
                <w:lang w:val="en-US" w:eastAsia="zh-CN"/>
              </w:rPr>
              <w:t>：</w:t>
            </w:r>
            <w:r>
              <w:rPr>
                <w:rFonts w:hint="default" w:eastAsia="宋体"/>
                <w:b w:val="0"/>
                <w:bCs w:val="0"/>
                <w:sz w:val="24"/>
                <w:szCs w:val="24"/>
                <w:lang w:val="en-US" w:eastAsia="zh-CN"/>
              </w:rPr>
              <w:t>自上至下依次为</w:t>
            </w:r>
            <w:r>
              <w:rPr>
                <w:rFonts w:hint="eastAsia" w:eastAsia="宋体"/>
                <w:b w:val="0"/>
                <w:bCs w:val="0"/>
                <w:sz w:val="24"/>
                <w:szCs w:val="24"/>
                <w:lang w:val="en-US" w:eastAsia="zh-CN"/>
              </w:rPr>
              <w:t>：</w:t>
            </w:r>
            <w:r>
              <w:rPr>
                <w:rFonts w:hint="default" w:eastAsia="宋体"/>
                <w:b w:val="0"/>
                <w:bCs w:val="0"/>
                <w:sz w:val="24"/>
                <w:szCs w:val="24"/>
                <w:lang w:val="en-US" w:eastAsia="zh-CN"/>
              </w:rPr>
              <w:t>3.5cm厚细粒式沥青混凝土上面层(AC-13C)，4.5cm厚中粒式沥青混凝土上面层(AC-16C)，20cm4%水泥稳定砂砾北层35cm天然砂砾底其层</w:t>
            </w:r>
          </w:p>
          <w:p>
            <w:pPr>
              <w:keepNext w:val="0"/>
              <w:keepLines w:val="0"/>
              <w:pageBreakBefore w:val="0"/>
              <w:widowControl/>
              <w:kinsoku/>
              <w:wordWrap/>
              <w:overflowPunct/>
              <w:topLinePunct w:val="0"/>
              <w:autoSpaceDE/>
              <w:autoSpaceDN/>
              <w:bidi w:val="0"/>
              <w:adjustRightInd w:val="0"/>
              <w:snapToGrid w:val="0"/>
              <w:spacing w:line="360" w:lineRule="auto"/>
              <w:ind w:firstLine="420" w:firstLineChars="200"/>
              <w:textAlignment w:val="baseline"/>
              <w:rPr>
                <w:rFonts w:hint="default" w:ascii="Times New Roman" w:hAnsi="Times New Roman" w:eastAsia="宋体" w:cs="Times New Roman"/>
                <w:sz w:val="24"/>
                <w:szCs w:val="24"/>
                <w:lang w:val="en-US" w:eastAsia="zh-CN"/>
              </w:rPr>
            </w:pPr>
            <w:r>
              <w:drawing>
                <wp:inline distT="0" distB="0" distL="114300" distR="114300">
                  <wp:extent cx="5252085" cy="2289175"/>
                  <wp:effectExtent l="0" t="0" r="5715" b="158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5252085" cy="2289175"/>
                          </a:xfrm>
                          <a:prstGeom prst="rect">
                            <a:avLst/>
                          </a:prstGeom>
                          <a:noFill/>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bCs/>
                <w:spacing w:val="18"/>
                <w:sz w:val="24"/>
                <w:szCs w:val="24"/>
                <w:lang w:val="en-US" w:eastAsia="zh-CN"/>
              </w:rPr>
            </w:pPr>
            <w:r>
              <w:rPr>
                <w:rFonts w:hint="default" w:ascii="Times New Roman" w:hAnsi="Times New Roman" w:eastAsia="宋体" w:cs="Times New Roman"/>
                <w:b/>
                <w:bCs/>
                <w:spacing w:val="18"/>
                <w:sz w:val="24"/>
                <w:szCs w:val="24"/>
                <w:lang w:val="en-US" w:eastAsia="zh-CN"/>
              </w:rPr>
              <w:t>图5.</w:t>
            </w:r>
            <w:r>
              <w:rPr>
                <w:rFonts w:hint="eastAsia" w:ascii="Times New Roman" w:hAnsi="Times New Roman" w:eastAsia="宋体" w:cs="Times New Roman"/>
                <w:b/>
                <w:bCs/>
                <w:spacing w:val="18"/>
                <w:sz w:val="24"/>
                <w:szCs w:val="24"/>
                <w:lang w:val="en-US" w:eastAsia="zh-CN"/>
              </w:rPr>
              <w:t xml:space="preserve">3 </w:t>
            </w:r>
            <w:r>
              <w:rPr>
                <w:rFonts w:hint="default" w:ascii="Times New Roman" w:hAnsi="Times New Roman" w:eastAsia="宋体" w:cs="Times New Roman"/>
                <w:b/>
                <w:bCs/>
                <w:spacing w:val="18"/>
                <w:sz w:val="24"/>
                <w:szCs w:val="24"/>
                <w:lang w:val="en-US" w:eastAsia="zh-CN"/>
              </w:rPr>
              <w:t xml:space="preserve">   </w:t>
            </w:r>
            <w:r>
              <w:rPr>
                <w:rFonts w:hint="eastAsia" w:eastAsia="宋体"/>
                <w:b/>
                <w:bCs/>
                <w:sz w:val="24"/>
                <w:szCs w:val="24"/>
                <w:lang w:val="en-US" w:eastAsia="zh-CN"/>
              </w:rPr>
              <w:t>华山路、光伏大道和安通大街横断面设计方案</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eastAsia"/>
                <w:sz w:val="24"/>
                <w:szCs w:val="24"/>
                <w:lang w:val="en-US" w:eastAsia="zh-CN"/>
              </w:rPr>
            </w:pPr>
            <w:r>
              <w:rPr>
                <w:rFonts w:hint="eastAsia"/>
                <w:sz w:val="24"/>
                <w:szCs w:val="24"/>
                <w:lang w:val="en-US" w:eastAsia="zh-CN"/>
              </w:rPr>
              <w:t>（4）联运街新建工程(奎东特色产业园区)和东边街新建工程(奎东特色产业园区)</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sz w:val="24"/>
                <w:szCs w:val="24"/>
                <w:lang w:val="en-US" w:eastAsia="zh-CN"/>
              </w:rPr>
            </w:pPr>
            <w:r>
              <w:rPr>
                <w:rFonts w:hint="default"/>
                <w:sz w:val="24"/>
                <w:szCs w:val="24"/>
                <w:lang w:val="en-US" w:eastAsia="zh-CN"/>
              </w:rPr>
              <w:t>新建联运街1.6km、新建东边街0.15km，道路红线均为80m。新建道路为三幅路型式，道路中间为16.0m宽的机动车道，两侧依次为2X3.0m宽的绿化带，2X5.0m宽的人非混行道，2X14.0m宽的防护林带，道路绿化率为28.3%。16m宽的机动车道设置为双向四车道，两侧路缘带均为0.25m宽，车行道分为3.75mX4。道路等级</w:t>
            </w:r>
            <w:r>
              <w:rPr>
                <w:rFonts w:hint="eastAsia"/>
                <w:sz w:val="24"/>
                <w:szCs w:val="24"/>
                <w:lang w:val="en-US" w:eastAsia="zh-CN"/>
              </w:rPr>
              <w:t>：</w:t>
            </w:r>
            <w:r>
              <w:rPr>
                <w:rFonts w:hint="default"/>
                <w:sz w:val="24"/>
                <w:szCs w:val="24"/>
                <w:lang w:val="en-US" w:eastAsia="zh-CN"/>
              </w:rPr>
              <w:t>内部道路;设计车速</w:t>
            </w:r>
            <w:r>
              <w:rPr>
                <w:rFonts w:hint="eastAsia"/>
                <w:sz w:val="24"/>
                <w:szCs w:val="24"/>
                <w:lang w:val="en-US" w:eastAsia="zh-CN"/>
              </w:rPr>
              <w:t>：</w:t>
            </w:r>
            <w:r>
              <w:rPr>
                <w:rFonts w:hint="default"/>
                <w:sz w:val="24"/>
                <w:szCs w:val="24"/>
                <w:lang w:val="en-US" w:eastAsia="zh-CN"/>
              </w:rPr>
              <w:t>40km/h。</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sz w:val="24"/>
                <w:szCs w:val="24"/>
                <w:lang w:val="en-US" w:eastAsia="zh-CN"/>
              </w:rPr>
            </w:pPr>
            <w:r>
              <w:rPr>
                <w:rFonts w:hint="default"/>
                <w:sz w:val="24"/>
                <w:szCs w:val="24"/>
                <w:lang w:val="en-US" w:eastAsia="zh-CN"/>
              </w:rPr>
              <w:t>道路及场地路面结构如下</w:t>
            </w:r>
            <w:r>
              <w:rPr>
                <w:rFonts w:hint="eastAsia"/>
                <w:sz w:val="24"/>
                <w:szCs w:val="24"/>
                <w:lang w:val="en-US" w:eastAsia="zh-CN"/>
              </w:rPr>
              <w:t>：</w:t>
            </w:r>
            <w:r>
              <w:rPr>
                <w:rFonts w:hint="default"/>
                <w:sz w:val="24"/>
                <w:szCs w:val="24"/>
                <w:lang w:val="en-US" w:eastAsia="zh-CN"/>
              </w:rPr>
              <w:t>自上至下依次为</w:t>
            </w:r>
            <w:r>
              <w:rPr>
                <w:rFonts w:hint="eastAsia"/>
                <w:sz w:val="24"/>
                <w:szCs w:val="24"/>
                <w:lang w:val="en-US" w:eastAsia="zh-CN"/>
              </w:rPr>
              <w:t>：</w:t>
            </w:r>
            <w:r>
              <w:rPr>
                <w:rFonts w:hint="default"/>
                <w:sz w:val="24"/>
                <w:szCs w:val="24"/>
                <w:lang w:val="en-US" w:eastAsia="zh-CN"/>
              </w:rPr>
              <w:t>3.5cm厚细粒式沥青混凝土上面层(AC-13C)，4.5cm厚中粒式沥青混凝土上面层(AC-16C)，20cm4%水泥稳定砂砾基层，35cm天然砂砾底基层。</w:t>
            </w:r>
          </w:p>
          <w:p>
            <w:pPr>
              <w:keepNext w:val="0"/>
              <w:keepLines w:val="0"/>
              <w:pageBreakBefore w:val="0"/>
              <w:widowControl/>
              <w:kinsoku/>
              <w:wordWrap/>
              <w:overflowPunct/>
              <w:topLinePunct w:val="0"/>
              <w:autoSpaceDE/>
              <w:autoSpaceDN/>
              <w:bidi w:val="0"/>
              <w:adjustRightInd w:val="0"/>
              <w:snapToGrid w:val="0"/>
              <w:spacing w:line="360" w:lineRule="auto"/>
              <w:ind w:firstLine="420" w:firstLineChars="200"/>
              <w:textAlignment w:val="baseline"/>
            </w:pPr>
            <w:r>
              <w:drawing>
                <wp:inline distT="0" distB="0" distL="114300" distR="114300">
                  <wp:extent cx="4772025" cy="25717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9"/>
                          <a:stretch>
                            <a:fillRect/>
                          </a:stretch>
                        </pic:blipFill>
                        <pic:spPr>
                          <a:xfrm>
                            <a:off x="0" y="0"/>
                            <a:ext cx="4772025" cy="2571750"/>
                          </a:xfrm>
                          <a:prstGeom prst="rect">
                            <a:avLst/>
                          </a:prstGeom>
                          <a:noFill/>
                          <a:ln>
                            <a:noFill/>
                          </a:ln>
                        </pic:spPr>
                      </pic:pic>
                    </a:graphicData>
                  </a:graphic>
                </wp:inline>
              </w:drawing>
            </w:r>
          </w:p>
          <w:p>
            <w:pPr>
              <w:keepNext w:val="0"/>
              <w:keepLines w:val="0"/>
              <w:pageBreakBefore w:val="0"/>
              <w:widowControl/>
              <w:kinsoku w:val="0"/>
              <w:wordWrap/>
              <w:overflowPunct/>
              <w:topLinePunct w:val="0"/>
              <w:autoSpaceDE w:val="0"/>
              <w:autoSpaceDN w:val="0"/>
              <w:bidi w:val="0"/>
              <w:adjustRightInd/>
              <w:snapToGrid/>
              <w:spacing w:line="240" w:lineRule="auto"/>
              <w:jc w:val="center"/>
              <w:textAlignment w:val="baseline"/>
              <w:rPr>
                <w:rFonts w:hint="default" w:ascii="Times New Roman" w:hAnsi="Times New Roman" w:eastAsia="宋体" w:cs="Times New Roman"/>
                <w:b/>
                <w:bCs/>
                <w:spacing w:val="18"/>
                <w:sz w:val="24"/>
                <w:szCs w:val="24"/>
                <w:lang w:val="en-US" w:eastAsia="zh-CN"/>
              </w:rPr>
            </w:pPr>
            <w:r>
              <w:rPr>
                <w:rFonts w:hint="default" w:ascii="Times New Roman" w:hAnsi="Times New Roman" w:eastAsia="宋体" w:cs="Times New Roman"/>
                <w:b/>
                <w:bCs/>
                <w:spacing w:val="18"/>
                <w:sz w:val="24"/>
                <w:szCs w:val="24"/>
                <w:lang w:val="en-US" w:eastAsia="zh-CN"/>
              </w:rPr>
              <w:t>图5.</w:t>
            </w:r>
            <w:r>
              <w:rPr>
                <w:rFonts w:hint="eastAsia" w:ascii="Times New Roman" w:hAnsi="Times New Roman" w:eastAsia="宋体" w:cs="Times New Roman"/>
                <w:b/>
                <w:bCs/>
                <w:spacing w:val="18"/>
                <w:sz w:val="24"/>
                <w:szCs w:val="24"/>
                <w:lang w:val="en-US" w:eastAsia="zh-CN"/>
              </w:rPr>
              <w:t xml:space="preserve">4 </w:t>
            </w:r>
            <w:r>
              <w:rPr>
                <w:rFonts w:hint="default" w:ascii="Times New Roman" w:hAnsi="Times New Roman" w:eastAsia="宋体" w:cs="Times New Roman"/>
                <w:b/>
                <w:bCs/>
                <w:spacing w:val="18"/>
                <w:sz w:val="24"/>
                <w:szCs w:val="24"/>
                <w:lang w:val="en-US" w:eastAsia="zh-CN"/>
              </w:rPr>
              <w:t xml:space="preserve"> </w:t>
            </w:r>
            <w:r>
              <w:rPr>
                <w:rFonts w:hint="eastAsia" w:ascii="Times New Roman" w:hAnsi="Times New Roman" w:eastAsia="宋体" w:cs="Times New Roman"/>
                <w:b/>
                <w:bCs/>
                <w:spacing w:val="18"/>
                <w:sz w:val="24"/>
                <w:szCs w:val="24"/>
                <w:lang w:val="en-US" w:eastAsia="zh-CN"/>
              </w:rPr>
              <w:t xml:space="preserve"> </w:t>
            </w:r>
            <w:r>
              <w:rPr>
                <w:rFonts w:hint="eastAsia"/>
                <w:b/>
                <w:bCs/>
                <w:sz w:val="24"/>
                <w:szCs w:val="24"/>
                <w:lang w:val="en-US" w:eastAsia="zh-CN"/>
              </w:rPr>
              <w:t>联运街和东边街</w:t>
            </w:r>
            <w:r>
              <w:rPr>
                <w:rFonts w:hint="eastAsia" w:eastAsia="宋体"/>
                <w:b/>
                <w:bCs/>
                <w:sz w:val="24"/>
                <w:szCs w:val="24"/>
                <w:lang w:val="en-US" w:eastAsia="zh-CN"/>
              </w:rPr>
              <w:t>横断面设计方案</w:t>
            </w:r>
          </w:p>
          <w:p>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560" w:firstLineChars="200"/>
              <w:textAlignment w:val="baseline"/>
              <w:rPr>
                <w:rFonts w:hint="default"/>
                <w:lang w:val="en-US" w:eastAsia="zh-CN"/>
              </w:rPr>
            </w:pPr>
            <w:r>
              <w:rPr>
                <w:rFonts w:hint="eastAsia"/>
                <w:lang w:val="en-US" w:eastAsia="zh-CN"/>
              </w:rPr>
              <w:t>5.5.2排水管线</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北一区排水现状</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奎屯-独山子经济技术开发区总体规划(2012-2030)》，经开区北一区工业废水排放至奎屯市东区污水处理厂处理。奎屯市东区污水处理厂位于奎屯市东郊公路以北，玛依涛路以西，巴志托朗格路以东的地块内。规模为6万m</w:t>
            </w:r>
            <w:r>
              <w:rPr>
                <w:rFonts w:hint="default" w:ascii="Times New Roman" w:hAnsi="Times New Roman" w:eastAsia="宋体" w:cs="Times New Roman"/>
                <w:sz w:val="24"/>
                <w:szCs w:val="24"/>
                <w:vertAlign w:val="superscript"/>
                <w:lang w:val="en-US" w:eastAsia="zh-CN"/>
              </w:rPr>
              <w:t>3</w:t>
            </w:r>
            <w:r>
              <w:rPr>
                <w:rFonts w:hint="default" w:ascii="Times New Roman" w:hAnsi="Times New Roman" w:eastAsia="宋体" w:cs="Times New Roman"/>
                <w:sz w:val="24"/>
                <w:szCs w:val="24"/>
                <w:lang w:val="en-US" w:eastAsia="zh-CN"/>
              </w:rPr>
              <w:t>/d，处理工艺为水解+A/O工艺，出水水质可以满足《城镇污水处理厂污染物排放标准》(GB18918-2002)中的一级B标准。</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排水管线建设内容</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在北一区仓储区兰干路新建排水管线1.1km，所采用管材为聚乙烯缠绕结构壁管。污水管道管径DN600，管道起点埋深为2.0m。兰干路为东西向道路，污水管道布置在道路南侧。排水管线收纳的污水最终排入东区污水处理厂。</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基础处理</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对于一般地基(f≥100KPa)，采用100mm粗砂基础</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对软土地基或有地下水地基，采用下层200mm碎石垫层上层100mm砂垫层基础。</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5.2.3路肩改造工程</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对库尔勒路(迎宾大道一沙湾街)路肩进行改造，改造规模为0.24万m²。库尔勒路为园区内部道路，设计时速40km/h。原有路肩为硬路肩，宽度为2米X2，表面铺设花砖。由于使用时间较长，路肩破损严重，需要重新改造。</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改造后路肩仍为硬路肩，宽度为2米X2，表面铺设花砖。自上至下依次为：花砖上面层，20cm砂垫层、22cm混凝土垫层、35cm天然砂砾底基层。</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5.2.</w:t>
            </w: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lang w:val="en-US" w:eastAsia="zh-CN"/>
              </w:rPr>
              <w:t>绿化、林床改造工程</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（1）工程规模</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本项目对迎宾大道道路两侧的绿化带及林床进行改造，改造面积为9.2万m</w:t>
            </w:r>
            <w:r>
              <w:rPr>
                <w:rFonts w:hint="default" w:ascii="Times New Roman" w:hAnsi="Times New Roman" w:eastAsia="宋体" w:cs="Times New Roman"/>
                <w:sz w:val="24"/>
                <w:szCs w:val="24"/>
                <w:vertAlign w:val="superscript"/>
                <w:lang w:val="en-US" w:eastAsia="zh-CN"/>
              </w:rPr>
              <w:t>2</w:t>
            </w:r>
            <w:r>
              <w:rPr>
                <w:rFonts w:hint="default" w:ascii="Times New Roman" w:hAnsi="Times New Roman" w:eastAsia="宋体" w:cs="Times New Roman"/>
                <w:sz w:val="24"/>
                <w:szCs w:val="24"/>
                <w:lang w:val="en-US" w:eastAsia="zh-CN"/>
              </w:rPr>
              <w:t>。原有道路旁林床内仅为单一草坪，改造后为常青树、乔木、灌木及草坪相结合的绿化景观。</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（2）树种规划原则</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树冠冠幅大，树叶密;抗性强</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寿命长</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深根性</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病虫害少;耐修剪</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落果少、无飞絮</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发芽早、落叶晚。</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绿化带以修剪造型灌木造景为主，满足行车视线通敞和绿化造景需要，人行道外侧的绿化带设计整体协调统一,绿化带局部线形根据实际情况进行变化，种植设计为乔、灌木和地被植物的复合结构，乔木品种选择白蜡、圆冠榆、大叶榆、刺槐，小乔木选择火炬、山桃、红海棠、山楂、暴马丁香、桃叶卫矛;花灌木选择紫丁香、重瓣榆叶梅、紫穗槐和红瑞木、金银木等，常青树选择樟子松、云杉，造型植物选择红叶小檗、水蜡和多年生宿根花卉如地被石竹、绿化菊、荷兰菊、萱草、鸢尾等。其中草坪选择黑麦草、早熟禾和高羊茅混播草坪。种植土换填草坪要求土层厚度30cm，灌木种植要求土层厚度60~90cm，乔木种植要求土层厚度120~150cm。</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（3）树种选择</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长青树</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樟子松。</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乔木</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大叶白蜡、长枝榆、圆灌榆、大叶榆、黄榆、裂叶榆、胡杨、白榆。</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灌木</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紫穗槐、白榆(绿篱)、紫丁香、重瓣榆叶梅、沙枣。</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sz w:val="24"/>
                <w:szCs w:val="24"/>
                <w:lang w:val="en-US" w:eastAsia="zh-CN"/>
              </w:rPr>
            </w:pPr>
            <w:r>
              <w:rPr>
                <w:rFonts w:hint="eastAsia"/>
                <w:sz w:val="24"/>
                <w:szCs w:val="24"/>
                <w:lang w:val="en-US" w:eastAsia="zh-CN"/>
              </w:rPr>
              <w:t>（4）灌木系统</w:t>
            </w:r>
          </w:p>
          <w:p>
            <w:pPr>
              <w:pStyle w:val="2"/>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sz w:val="24"/>
                <w:szCs w:val="24"/>
                <w:lang w:val="en-US" w:eastAsia="zh-CN"/>
              </w:rPr>
              <w:t>本项目道路绿化建设采用市政饮用水及中水进行灌溉的方式。在绿化管线与市政管线对接处均需加设防污隔断阀及水表井防止绿化用水回流市政供水管</w:t>
            </w:r>
            <w:r>
              <w:rPr>
                <w:rFonts w:hint="default" w:ascii="Times New Roman" w:hAnsi="Times New Roman" w:eastAsia="宋体" w:cs="Times New Roman"/>
                <w:sz w:val="24"/>
                <w:szCs w:val="24"/>
                <w:lang w:val="en-US" w:eastAsia="zh-CN"/>
              </w:rPr>
              <w:t>线污染市政用水。考虑绿化用水量较大，市政管线及水井泵站负荷过重的因素，绿化灌溉采用分片区轮灌的方式分时段灌溉。</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本项目绿化灌溉工程通过先进的灌溉节水技术，将采用分时段分片区轮换灌溉的方式对道路绿地进行灌溉，从而有效减少整个项目区及周边生活、工业用水压力。净灌溉定额590m/亩，总灌溉用水量约8.14万m</w:t>
            </w:r>
            <w:r>
              <w:rPr>
                <w:rFonts w:hint="default" w:ascii="Times New Roman" w:hAnsi="Times New Roman" w:eastAsia="宋体" w:cs="Times New Roman"/>
                <w:sz w:val="24"/>
                <w:szCs w:val="24"/>
                <w:vertAlign w:val="superscript"/>
                <w:lang w:val="en-US" w:eastAsia="zh-CN"/>
              </w:rPr>
              <w:t>3</w:t>
            </w:r>
            <w:r>
              <w:rPr>
                <w:rFonts w:hint="default" w:ascii="Times New Roman" w:hAnsi="Times New Roman" w:eastAsia="宋体" w:cs="Times New Roman"/>
                <w:sz w:val="24"/>
                <w:szCs w:val="24"/>
                <w:lang w:val="en-US" w:eastAsia="zh-CN"/>
              </w:rPr>
              <w:t>。灌溉管网分为干管、毛管、支管和三个级别。</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5.5.5</w:t>
            </w:r>
            <w:r>
              <w:rPr>
                <w:rFonts w:hint="default" w:ascii="Times New Roman" w:hAnsi="Times New Roman" w:eastAsia="宋体" w:cs="Times New Roman"/>
                <w:sz w:val="24"/>
                <w:szCs w:val="24"/>
                <w:lang w:val="en-US" w:eastAsia="zh-CN"/>
              </w:rPr>
              <w:t>亮灯系统</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val="en-US" w:eastAsia="zh-CN"/>
              </w:rPr>
              <w:t>工程内容</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本项目在北一区迎宾大道安装亮化路灯320盏。</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lang w:val="en-US" w:eastAsia="zh-CN"/>
              </w:rPr>
              <w:t>配电系统</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路灯负荷供电等级为三级，道路全线设有预装式路灯变电站，由园区内开闭所引出独立的10kV线路采用环网式供电给各个预装式路灯变电站。路灯采用等距离供电,预装式路灯变电站低压供电半径及电缆电压损失满足规范要求。</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照明干线由预装式路灯变电站引出，采用铜芯TC90-1kV-电力电缆穿厚壁PVC-C保护管保护</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埋深地坪下0.7m。每一回路采用三相间隔配电(即</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L1，L2，L3,L1，L2.....依次类推)。</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lang w:val="en-US" w:eastAsia="zh-CN"/>
              </w:rPr>
              <w:t>光源和灯具的选择</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北一区道路照明光源主干路采用NG250W+NG150高压钠灯</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次干路采用NG250W+NG150高压钠灯，灯杆高度为8~10m，灯具均选用截光型。</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lang w:val="en-US" w:eastAsia="zh-CN"/>
              </w:rPr>
              <w:t>灯具布置</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路灯设计道路双侧对称布置，采用常规照明方式，灯具配光类型为截光型，路灯安装高度为8~10m</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路灯安装间距为30m</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灯具的悬挑长度为0.6~1.5m</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仰角&lt;5°。</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lang w:val="en-US" w:eastAsia="zh-CN"/>
              </w:rPr>
              <w:t>防雷及接地</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(1)预装式路灯变电站供电照明灯具的配电系统为TT接地系统，箱变接地电阻≤4Ω。</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(2)灯具均设置独立的接地装置(每灯一根接地极)，采用热镀锌角钢做接地极，接地电阻R≤10Q。若实测达不到接地阻值要求时，可增加接地极根数或加降阻剂使其满足要求。</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(3)所有电气设备金属外壳、穿线钢管、电缆金属外皮均可靠接地。</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5.5</w:t>
            </w:r>
            <w:r>
              <w:rPr>
                <w:rFonts w:hint="default" w:ascii="Times New Roman" w:hAnsi="Times New Roman" w:eastAsia="宋体" w:cs="Times New Roman"/>
                <w:sz w:val="24"/>
                <w:szCs w:val="24"/>
                <w:lang w:val="en-US" w:eastAsia="zh-CN"/>
              </w:rPr>
              <w:t>.6电力线路迁建</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本项目在兴业路迁建电力线路4.081km，迁建前为110kv电力线路，位于兴业路中间。起点位于兴业路和迎宾大道路口，终点位于哈密街和兴业路路口。</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迁建工程是将电力线路从兴业路路中迁建至兴业路路边</w:t>
            </w:r>
            <w:r>
              <w:rPr>
                <w:rFonts w:hint="eastAsia" w:ascii="Times New Roman" w:hAnsi="Times New Roman" w:eastAsia="宋体" w:cs="Times New Roman"/>
                <w:sz w:val="24"/>
                <w:szCs w:val="24"/>
                <w:lang w:val="en-US" w:eastAsia="zh-CN"/>
              </w:rPr>
              <w:t>，</w:t>
            </w:r>
            <w:r>
              <w:rPr>
                <w:rFonts w:hint="default" w:ascii="Times New Roman" w:hAnsi="Times New Roman" w:eastAsia="宋体" w:cs="Times New Roman"/>
                <w:sz w:val="24"/>
                <w:szCs w:val="24"/>
                <w:lang w:val="en-US" w:eastAsia="zh-CN"/>
              </w:rPr>
              <w:t>电力线路的电压、线路长度不变，迁建工程包括杆塔40个。</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pPr>
              <w:keepNext w:val="0"/>
              <w:keepLines w:val="0"/>
              <w:pageBreakBefore w:val="0"/>
              <w:widowControl/>
              <w:suppressLineNumbers w:val="0"/>
              <w:kinsoku w:val="0"/>
              <w:wordWrap w:val="0"/>
              <w:overflowPunct/>
              <w:topLinePunct/>
              <w:autoSpaceDE w:val="0"/>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奎屯-独山子经济技术开发区内。其中道路工程分布在北一区、北二区和奎东特色产业园区内，其余排水管线、路肩改造、绿化林床改造、亮化路灯、电力线路改迁工程均位于北一区内。</w:t>
            </w:r>
          </w:p>
          <w:p>
            <w:pPr>
              <w:keepNext w:val="0"/>
              <w:keepLines w:val="0"/>
              <w:pageBreakBefore w:val="0"/>
              <w:widowControl/>
              <w:suppressLineNumbers w:val="0"/>
              <w:kinsoku w:val="0"/>
              <w:wordWrap w:val="0"/>
              <w:overflowPunct/>
              <w:topLinePunct/>
              <w:autoSpaceDE w:val="0"/>
              <w:autoSpaceDN/>
              <w:bidi w:val="0"/>
              <w:adjustRightInd w:val="0"/>
              <w:snapToGrid w:val="0"/>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napToGrid w:val="0"/>
                <w:color w:val="000000"/>
                <w:kern w:val="0"/>
                <w:sz w:val="24"/>
                <w:szCs w:val="24"/>
                <w:lang w:val="en-US" w:eastAsia="zh-CN" w:bidi="ar"/>
              </w:rPr>
              <w:t>建设规模：道路工程17.52km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供排水管线1.1km</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路肩改造0.24万m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default" w:ascii="Times New Roman" w:hAnsi="Times New Roman" w:eastAsia="宋体" w:cs="Times New Roman"/>
                <w:snapToGrid w:val="0"/>
                <w:color w:val="000000"/>
                <w:kern w:val="0"/>
                <w:sz w:val="24"/>
                <w:szCs w:val="24"/>
                <w:lang w:val="en-US" w:eastAsia="zh-CN" w:bidi="ar"/>
              </w:rPr>
              <w:t>、绿化、林床改造项目建设9.2万m</w:t>
            </w:r>
            <w:r>
              <w:rPr>
                <w:rFonts w:hint="default" w:ascii="Times New Roman" w:hAnsi="Times New Roman" w:eastAsia="宋体" w:cs="Times New Roman"/>
                <w:snapToGrid w:val="0"/>
                <w:color w:val="000000"/>
                <w:kern w:val="0"/>
                <w:sz w:val="24"/>
                <w:szCs w:val="24"/>
                <w:vertAlign w:val="superscript"/>
                <w:lang w:val="en-US" w:eastAsia="zh-CN" w:bidi="ar"/>
              </w:rPr>
              <w:t>2</w:t>
            </w: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亮化路灯320盏项目；电力线路改迁建设4.081km。</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pPr>
              <w:keepNext w:val="0"/>
              <w:keepLines w:val="0"/>
              <w:pageBreakBefore w:val="0"/>
              <w:widowControl/>
              <w:kinsoku/>
              <w:wordWrap/>
              <w:overflowPunct/>
              <w:topLinePunct w:val="0"/>
              <w:autoSpaceDE/>
              <w:autoSpaceDN/>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根据环评报告表，本项目总投资</w:t>
            </w:r>
            <w:r>
              <w:rPr>
                <w:rFonts w:hint="eastAsia" w:ascii="Times New Roman" w:hAnsi="Times New Roman" w:eastAsia="宋体" w:cs="Times New Roman"/>
                <w:spacing w:val="18"/>
                <w:sz w:val="24"/>
                <w:szCs w:val="24"/>
                <w:lang w:val="en-US" w:eastAsia="zh-CN"/>
              </w:rPr>
              <w:t>16098</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1385</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8.6</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16098</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1385</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8.6</w:t>
            </w:r>
            <w:r>
              <w:rPr>
                <w:rFonts w:hint="default" w:ascii="Times New Roman" w:hAnsi="Times New Roman" w:eastAsia="宋体" w:cs="Times New Roman"/>
                <w:spacing w:val="18"/>
                <w:sz w:val="24"/>
                <w:szCs w:val="24"/>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项目环保投资主要用于水土保持、废水、废气、噪声治理、固废处置等环保措施。</w:t>
            </w:r>
          </w:p>
          <w:p>
            <w:pPr>
              <w:keepNext w:val="0"/>
              <w:keepLines w:val="0"/>
              <w:pageBreakBefore w:val="0"/>
              <w:widowControl/>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1"/>
                <w:szCs w:val="21"/>
              </w:rPr>
            </w:pPr>
          </w:p>
        </w:tc>
      </w:tr>
    </w:tbl>
    <w:p>
      <w:pPr>
        <w:rPr>
          <w:rFonts w:hint="default" w:ascii="Times New Roman" w:hAnsi="Times New Roman" w:cs="Times New Roman"/>
        </w:rPr>
        <w:sectPr>
          <w:footerReference r:id="rId10"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10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2704" w:hRule="atLeast"/>
        </w:trPr>
        <w:tc>
          <w:tcPr>
            <w:tcW w:w="9104" w:type="dxa"/>
            <w:vAlign w:val="top"/>
          </w:tcPr>
          <w:p>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3"/>
                <w:sz w:val="24"/>
                <w:szCs w:val="24"/>
                <w:lang w:val="en-US" w:eastAsia="zh-CN"/>
              </w:rPr>
              <w:t>1）</w:t>
            </w:r>
            <w:r>
              <w:rPr>
                <w:rFonts w:hint="default" w:ascii="Times New Roman" w:hAnsi="Times New Roman" w:eastAsia="宋体" w:cs="Times New Roman"/>
                <w:spacing w:val="2"/>
                <w:sz w:val="24"/>
                <w:szCs w:val="24"/>
              </w:rPr>
              <w:t>水环境影响</w:t>
            </w: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480" w:firstLineChars="200"/>
              <w:jc w:val="both"/>
              <w:textAlignment w:val="auto"/>
              <w:outlineLvl w:val="9"/>
              <w:rPr>
                <w:rFonts w:hint="default" w:ascii="Times New Roman" w:hAnsi="Times New Roman" w:cs="Times New Roman"/>
                <w:color w:val="auto"/>
              </w:rPr>
            </w:pPr>
            <w:r>
              <w:rPr>
                <w:rFonts w:hint="default" w:ascii="Times New Roman" w:hAnsi="Times New Roman" w:eastAsia="宋体" w:cs="Times New Roman"/>
                <w:color w:val="auto"/>
                <w:sz w:val="24"/>
                <w:shd w:val="clear" w:color="auto" w:fill="auto"/>
              </w:rPr>
              <w:t>施工场地废水主要为</w:t>
            </w:r>
            <w:r>
              <w:rPr>
                <w:rFonts w:hint="default" w:ascii="Times New Roman" w:hAnsi="Times New Roman" w:eastAsia="宋体" w:cs="Times New Roman"/>
                <w:color w:val="auto"/>
                <w:sz w:val="24"/>
                <w:shd w:val="clear" w:color="auto" w:fill="auto"/>
                <w:lang w:val="en-US" w:eastAsia="zh-CN"/>
              </w:rPr>
              <w:t>砂石料冲洗废水、施工场地冲洗废水、运输车辆冲洗废水等。</w:t>
            </w:r>
          </w:p>
          <w:p>
            <w:pPr>
              <w:pStyle w:val="22"/>
              <w:keepNext w:val="0"/>
              <w:keepLines w:val="0"/>
              <w:pageBreakBefore w:val="0"/>
              <w:widowControl/>
              <w:kinsoku/>
              <w:wordWrap/>
              <w:overflowPunct/>
              <w:topLinePunct w:val="0"/>
              <w:autoSpaceDE/>
              <w:autoSpaceDN/>
              <w:bidi w:val="0"/>
              <w:adjustRightInd/>
              <w:snapToGrid/>
              <w:spacing w:line="360" w:lineRule="auto"/>
              <w:ind w:left="0" w:leftChars="0" w:right="0" w:rightChars="0" w:firstLine="552" w:firstLineChars="200"/>
              <w:jc w:val="both"/>
              <w:textAlignment w:val="auto"/>
              <w:outlineLvl w:val="9"/>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主要采取如下治理措施：本项目施工场地废水</w:t>
            </w:r>
            <w:r>
              <w:rPr>
                <w:rFonts w:hint="default" w:ascii="Times New Roman" w:hAnsi="Times New Roman" w:cs="Times New Roman"/>
                <w:color w:val="000000"/>
                <w:sz w:val="24"/>
                <w:szCs w:val="22"/>
              </w:rPr>
              <w:t>要为砂石料冲洗水及车辆机械冲洗水等。</w:t>
            </w:r>
            <w:r>
              <w:rPr>
                <w:rFonts w:hint="default" w:ascii="Times New Roman" w:hAnsi="Times New Roman" w:eastAsia="宋体" w:cs="Times New Roman"/>
                <w:color w:val="000000"/>
                <w:sz w:val="24"/>
                <w:szCs w:val="22"/>
                <w:lang w:val="en-US" w:eastAsia="zh-CN"/>
              </w:rPr>
              <w:t>施工废水由沉淀池收集，经沉淀除渣等处理后回用施工生产和洒水降尘，不外排</w:t>
            </w:r>
            <w:r>
              <w:rPr>
                <w:rFonts w:hint="default" w:ascii="Times New Roman" w:hAnsi="Times New Roman" w:eastAsia="宋体" w:cs="Times New Roman"/>
                <w:color w:val="000000"/>
                <w:sz w:val="24"/>
                <w:szCs w:val="24"/>
                <w:lang w:val="en-US" w:eastAsia="zh-CN"/>
              </w:rPr>
              <w:t>。</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居住当地民房，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生活废水依托</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当地现有的</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排水设施</w:t>
            </w:r>
            <w:r>
              <w:rPr>
                <w:rFonts w:hint="default" w:ascii="Times New Roman" w:hAnsi="Times New Roman" w:eastAsia="宋体" w:cs="Times New Roman"/>
                <w:color w:val="000000"/>
                <w:sz w:val="24"/>
                <w:szCs w:val="24"/>
                <w:lang w:val="en-US" w:eastAsia="zh-CN"/>
              </w:rPr>
              <w:t>。施工废水和生活污水严禁排向渠道和水</w:t>
            </w:r>
            <w:r>
              <w:rPr>
                <w:rFonts w:hint="eastAsia" w:ascii="Times New Roman" w:hAnsi="Times New Roman" w:eastAsia="宋体" w:cs="Times New Roman"/>
                <w:color w:val="000000"/>
                <w:sz w:val="24"/>
                <w:szCs w:val="24"/>
                <w:lang w:val="en-US" w:eastAsia="zh-CN"/>
              </w:rPr>
              <w:t>体</w:t>
            </w:r>
            <w:r>
              <w:rPr>
                <w:rFonts w:hint="default" w:ascii="Times New Roman" w:hAnsi="Times New Roman" w:eastAsia="宋体" w:cs="Times New Roman"/>
                <w:color w:val="000000"/>
                <w:sz w:val="24"/>
                <w:szCs w:val="22"/>
                <w:lang w:val="en-US" w:eastAsia="zh-CN"/>
              </w:rPr>
              <w:t>。</w:t>
            </w:r>
            <w:r>
              <w:rPr>
                <w:rFonts w:hint="default" w:ascii="Times New Roman" w:hAnsi="Times New Roman" w:eastAsia="宋体" w:cs="Times New Roman"/>
                <w:spacing w:val="18"/>
                <w:sz w:val="24"/>
                <w:szCs w:val="24"/>
                <w:lang w:val="en-US" w:eastAsia="zh-CN"/>
              </w:rPr>
              <w:t>经采取上述措施后，可有效避免施工期废水对周围环境及保护目标造成影响。</w:t>
            </w:r>
          </w:p>
          <w:p>
            <w:pPr>
              <w:keepNext w:val="0"/>
              <w:keepLines w:val="0"/>
              <w:pageBreakBefore w:val="0"/>
              <w:widowControl/>
              <w:kinsoku/>
              <w:wordWrap/>
              <w:overflowPunct/>
              <w:topLinePunct w:val="0"/>
              <w:autoSpaceDE/>
              <w:autoSpaceDN/>
              <w:bidi w:val="0"/>
              <w:adjustRightInd/>
              <w:snapToGrid/>
              <w:spacing w:line="360" w:lineRule="auto"/>
              <w:ind w:lef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施工期对大气环境影响最大的是施工扬尘、机械废气。</w:t>
            </w:r>
          </w:p>
          <w:p>
            <w:pPr>
              <w:keepNext w:val="0"/>
              <w:keepLines w:val="0"/>
              <w:pageBreakBefore w:val="0"/>
              <w:widowControl w:val="0"/>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552"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spacing w:val="18"/>
                <w:sz w:val="24"/>
                <w:szCs w:val="24"/>
                <w:lang w:val="en-US" w:eastAsia="zh-CN"/>
              </w:rPr>
              <w:t>主要采取如下治理措施：</w:t>
            </w:r>
            <w:r>
              <w:rPr>
                <w:rFonts w:hint="default" w:ascii="Times New Roman" w:hAnsi="Times New Roman" w:eastAsia="宋体" w:cs="Times New Roman"/>
                <w:color w:val="auto"/>
                <w:sz w:val="24"/>
                <w:lang w:eastAsia="zh-CN"/>
              </w:rPr>
              <w:t>（</w:t>
            </w:r>
            <w:r>
              <w:rPr>
                <w:rFonts w:hint="default" w:ascii="Times New Roman" w:hAnsi="Times New Roman" w:eastAsia="宋体" w:cs="Times New Roman"/>
                <w:color w:val="auto"/>
                <w:sz w:val="24"/>
                <w:lang w:val="en-US" w:eastAsia="zh-CN"/>
              </w:rPr>
              <w:t>1</w:t>
            </w:r>
            <w:r>
              <w:rPr>
                <w:rFonts w:hint="default" w:ascii="Times New Roman" w:hAnsi="Times New Roman" w:eastAsia="宋体" w:cs="Times New Roman"/>
                <w:color w:val="auto"/>
                <w:sz w:val="24"/>
                <w:lang w:eastAsia="zh-CN"/>
              </w:rPr>
              <w:t>）合理设计材料运输路线，运输道路、施工现场定时洒水，每天至少两次（上、下班），在经过人员密集地区加强洒水密度和强度。</w:t>
            </w:r>
          </w:p>
          <w:p>
            <w:pPr>
              <w:keepNext w:val="0"/>
              <w:keepLines w:val="0"/>
              <w:pageBreakBefore w:val="0"/>
              <w:widowControl w:val="0"/>
              <w:numPr>
                <w:ilvl w:val="0"/>
                <w:numId w:val="3"/>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color w:val="auto"/>
                <w:sz w:val="24"/>
                <w:lang w:eastAsia="zh-CN"/>
              </w:rPr>
            </w:pPr>
            <w:r>
              <w:rPr>
                <w:rFonts w:hint="default" w:ascii="Times New Roman" w:hAnsi="Times New Roman" w:eastAsia="宋体" w:cs="Times New Roman"/>
                <w:color w:val="auto"/>
                <w:sz w:val="24"/>
                <w:lang w:eastAsia="zh-CN"/>
              </w:rPr>
              <w:t>运送散装含尘物料的车辆，用蓬布苫盖。</w:t>
            </w:r>
          </w:p>
          <w:p>
            <w:pPr>
              <w:keepNext w:val="0"/>
              <w:keepLines w:val="0"/>
              <w:pageBreakBefore w:val="0"/>
              <w:widowControl w:val="0"/>
              <w:numPr>
                <w:ilvl w:val="0"/>
                <w:numId w:val="0"/>
              </w:numPr>
              <w:tabs>
                <w:tab w:val="right" w:leader="dot" w:pos="8505"/>
              </w:tabs>
              <w:kinsoku/>
              <w:wordWrap/>
              <w:overflowPunct/>
              <w:topLinePunct w:val="0"/>
              <w:autoSpaceDE/>
              <w:autoSpaceDN/>
              <w:bidi w:val="0"/>
              <w:adjustRightInd/>
              <w:snapToGrid/>
              <w:spacing w:before="0" w:beforeLines="0" w:after="0" w:afterLines="0" w:line="360" w:lineRule="auto"/>
              <w:ind w:right="0" w:rightChars="0" w:firstLine="480" w:firstLineChars="200"/>
              <w:jc w:val="both"/>
              <w:textAlignment w:val="auto"/>
              <w:outlineLvl w:val="9"/>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color w:val="auto"/>
                <w:sz w:val="24"/>
                <w:lang w:val="en-US" w:eastAsia="zh-CN"/>
              </w:rPr>
              <w:t>（3）</w:t>
            </w:r>
            <w:r>
              <w:rPr>
                <w:rFonts w:hint="default" w:ascii="Times New Roman" w:hAnsi="Times New Roman" w:eastAsia="宋体" w:cs="Times New Roman"/>
                <w:color w:val="auto"/>
                <w:sz w:val="24"/>
                <w:lang w:eastAsia="zh-CN"/>
              </w:rPr>
              <w:t>施工作业相关要求如下：</w:t>
            </w:r>
            <w:r>
              <w:rPr>
                <w:rFonts w:hint="default" w:ascii="Times New Roman" w:hAnsi="Times New Roman" w:eastAsia="宋体" w:cs="Times New Roman"/>
                <w:color w:val="auto"/>
                <w:sz w:val="24"/>
                <w:lang w:eastAsia="zh-CN"/>
              </w:rPr>
              <w:t>①施工工地四周应当设置不低于</w:t>
            </w:r>
            <w:r>
              <w:rPr>
                <w:rFonts w:hint="default" w:ascii="Times New Roman" w:hAnsi="Times New Roman" w:eastAsia="宋体" w:cs="Times New Roman"/>
                <w:color w:val="auto"/>
                <w:sz w:val="24"/>
                <w:lang w:val="en-US" w:eastAsia="zh-CN"/>
              </w:rPr>
              <w:t>2.5</w:t>
            </w:r>
            <w:r>
              <w:rPr>
                <w:rFonts w:hint="default" w:ascii="Times New Roman" w:hAnsi="Times New Roman" w:eastAsia="宋体" w:cs="Times New Roman"/>
                <w:color w:val="auto"/>
                <w:sz w:val="24"/>
                <w:lang w:eastAsia="zh-CN"/>
              </w:rPr>
              <w:t>m的硬质密闭围挡，施工作业层外侧必须使用密目安全网进行封闭；②施工工地出口处应当设置冲洗设施以及配套的排水、泥浆沉淀设施，运输车辆驶出施工现场前应当将槽帮和车轮冲洗干净；③施工工地应当硬化并保持清洁；④施工工地内的散装物料、渣土和建筑垃圾应当遮盖或者在库房内存放，不在施工工地外堆放；运送过程采用密闭方式运输；⑤在易产生扬尘污染的施工过程中采取洒水或者喷淋等降尘措施；⑥地下管线施工开挖工程完工后应当在五日内完成土方回填，并恢复原状；⑦风速达到五级以上停止拆除建筑物、构筑物；⑧装卸、储存、堆放砂石、灰土等易产生扬尘的物质，采取喷淋、围挡、遮盖、密闭等有效防止扬尘的措施；运输时，使用密闭装置，防止运输过程中发生遗撒或者泄漏。</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val="en-US" w:eastAsia="zh-CN"/>
              </w:rPr>
              <w:t>噪声环境影响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施工噪声主要分为机械噪声、施工作业噪声和施工车辆噪声。</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为减小施工期噪声对周围环境的影响，采取如下措施：高噪声的施工作业尽量安排在昼间进行，禁止夜间施工；工程施工设备较多，施工单位应尽量采用低噪声的施工机械，减少同时作业的高噪施工机械数量，尽可能减轻声源叠加影响；同时在施工过程中应由专人对设备进行定期保养和维护，并负责对现场工作人员进行培训，严格按操作规范使用各类机械；根据周围环境条件，尽量将产噪设备布置在远离敏感点的位置，增加噪声源与敏感区域的距离，可一定程度上控制施工场界噪声贡献值；认真组织施工安排，控制施工噪声源强，使施工机械处于良好状态，减轻施工噪声对工程区域声环境质量的影响，力争做到施工噪声不扰民；运输车辆经过村民区时应适当减速，禁止使用高音喇叭；施工应周密计划，抓紧施工，并设置临时行车路线，设专人疏导交通，防止车辆阻塞，同时减轻施工期交通噪声污染加重的程度；通过避免夜间施工，修建围墙，高噪声源远离敏感点布置，加强施工管理等噪声防护措施后，噪声对周围环境的影响可减少到最低。</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eastAsia" w:ascii="Times New Roman" w:hAnsi="Times New Roman" w:eastAsia="宋体" w:cs="Times New Roman"/>
                <w:spacing w:val="18"/>
                <w:sz w:val="24"/>
                <w:szCs w:val="24"/>
                <w:lang w:val="en-US" w:eastAsia="zh-CN"/>
              </w:rPr>
              <w:t>4）</w:t>
            </w:r>
            <w:r>
              <w:rPr>
                <w:rFonts w:hint="default" w:ascii="Times New Roman" w:hAnsi="Times New Roman" w:eastAsia="宋体" w:cs="Times New Roman"/>
                <w:spacing w:val="18"/>
                <w:sz w:val="24"/>
                <w:szCs w:val="24"/>
                <w:lang w:val="en-US" w:eastAsia="zh-CN"/>
              </w:rPr>
              <w:t>固体废弃物影响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rPr>
                <w:rFonts w:hint="default" w:ascii="Times New Roman" w:hAnsi="Times New Roman" w:eastAsia="宋体" w:cs="Times New Roman"/>
                <w:color w:val="auto"/>
                <w:sz w:val="24"/>
                <w:szCs w:val="24"/>
                <w:lang w:val="zh-CN" w:eastAsia="zh-CN" w:bidi="zh-CN"/>
              </w:rPr>
            </w:pPr>
            <w:r>
              <w:rPr>
                <w:rFonts w:hint="default" w:ascii="Times New Roman" w:hAnsi="Times New Roman" w:eastAsia="宋体" w:cs="Times New Roman"/>
                <w:color w:val="auto"/>
                <w:sz w:val="24"/>
                <w:szCs w:val="24"/>
                <w:lang w:val="zh-CN" w:eastAsia="zh-CN" w:bidi="zh-CN"/>
              </w:rPr>
              <w:t>项目施工期固体废物主要来源于废弃土方、建筑垃圾和施工人员生活垃圾。</w:t>
            </w:r>
          </w:p>
          <w:p>
            <w:pPr>
              <w:adjustRightInd w:val="0"/>
              <w:snapToGrid w:val="0"/>
              <w:spacing w:line="360" w:lineRule="auto"/>
              <w:ind w:firstLine="552" w:firstLineChars="200"/>
              <w:jc w:val="left"/>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采取如下措施：</w:t>
            </w:r>
            <w:r>
              <w:rPr>
                <w:rFonts w:hint="default" w:ascii="Times New Roman" w:hAnsi="Times New Roman" w:eastAsia="宋体" w:cs="Times New Roman"/>
                <w:color w:val="auto"/>
                <w:sz w:val="24"/>
                <w:szCs w:val="22"/>
              </w:rPr>
              <w:t>施工时，弃土堆砌在</w:t>
            </w:r>
            <w:r>
              <w:rPr>
                <w:rFonts w:hint="eastAsia" w:ascii="Times New Roman" w:hAnsi="Times New Roman" w:eastAsia="宋体" w:cs="Times New Roman"/>
                <w:color w:val="auto"/>
                <w:sz w:val="24"/>
                <w:szCs w:val="22"/>
                <w:lang w:val="en-US" w:eastAsia="zh-CN"/>
              </w:rPr>
              <w:t>河道</w:t>
            </w:r>
            <w:r>
              <w:rPr>
                <w:rFonts w:hint="default" w:ascii="Times New Roman" w:hAnsi="Times New Roman" w:eastAsia="宋体" w:cs="Times New Roman"/>
                <w:color w:val="auto"/>
                <w:sz w:val="24"/>
                <w:szCs w:val="22"/>
              </w:rPr>
              <w:t>两侧；施工完成后，将</w:t>
            </w:r>
            <w:r>
              <w:rPr>
                <w:rFonts w:hint="default" w:ascii="Times New Roman" w:hAnsi="Times New Roman" w:eastAsia="宋体" w:cs="Times New Roman"/>
                <w:color w:val="auto"/>
                <w:sz w:val="24"/>
                <w:szCs w:val="22"/>
                <w:lang w:val="en-US" w:eastAsia="zh-CN"/>
              </w:rPr>
              <w:t>弃土方全部堆于河道凹坑内或就近摊平</w:t>
            </w:r>
            <w:r>
              <w:rPr>
                <w:rFonts w:hint="default" w:ascii="Times New Roman" w:hAnsi="Times New Roman" w:eastAsia="宋体" w:cs="Times New Roman"/>
                <w:color w:val="auto"/>
                <w:sz w:val="24"/>
                <w:szCs w:val="22"/>
              </w:rPr>
              <w:t>，自然恢复植被。</w:t>
            </w:r>
            <w:r>
              <w:rPr>
                <w:rFonts w:hint="default" w:ascii="Times New Roman" w:hAnsi="Times New Roman" w:eastAsia="宋体" w:cs="Times New Roman"/>
                <w:color w:val="auto"/>
                <w:sz w:val="24"/>
                <w:szCs w:val="24"/>
                <w:lang w:val="zh-CN" w:eastAsia="zh-CN" w:bidi="zh-CN"/>
              </w:rPr>
              <w:t>建筑垃圾主要</w:t>
            </w:r>
            <w:r>
              <w:rPr>
                <w:rFonts w:hint="default" w:ascii="Times New Roman" w:hAnsi="Times New Roman" w:eastAsia="宋体" w:cs="Times New Roman"/>
                <w:color w:val="auto"/>
                <w:spacing w:val="-8"/>
                <w:sz w:val="24"/>
                <w:szCs w:val="24"/>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4"/>
                <w:szCs w:val="24"/>
                <w:lang w:val="zh-CN" w:eastAsia="zh-CN" w:bidi="zh-CN"/>
              </w:rPr>
              <w:t>生活垃圾集中收集后由环卫部门统一处理；主</w:t>
            </w:r>
            <w:r>
              <w:rPr>
                <w:rFonts w:hint="default" w:ascii="Times New Roman" w:hAnsi="Times New Roman" w:eastAsia="宋体" w:cs="Times New Roman"/>
                <w:color w:val="auto"/>
                <w:spacing w:val="-6"/>
                <w:sz w:val="24"/>
                <w:szCs w:val="24"/>
                <w:lang w:val="zh-CN" w:eastAsia="zh-CN" w:bidi="zh-CN"/>
              </w:rPr>
              <w:t>体工程和临时占地开挖表土进行集中堆放，施工结束后，再用以临时占地的生态</w:t>
            </w:r>
            <w:r>
              <w:rPr>
                <w:rFonts w:hint="default" w:ascii="Times New Roman" w:hAnsi="Times New Roman" w:eastAsia="宋体" w:cs="Times New Roman"/>
                <w:color w:val="auto"/>
                <w:sz w:val="24"/>
                <w:szCs w:val="24"/>
                <w:lang w:val="zh-CN" w:eastAsia="zh-CN" w:bidi="zh-CN"/>
              </w:rPr>
              <w:t>恢复覆土或道路配套绿化。</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5）生态环境影响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本项目施工期临时用地主要为临时生产生活区、施工便道等，临时用地的使用将会使原有地表植被遭到破坏。因施工作业影响而引起的这些土地的地表植被破坏，这种影响是暂时的，可以通过后期水土保持措施进行恢复。施工期由于材料运输、机械碾压及施工人员践踏，使施工作业区周围土地的部分植被被破坏。施工期结束后也应及时进行生态恢复工作，尽量使临时工程占用区域恢复原貌。</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552"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spacing w:val="18"/>
                <w:sz w:val="24"/>
                <w:szCs w:val="24"/>
                <w:lang w:val="en-US" w:eastAsia="zh-CN"/>
              </w:rPr>
              <w:t>采取措施：</w:t>
            </w:r>
            <w:r>
              <w:rPr>
                <w:rFonts w:hint="default" w:ascii="Times New Roman" w:hAnsi="Times New Roman" w:eastAsia="宋体" w:cs="Times New Roman"/>
                <w:color w:val="auto"/>
                <w:sz w:val="24"/>
                <w:szCs w:val="24"/>
              </w:rPr>
              <w:t>加强宣传教育，在施工开始前，开展《中华人民共和国野生动物保护法》、《中华人民共和国野生植物保护条例》等相关法律法规的教育，让施工人员明确知道生物多样性是受国家法律保护的，破坏生物多样性将要承担相应的法律责任。教育施工人员，遵守国家和地方的法律及相关规定，禁止随意破坏植被和猎捕野生动物，自觉保护好评价区内的各种动物、植物和自然景观。</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auto"/>
                <w:sz w:val="24"/>
                <w:szCs w:val="24"/>
              </w:rPr>
              <w:t>在工地及周边设立爱护动物和自然植被的宣传牌</w:t>
            </w:r>
            <w:r>
              <w:rPr>
                <w:rFonts w:hint="default" w:ascii="Times New Roman" w:hAnsi="Times New Roman" w:cs="Times New Roman"/>
                <w:color w:val="auto"/>
                <w:sz w:val="24"/>
                <w:szCs w:val="24"/>
                <w:lang w:eastAsia="zh-CN"/>
              </w:rPr>
              <w:t>，</w:t>
            </w:r>
            <w:r>
              <w:rPr>
                <w:rFonts w:hint="default" w:ascii="Times New Roman" w:hAnsi="Times New Roman" w:eastAsia="宋体" w:cs="Times New Roman"/>
                <w:color w:val="auto"/>
                <w:sz w:val="24"/>
                <w:szCs w:val="24"/>
              </w:rPr>
              <w:t>对项目工作人员和施工人员开展生态保护措施方面的短期培训工作，通过培训详细介绍如何最大限度减少自然植被的丧失；及时开展植被恢复；以及施工作业中对于环境保护的一些注意事项等。</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6）施工</w:t>
            </w:r>
            <w:r>
              <w:rPr>
                <w:rFonts w:hint="eastAsia" w:ascii="Times New Roman" w:hAnsi="Times New Roman" w:eastAsia="宋体" w:cs="Times New Roman"/>
                <w:sz w:val="24"/>
                <w:szCs w:val="24"/>
                <w:lang w:val="en-US" w:eastAsia="zh-CN"/>
              </w:rPr>
              <w:t>管理</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划定施工范围，严禁施工人员和器械超出施工区域。通报所有施工人员活动规则并在施工营地、</w:t>
            </w:r>
            <w:r>
              <w:rPr>
                <w:rFonts w:hint="default" w:ascii="Times New Roman" w:hAnsi="Times New Roman" w:cs="Times New Roman"/>
                <w:color w:val="auto"/>
                <w:sz w:val="24"/>
                <w:szCs w:val="24"/>
                <w:lang w:val="en-US" w:eastAsia="zh-CN"/>
              </w:rPr>
              <w:t>管道</w:t>
            </w:r>
            <w:r>
              <w:rPr>
                <w:rFonts w:hint="default" w:ascii="Times New Roman" w:hAnsi="Times New Roman" w:cs="Times New Roman"/>
                <w:color w:val="auto"/>
                <w:sz w:val="24"/>
                <w:szCs w:val="24"/>
                <w:lang w:eastAsia="zh-CN"/>
              </w:rPr>
              <w:t>道</w:t>
            </w:r>
            <w:r>
              <w:rPr>
                <w:rFonts w:hint="default" w:ascii="Times New Roman" w:hAnsi="Times New Roman" w:eastAsia="宋体" w:cs="Times New Roman"/>
                <w:color w:val="auto"/>
                <w:sz w:val="24"/>
                <w:szCs w:val="24"/>
              </w:rPr>
              <w:t>沿线等设置警示标牌，任何施工人员不得越过红线施工或任意活动，以减小施工活动对</w:t>
            </w:r>
            <w:r>
              <w:rPr>
                <w:rFonts w:hint="default" w:ascii="Times New Roman" w:hAnsi="Times New Roman" w:cs="Times New Roman"/>
                <w:color w:val="auto"/>
                <w:sz w:val="24"/>
                <w:szCs w:val="24"/>
                <w:lang w:eastAsia="zh-CN"/>
              </w:rPr>
              <w:t>区域</w:t>
            </w:r>
            <w:r>
              <w:rPr>
                <w:rFonts w:hint="default" w:ascii="Times New Roman" w:hAnsi="Times New Roman" w:eastAsia="宋体" w:cs="Times New Roman"/>
                <w:color w:val="auto"/>
                <w:sz w:val="24"/>
                <w:szCs w:val="24"/>
              </w:rPr>
              <w:t>周围植被和动物栖息地的影响。对擅自越过施工禁入区红线的施工人员进行严肃处理和教育，对进入禁入区造成损失的追究施工单位及施工人员相应责任。施工中要作到分段施工，随挖、随运、随铺、随压，不留疏松地面，提高工程施工效率，尽可能缩短施工工期。</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加强施工期材料的管理，妥善放置，及时清理。施工产生的建筑废料要尽量回收，严禁乱堆乱放。施工期间应加强防火宣传教育，做好施工人员生产用火的火源管理，严禁一切野外用火，杜绝火灾发生。</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7）</w:t>
            </w:r>
            <w:r>
              <w:rPr>
                <w:rFonts w:hint="eastAsia" w:ascii="Times New Roman" w:hAnsi="Times New Roman" w:eastAsia="宋体" w:cs="Times New Roman"/>
                <w:sz w:val="24"/>
                <w:szCs w:val="24"/>
                <w:lang w:val="en-US" w:eastAsia="zh-CN"/>
              </w:rPr>
              <w:t>植被保护</w:t>
            </w:r>
            <w:r>
              <w:rPr>
                <w:rFonts w:hint="default" w:ascii="Times New Roman" w:hAnsi="Times New Roman" w:eastAsia="宋体" w:cs="Times New Roman"/>
                <w:sz w:val="24"/>
                <w:szCs w:val="24"/>
                <w:lang w:val="en-US" w:eastAsia="zh-CN"/>
              </w:rPr>
              <w:t>措施</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严格</w:t>
            </w:r>
            <w:r>
              <w:rPr>
                <w:rFonts w:hint="default" w:ascii="Times New Roman" w:hAnsi="Times New Roman" w:cs="Times New Roman"/>
                <w:color w:val="auto"/>
                <w:sz w:val="24"/>
                <w:szCs w:val="24"/>
                <w:lang w:eastAsia="zh-CN"/>
              </w:rPr>
              <w:t>用地</w:t>
            </w:r>
            <w:r>
              <w:rPr>
                <w:rFonts w:hint="default" w:ascii="Times New Roman" w:hAnsi="Times New Roman" w:eastAsia="宋体" w:cs="Times New Roman"/>
                <w:color w:val="auto"/>
                <w:sz w:val="24"/>
                <w:szCs w:val="24"/>
              </w:rPr>
              <w:t>管理，杜绝未批先占、少批多占。临时用地尽量少占地，不破坏</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。工程建设过程中在施工范围红线内尽量保留</w:t>
            </w:r>
            <w:r>
              <w:rPr>
                <w:rFonts w:hint="default" w:ascii="Times New Roman" w:hAnsi="Times New Roman" w:cs="Times New Roman"/>
                <w:color w:val="auto"/>
                <w:sz w:val="24"/>
                <w:szCs w:val="24"/>
                <w:lang w:eastAsia="zh-CN"/>
              </w:rPr>
              <w:t>现有植被</w:t>
            </w:r>
            <w:r>
              <w:rPr>
                <w:rFonts w:hint="default" w:ascii="Times New Roman" w:hAnsi="Times New Roman" w:eastAsia="宋体" w:cs="Times New Roman"/>
                <w:color w:val="auto"/>
                <w:sz w:val="24"/>
                <w:szCs w:val="24"/>
              </w:rPr>
              <w:t>，减小生物量损失。</w:t>
            </w:r>
          </w:p>
          <w:p>
            <w:pPr>
              <w:keepNext w:val="0"/>
              <w:keepLines w:val="0"/>
              <w:pageBreakBefore w:val="0"/>
              <w:widowControl w:val="0"/>
              <w:kinsoku/>
              <w:wordWrap/>
              <w:overflowPunct/>
              <w:topLinePunct w:val="0"/>
              <w:autoSpaceDE/>
              <w:autoSpaceDN/>
              <w:bidi w:val="0"/>
              <w:adjustRightInd/>
              <w:snapToGrid/>
              <w:spacing w:before="0" w:after="0" w:line="360" w:lineRule="auto"/>
              <w:ind w:left="0" w:leftChars="0" w:right="0" w:rightChars="0" w:firstLine="480" w:firstLineChars="200"/>
              <w:jc w:val="both"/>
              <w:textAlignment w:val="auto"/>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临时占用地，应尽可能地减少对植被破坏，施工营地周围的植被要最大限度地保留。在荒漠戈壁路段构筑工程等施工完成后，应及时对施工中破坏、扰动的地面进行砂砾石覆盖，减少水土流失的发生。</w:t>
            </w:r>
          </w:p>
          <w:p>
            <w:pPr>
              <w:keepNext w:val="0"/>
              <w:keepLines w:val="0"/>
              <w:pageBreakBefore w:val="0"/>
              <w:widowControl w:val="0"/>
              <w:tabs>
                <w:tab w:val="right" w:leader="dot" w:pos="8505"/>
              </w:tabs>
              <w:kinsoku/>
              <w:wordWrap/>
              <w:overflowPunct/>
              <w:topLinePunct w:val="0"/>
              <w:autoSpaceDE/>
              <w:autoSpaceDN/>
              <w:bidi w:val="0"/>
              <w:adjustRightInd/>
              <w:snapToGrid/>
              <w:spacing w:before="0" w:after="0" w:line="360" w:lineRule="auto"/>
              <w:ind w:left="0" w:leftChars="0" w:right="0" w:rightChars="0" w:firstLine="480" w:firstLineChars="200"/>
              <w:textAlignment w:val="auto"/>
              <w:rPr>
                <w:rFonts w:hint="default" w:ascii="Times New Roman" w:hAnsi="Times New Roman" w:eastAsia="宋体" w:cs="Times New Roman"/>
                <w:b/>
                <w:bCs w:val="0"/>
                <w:color w:val="auto"/>
                <w:sz w:val="24"/>
                <w:lang w:val="en-US" w:eastAsia="zh-CN"/>
              </w:rPr>
            </w:pPr>
            <w:r>
              <w:rPr>
                <w:rFonts w:hint="default" w:ascii="Times New Roman" w:hAnsi="Times New Roman" w:eastAsia="宋体" w:cs="Times New Roman"/>
                <w:color w:val="auto"/>
                <w:sz w:val="24"/>
                <w:szCs w:val="24"/>
              </w:rPr>
              <w:t>保存永久占地和临时占地的熟化土，为植被恢复提供良好的土壤。对建设中</w:t>
            </w:r>
            <w:r>
              <w:rPr>
                <w:rFonts w:hint="eastAsia" w:ascii="Times New Roman" w:hAnsi="Times New Roman" w:cs="Times New Roman"/>
                <w:color w:val="auto"/>
                <w:sz w:val="24"/>
                <w:szCs w:val="24"/>
                <w:lang w:val="en-US" w:eastAsia="zh-CN"/>
              </w:rPr>
              <w:t>临时</w:t>
            </w:r>
            <w:r>
              <w:rPr>
                <w:rFonts w:hint="default" w:ascii="Times New Roman" w:hAnsi="Times New Roman" w:eastAsia="宋体" w:cs="Times New Roman"/>
                <w:color w:val="auto"/>
                <w:sz w:val="24"/>
                <w:szCs w:val="24"/>
              </w:rPr>
              <w:t>占用草地部分的表层土予以收集保存，以便施工结束后复垦或选择当地适宜植物及时恢复绿化。取土时要合理规范，避免将来坍塌导致自然景观的再破坏；取土后要整形、与周围景观协调。弃土要及时堆放整齐，完工时，生物防护采用乡土植物种类。</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（2）运营期环境影响</w:t>
            </w:r>
          </w:p>
          <w:p>
            <w:pPr>
              <w:keepNext w:val="0"/>
              <w:keepLines w:val="0"/>
              <w:pageBreakBefore w:val="0"/>
              <w:widowControl/>
              <w:suppressLineNumbers w:val="0"/>
              <w:kinsoku w:val="0"/>
              <w:wordWrap/>
              <w:overflowPunct/>
              <w:topLinePunct w:val="0"/>
              <w:autoSpaceDE w:val="0"/>
              <w:autoSpaceDN w:val="0"/>
              <w:bidi w:val="0"/>
              <w:adjustRightInd w:val="0"/>
              <w:snapToGrid w:val="0"/>
              <w:spacing w:line="360" w:lineRule="auto"/>
              <w:ind w:firstLine="552" w:firstLineChars="200"/>
              <w:jc w:val="left"/>
              <w:textAlignment w:val="baseline"/>
            </w:pPr>
            <w:r>
              <w:rPr>
                <w:rFonts w:hint="eastAsia" w:ascii="宋体" w:hAnsi="宋体" w:eastAsia="宋体" w:cs="宋体"/>
                <w:spacing w:val="18"/>
                <w:sz w:val="24"/>
                <w:szCs w:val="24"/>
                <w:highlight w:val="none"/>
                <w:lang w:val="en-US" w:eastAsia="zh-CN"/>
              </w:rPr>
              <w:t>本项目运营期</w:t>
            </w:r>
            <w:r>
              <w:rPr>
                <w:rFonts w:hint="eastAsia" w:ascii="宋体" w:hAnsi="宋体" w:eastAsia="宋体" w:cs="宋体"/>
                <w:snapToGrid w:val="0"/>
                <w:color w:val="000000"/>
                <w:kern w:val="0"/>
                <w:sz w:val="21"/>
                <w:szCs w:val="21"/>
                <w:lang w:val="en-US" w:eastAsia="zh-CN" w:bidi="ar"/>
              </w:rPr>
              <w:t>主要污</w:t>
            </w:r>
            <w:r>
              <w:rPr>
                <w:rFonts w:hint="eastAsia" w:ascii="宋体" w:hAnsi="宋体" w:eastAsia="宋体" w:cs="宋体"/>
                <w:snapToGrid w:val="0"/>
                <w:color w:val="000000"/>
                <w:kern w:val="0"/>
                <w:sz w:val="24"/>
                <w:szCs w:val="24"/>
                <w:lang w:val="en-US" w:eastAsia="zh-CN" w:bidi="ar"/>
              </w:rPr>
              <w:t>染工序为道路运营产生的汽车尾气、噪声以及电力线路的电磁辐射影响。</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运营后对环境空的影响主要是汽车尾气的影响。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2）声环境影响分析</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项目运营后噪声源主要为路面行驶的车辆由于气流湍动、路面平整度、发动机运转、排气系统、轮胎与路面磨擦等将产生交通噪声，噪声强度与单车源强、车流量、车型比及车速等多种因素有关。</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环评预测结果可知，在不考虑建筑物对噪声屏蔽、绿化带隔声作用条件下，拟建道路建成运营远期昼间,道路红线两侧10m外昼间和夜间声环境均能够达到《声环境质量标准》(GB3096-2008)4a类标准(即昼间≤70dB(A)、夜间≤55dB(A))。本项目道路工程仅库尔勒路沿线有声环境敏感点，主要为康乐园小区、同济里小区、乌孙里小区、美美广场，均位于道路红线外50m，运营期道路噪声对以上声环境敏感点影响较小。</w:t>
            </w:r>
          </w:p>
          <w:p>
            <w:pPr>
              <w:pStyle w:val="2"/>
              <w:keepNext w:val="0"/>
              <w:keepLines w:val="0"/>
              <w:pageBreakBefore w:val="0"/>
              <w:widowControl/>
              <w:numPr>
                <w:ilvl w:val="0"/>
                <w:numId w:val="4"/>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水环境影响分析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项目运营后水污染源主要来为降雨冲刷路面产生的路面径流污水，污水量影响因素包括降雨强度、降雨历时、降雨频率、车流量、路面宽度和产污路段长度等，主要污染物为石油类、有机物和SS。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项目设计文件，道路在不利于排水处设置开口型路缘石，将路面积水引至绿化带排出，从而使排水迅速畅通。本项目所在区城全年降水量较少，涉及道路沿线无地表水体，雨水汇集至低洼处，排入绿化带由植被吸收自然降解，对项目区水环境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4）固体废物环境影响分析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eastAsia="宋体" w:cs="Times New Roman"/>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tc>
      </w:tr>
    </w:tbl>
    <w:p>
      <w:pPr>
        <w:rPr>
          <w:rFonts w:hint="default" w:ascii="Times New Roman" w:hAnsi="Times New Roman" w:cs="Times New Roman"/>
          <w:sz w:val="21"/>
        </w:rPr>
      </w:pPr>
    </w:p>
    <w:p>
      <w:pPr>
        <w:rPr>
          <w:rFonts w:hint="default" w:ascii="Times New Roman" w:hAnsi="Times New Roman" w:cs="Times New Roman"/>
        </w:rPr>
        <w:sectPr>
          <w:footerReference r:id="rId11"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5" w:name="_Toc14720"/>
      <w:r>
        <w:rPr>
          <w:rFonts w:hint="default" w:ascii="Times New Roman" w:hAnsi="Times New Roman" w:cs="Times New Roman"/>
          <w:sz w:val="32"/>
          <w:szCs w:val="52"/>
        </w:rPr>
        <w:t>表六 环境影响评价回顾</w:t>
      </w:r>
      <w:bookmarkEnd w:id="5"/>
    </w:p>
    <w:tbl>
      <w:tblPr>
        <w:tblStyle w:val="19"/>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64" w:hRule="atLeast"/>
        </w:trPr>
        <w:tc>
          <w:tcPr>
            <w:tcW w:w="8984" w:type="dxa"/>
            <w:vAlign w:val="top"/>
          </w:tcPr>
          <w:p>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eastAsia" w:ascii="宋体" w:hAnsi="宋体" w:eastAsia="宋体" w:cs="宋体"/>
                <w:b/>
                <w:bCs/>
                <w:spacing w:val="-5"/>
                <w:sz w:val="28"/>
                <w:szCs w:val="28"/>
              </w:rPr>
              <w:t>评价结论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eastAsia" w:ascii="宋体" w:hAnsi="宋体" w:eastAsia="宋体" w:cs="宋体"/>
                <w:spacing w:val="-5"/>
                <w:sz w:val="28"/>
                <w:szCs w:val="28"/>
                <w14:textOutline w14:w="5094" w14:cap="flat" w14:cmpd="sng">
                  <w14:solidFill>
                    <w14:srgbClr w14:val="000000"/>
                  </w14:solidFill>
                  <w14:prstDash w14:val="solid"/>
                  <w14:miter w14:val="0"/>
                </w14:textOutline>
              </w:rPr>
              <w:t>项目概</w:t>
            </w:r>
            <w:r>
              <w:rPr>
                <w:rFonts w:hint="eastAsia" w:ascii="宋体" w:hAnsi="宋体" w:eastAsia="宋体" w:cs="宋体"/>
                <w:spacing w:val="-4"/>
                <w:sz w:val="28"/>
                <w:szCs w:val="28"/>
                <w14:textOutline w14:w="5094" w14:cap="flat" w14:cmpd="sng">
                  <w14:solidFill>
                    <w14:srgbClr w14:val="000000"/>
                  </w14:solidFill>
                  <w14:prstDash w14:val="solid"/>
                  <w14:miter w14:val="0"/>
                </w14:textOutline>
              </w:rPr>
              <w:t>况</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新疆润盛投资发展有限公司奎屯-独山子经济技术开发区2013年基础设施建设项目</w:t>
            </w:r>
          </w:p>
          <w:p>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eastAsia" w:ascii="Times New Roman" w:hAnsi="Times New Roman" w:eastAsia="宋体" w:cs="Times New Roman"/>
                <w:color w:val="auto"/>
                <w:sz w:val="24"/>
                <w:szCs w:val="24"/>
                <w:u w:val="none"/>
                <w:lang w:val="en-US" w:eastAsia="zh-CN"/>
              </w:rPr>
              <w:t>奎屯-独山子经济技术开发区内</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color w:val="000000"/>
                <w:sz w:val="24"/>
                <w:szCs w:val="24"/>
                <w:lang w:val="en-US" w:eastAsia="zh-CN"/>
              </w:rPr>
              <w:t>新疆润盛投资发展有限公司</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default" w:ascii="Times New Roman" w:hAnsi="Times New Roman" w:eastAsia="宋体" w:cs="Times New Roman"/>
                <w:spacing w:val="-1"/>
                <w:sz w:val="24"/>
                <w:szCs w:val="24"/>
                <w:lang w:val="en-US" w:eastAsia="zh-CN"/>
              </w:rPr>
              <w:t>1</w:t>
            </w:r>
            <w:r>
              <w:rPr>
                <w:rFonts w:hint="eastAsia" w:ascii="Times New Roman" w:hAnsi="Times New Roman" w:eastAsia="宋体" w:cs="Times New Roman"/>
                <w:spacing w:val="-1"/>
                <w:sz w:val="24"/>
                <w:szCs w:val="24"/>
                <w:lang w:val="en-US" w:eastAsia="zh-CN"/>
              </w:rPr>
              <w:t>6098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1385</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8.6</w:t>
            </w:r>
            <w:r>
              <w:rPr>
                <w:rFonts w:hint="default" w:ascii="Times New Roman" w:hAnsi="Times New Roman" w:eastAsia="宋体" w:cs="Times New Roman"/>
                <w:spacing w:val="-1"/>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pacing w:val="-1"/>
                <w:sz w:val="24"/>
                <w:szCs w:val="24"/>
              </w:rPr>
              <w:t>建设规模：</w:t>
            </w:r>
            <w:r>
              <w:rPr>
                <w:rFonts w:hint="default" w:ascii="Times New Roman" w:hAnsi="Times New Roman" w:eastAsia="宋体" w:cs="Times New Roman"/>
                <w:snapToGrid w:val="0"/>
                <w:sz w:val="24"/>
                <w:szCs w:val="24"/>
              </w:rPr>
              <w:t>道路工程17.52km，其中</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北一区改造道路0.6km，北二区新建道路7.57km，奎东特色产业园新建道路9.35km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北一区仓储物流区建设供排水管线1.1km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路肩改造0.24万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、绿化、林床改造项目建设9.2万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亮化路灯320盏项目</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电力线路改迁建设4.081km。</w:t>
            </w:r>
          </w:p>
          <w:p>
            <w:pPr>
              <w:keepNext w:val="0"/>
              <w:keepLines w:val="0"/>
              <w:pageBreakBefore w:val="0"/>
              <w:widowControl/>
              <w:kinsoku/>
              <w:wordWrap/>
              <w:overflowPunct/>
              <w:topLinePunct w:val="0"/>
              <w:autoSpaceDE/>
              <w:autoSpaceDN/>
              <w:bidi w:val="0"/>
              <w:spacing w:line="360" w:lineRule="auto"/>
              <w:ind w:firstLine="476" w:firstLineChars="200"/>
              <w:textAlignment w:val="baseline"/>
              <w:rPr>
                <w:rFonts w:hint="default" w:ascii="Times New Roman" w:hAnsi="Times New Roman" w:eastAsia="宋体" w:cs="Times New Roman"/>
                <w:spacing w:val="-1"/>
                <w:sz w:val="24"/>
                <w:szCs w:val="24"/>
                <w:lang w:val="en-US"/>
              </w:rPr>
            </w:pPr>
            <w:r>
              <w:rPr>
                <w:rFonts w:hint="default" w:ascii="Times New Roman" w:hAnsi="Times New Roman" w:eastAsia="宋体" w:cs="Times New Roman"/>
                <w:spacing w:val="-1"/>
                <w:sz w:val="24"/>
                <w:szCs w:val="24"/>
              </w:rPr>
              <w:t>建设内容：</w:t>
            </w:r>
            <w:r>
              <w:rPr>
                <w:rFonts w:hint="eastAsia" w:ascii="Times New Roman" w:hAnsi="Times New Roman" w:eastAsia="宋体" w:cs="Times New Roman"/>
                <w:color w:val="000000"/>
                <w:kern w:val="0"/>
                <w:sz w:val="24"/>
                <w:szCs w:val="24"/>
                <w:lang w:val="en-US" w:eastAsia="zh-CN" w:bidi="ar"/>
              </w:rPr>
              <w:t>本项目</w:t>
            </w:r>
            <w:r>
              <w:rPr>
                <w:rFonts w:hint="default" w:ascii="Times New Roman" w:hAnsi="Times New Roman" w:eastAsia="宋体" w:cs="Times New Roman"/>
                <w:color w:val="000000"/>
                <w:kern w:val="0"/>
                <w:sz w:val="24"/>
                <w:szCs w:val="24"/>
                <w:lang w:val="en-US" w:eastAsia="zh-CN" w:bidi="ar"/>
              </w:rPr>
              <w:t>道路工程17.52km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供排水管线1.1km</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路肩改造0.24万m²、绿化、林床改造项目建设9.2万m</w:t>
            </w:r>
            <w:r>
              <w:rPr>
                <w:rFonts w:hint="default" w:ascii="Times New Roman" w:hAnsi="Times New Roman" w:eastAsia="宋体" w:cs="Times New Roman"/>
                <w:color w:val="000000"/>
                <w:kern w:val="0"/>
                <w:sz w:val="24"/>
                <w:szCs w:val="24"/>
                <w:vertAlign w:val="superscript"/>
                <w:lang w:val="en-US" w:eastAsia="zh-CN" w:bidi="ar"/>
              </w:rPr>
              <w:t>2</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亮化路灯320盏项目</w:t>
            </w:r>
            <w:r>
              <w:rPr>
                <w:rFonts w:hint="eastAsia" w:ascii="Times New Roman" w:hAnsi="Times New Roman" w:eastAsia="宋体" w:cs="Times New Roman"/>
                <w:color w:val="000000"/>
                <w:kern w:val="0"/>
                <w:sz w:val="24"/>
                <w:szCs w:val="24"/>
                <w:lang w:val="en-US" w:eastAsia="zh-CN" w:bidi="ar"/>
              </w:rPr>
              <w:t>，</w:t>
            </w:r>
            <w:r>
              <w:rPr>
                <w:rFonts w:hint="default" w:ascii="Times New Roman" w:hAnsi="Times New Roman" w:eastAsia="宋体" w:cs="Times New Roman"/>
                <w:color w:val="000000"/>
                <w:kern w:val="0"/>
                <w:sz w:val="24"/>
                <w:szCs w:val="24"/>
                <w:lang w:val="en-US" w:eastAsia="zh-CN" w:bidi="ar"/>
              </w:rPr>
              <w:t>电力线路改迁建设</w:t>
            </w:r>
            <w:r>
              <w:rPr>
                <w:rFonts w:hint="eastAsia" w:ascii="Times New Roman" w:hAnsi="Times New Roman" w:eastAsia="宋体" w:cs="Times New Roman"/>
                <w:color w:val="000000"/>
                <w:kern w:val="0"/>
                <w:sz w:val="24"/>
                <w:szCs w:val="24"/>
                <w:lang w:val="en-US" w:eastAsia="zh-CN" w:bidi="ar"/>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2区域环境质量现状</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的年评价指标为达标，因此，项目所在区域为达标区。</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76" w:firstLineChars="200"/>
              <w:jc w:val="left"/>
              <w:textAlignment w:val="baseline"/>
              <w:rPr>
                <w:rFonts w:hint="default" w:ascii="Times New Roman" w:hAnsi="Times New Roman" w:cs="Times New Roman"/>
                <w:color w:val="auto"/>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cs="Times New Roman"/>
                <w:color w:val="auto"/>
                <w:sz w:val="24"/>
                <w:szCs w:val="24"/>
                <w:highlight w:val="none"/>
                <w:lang w:val="en-US" w:eastAsia="zh-CN"/>
              </w:rPr>
              <w:t>1#项目区水井、2#131团7连、3#131团13连、4#131团8连、5#奎屯市二水厂，共五个监测点。监测项目包括</w:t>
            </w:r>
            <w:r>
              <w:rPr>
                <w:rFonts w:hint="eastAsia"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K</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、Na</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、Ca²</w:t>
            </w:r>
            <w:r>
              <w:rPr>
                <w:rFonts w:hint="default"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、Mg</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、CO</w:t>
            </w:r>
            <w:r>
              <w:rPr>
                <w:rFonts w:hint="default" w:ascii="Times New Roman" w:hAnsi="Times New Roman" w:cs="Times New Roman"/>
                <w:color w:val="auto"/>
                <w:sz w:val="24"/>
                <w:szCs w:val="24"/>
                <w:highlight w:val="none"/>
                <w:vertAlign w:val="subscript"/>
                <w:lang w:val="en-US" w:eastAsia="zh-CN"/>
              </w:rPr>
              <w:t>3</w:t>
            </w:r>
            <w:r>
              <w:rPr>
                <w:rFonts w:hint="default" w:ascii="Times New Roman" w:hAnsi="Times New Roman" w:cs="Times New Roman"/>
                <w:color w:val="auto"/>
                <w:sz w:val="24"/>
                <w:szCs w:val="24"/>
                <w:highlight w:val="none"/>
                <w:vertAlign w:val="superscript"/>
                <w:lang w:val="en-US" w:eastAsia="zh-CN"/>
              </w:rPr>
              <w:t>2</w:t>
            </w:r>
            <w:r>
              <w:rPr>
                <w:rFonts w:hint="default" w:ascii="Times New Roman" w:hAnsi="Times New Roman" w:cs="Times New Roman"/>
                <w:color w:val="auto"/>
                <w:sz w:val="24"/>
                <w:szCs w:val="24"/>
                <w:highlight w:val="none"/>
                <w:lang w:val="en-US" w:eastAsia="zh-CN"/>
              </w:rPr>
              <w:t>、HCO</w:t>
            </w:r>
            <w:r>
              <w:rPr>
                <w:rFonts w:hint="default" w:ascii="Times New Roman" w:hAnsi="Times New Roman" w:cs="Times New Roman"/>
                <w:color w:val="auto"/>
                <w:sz w:val="24"/>
                <w:szCs w:val="24"/>
                <w:highlight w:val="none"/>
                <w:vertAlign w:val="subscript"/>
                <w:lang w:val="en-US" w:eastAsia="zh-CN"/>
              </w:rPr>
              <w:t>3</w:t>
            </w:r>
            <w:r>
              <w:rPr>
                <w:rFonts w:hint="eastAsia" w:ascii="Times New Roman" w:hAnsi="Times New Roman" w:cs="Times New Roman"/>
                <w:color w:val="auto"/>
                <w:sz w:val="24"/>
                <w:szCs w:val="24"/>
                <w:highlight w:val="none"/>
                <w:vertAlign w:val="superscript"/>
                <w:lang w:val="en-US" w:eastAsia="zh-CN"/>
              </w:rPr>
              <w:t>-</w:t>
            </w:r>
            <w:r>
              <w:rPr>
                <w:rFonts w:hint="default" w:ascii="Times New Roman" w:hAnsi="Times New Roman" w:cs="Times New Roman"/>
                <w:color w:val="auto"/>
                <w:sz w:val="24"/>
                <w:szCs w:val="24"/>
                <w:highlight w:val="none"/>
                <w:lang w:val="en-US" w:eastAsia="zh-CN"/>
              </w:rPr>
              <w:t>、pH、溶解性总固体、化学需氧量、氨氮、五日生化需氧量、阴离子表面活性剂、硝酸盐、亚硝酸盐、挥发性酚、氰化物、氯化物、镉、砷、汞、锌、六价铬、总硬度、硫酸盐、氟化物、高锰酸盐指数、总大肠菌群等共27个监测项目。</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eastAsia" w:ascii="Times New Roman" w:hAnsi="Times New Roman" w:eastAsia="宋体" w:cs="Times New Roman"/>
                <w:color w:val="auto"/>
                <w:spacing w:val="-1"/>
                <w:sz w:val="24"/>
                <w:szCs w:val="24"/>
                <w:highlight w:val="none"/>
                <w:lang w:val="en-US" w:eastAsia="zh-CN"/>
              </w:rPr>
            </w:pPr>
            <w:r>
              <w:rPr>
                <w:rFonts w:hint="eastAsia" w:ascii="Times New Roman" w:hAnsi="Times New Roman" w:cs="Times New Roman"/>
                <w:color w:val="auto"/>
                <w:sz w:val="24"/>
                <w:szCs w:val="24"/>
                <w:highlight w:val="none"/>
                <w:lang w:val="en-US" w:eastAsia="zh-CN"/>
              </w:rPr>
              <w:t>根据监测结果可以看出，除1#、2#、3#、4#监测点氟化物超标外，其余各点各项指标的单因子指数均&lt;1，能够达到《地下水质量标准》(GB/T14848-93)中的</w:t>
            </w:r>
            <w:r>
              <w:rPr>
                <w:rFonts w:hint="default" w:ascii="Times New Roman" w:hAnsi="Times New Roman" w:eastAsia="宋体" w:cs="Times New Roman"/>
                <w:color w:val="auto"/>
                <w:sz w:val="24"/>
                <w:szCs w:val="24"/>
                <w:highlight w:val="none"/>
                <w:lang w:val="en-US" w:eastAsia="zh-CN"/>
              </w:rPr>
              <w:t>Ⅲ</w:t>
            </w:r>
            <w:r>
              <w:rPr>
                <w:rFonts w:hint="eastAsia" w:ascii="Times New Roman" w:hAnsi="Times New Roman" w:cs="Times New Roman"/>
                <w:color w:val="auto"/>
                <w:sz w:val="24"/>
                <w:szCs w:val="24"/>
                <w:highlight w:val="none"/>
                <w:lang w:val="en-US" w:eastAsia="zh-CN"/>
              </w:rPr>
              <w:t>类标准要求，项目区地下水质量较好。超标原因为本项目区为地下水高氟区。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w:t>
            </w:r>
            <w:r>
              <w:rPr>
                <w:rFonts w:hint="eastAsia" w:ascii="Times New Roman" w:hAnsi="Times New Roman" w:eastAsia="宋体" w:cs="Times New Roman"/>
                <w:spacing w:val="-1"/>
                <w:sz w:val="24"/>
                <w:szCs w:val="24"/>
                <w:highlight w:val="none"/>
                <w:lang w:val="en-US" w:eastAsia="zh-CN"/>
              </w:rPr>
              <w:t>4a</w:t>
            </w:r>
            <w:r>
              <w:rPr>
                <w:rFonts w:hint="default" w:ascii="Times New Roman" w:hAnsi="Times New Roman" w:eastAsia="宋体" w:cs="Times New Roman"/>
                <w:spacing w:val="-1"/>
                <w:sz w:val="24"/>
                <w:szCs w:val="24"/>
                <w:highlight w:val="none"/>
                <w:lang w:val="en-US" w:eastAsia="zh-CN"/>
              </w:rPr>
              <w:t>类区标准限值，说明评价区内现状声环境质量较好。</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3施工期环境影响</w:t>
            </w:r>
          </w:p>
          <w:p>
            <w:pPr>
              <w:keepNext w:val="0"/>
              <w:keepLines w:val="0"/>
              <w:pageBreakBefore w:val="0"/>
              <w:widowControl/>
              <w:kinsoku/>
              <w:wordWrap/>
              <w:overflowPunct/>
              <w:topLinePunct w:val="0"/>
              <w:autoSpaceDE/>
              <w:autoSpaceDN/>
              <w:bidi w:val="0"/>
              <w:adjustRightInd w:val="0"/>
              <w:snapToGrid w:val="0"/>
              <w:spacing w:line="360" w:lineRule="auto"/>
              <w:ind w:left="0" w:firstLine="496" w:firstLineChars="200"/>
              <w:textAlignment w:val="baseline"/>
              <w:outlineLvl w:val="6"/>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本项目施工期已经结束，经过现场踏勘，施工道路沿线无施工遗迹、建筑垃圾等残留，无与施工期有关的环境污染。</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default" w:ascii="Times New Roman" w:hAnsi="Times New Roman" w:eastAsia="Times New Roman" w:cs="Times New Roman"/>
                <w:b/>
                <w:bCs/>
                <w:spacing w:val="-5"/>
                <w:sz w:val="28"/>
                <w:szCs w:val="28"/>
              </w:rPr>
              <w:t>4运营期环境影响</w:t>
            </w:r>
          </w:p>
          <w:p>
            <w:pPr>
              <w:keepNext w:val="0"/>
              <w:keepLines w:val="0"/>
              <w:pageBreakBefore w:val="0"/>
              <w:widowControl/>
              <w:kinsoku/>
              <w:wordWrap/>
              <w:overflowPunct/>
              <w:topLinePunct w:val="0"/>
              <w:autoSpaceDE/>
              <w:autoSpaceDN/>
              <w:bidi w:val="0"/>
              <w:adjustRightInd/>
              <w:snapToGrid/>
              <w:spacing w:line="360" w:lineRule="auto"/>
              <w:ind w:left="0" w:firstLine="496" w:firstLineChars="200"/>
              <w:textAlignment w:val="baseline"/>
              <w:outlineLvl w:val="6"/>
              <w:rPr>
                <w:rFonts w:hint="eastAsia" w:ascii="宋体" w:hAnsi="宋体" w:eastAsia="宋体" w:cs="宋体"/>
                <w:b/>
                <w:bCs/>
                <w:spacing w:val="-5"/>
                <w:sz w:val="24"/>
                <w:szCs w:val="24"/>
              </w:rPr>
            </w:pPr>
            <w:r>
              <w:rPr>
                <w:rFonts w:hint="eastAsia" w:ascii="宋体" w:hAnsi="宋体" w:eastAsia="宋体" w:cs="宋体"/>
                <w:snapToGrid w:val="0"/>
                <w:color w:val="000000"/>
                <w:spacing w:val="4"/>
                <w:kern w:val="0"/>
                <w:sz w:val="24"/>
                <w:szCs w:val="24"/>
                <w:lang w:val="en-US" w:eastAsia="zh-CN"/>
              </w:rPr>
              <w:t>本项目属于非污染项目，运行期间无大气污染物、噪声、废水、固体废物产生与排放，因此</w:t>
            </w:r>
            <w:r>
              <w:rPr>
                <w:rFonts w:hint="eastAsia" w:ascii="宋体" w:hAnsi="宋体" w:eastAsia="宋体" w:cs="宋体"/>
                <w:color w:val="auto"/>
                <w:kern w:val="2"/>
                <w:sz w:val="24"/>
                <w:szCs w:val="24"/>
                <w:lang w:val="en-US" w:eastAsia="zh-CN" w:bidi="ar"/>
              </w:rPr>
              <w:t>项目实施后，有利于减少项目区周边的水土流失，降低水体浊度，改善水生生物的生存环境。</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1.5结论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1）大气环境影响分析</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运营后对环境空的影响主要是汽车尾气的影响。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2）声环境影响分析</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项目运营后噪声源主要为路面行驶的车辆由于气流湍动、路面平整度、发动机运转、排气系统、轮胎与路面磨擦等将产生交通噪声，噪声强度与单车源强、车流量、车型比及车速等多种因素有关。</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环评预测结果可知，在不考虑建筑物对噪声屏蔽、绿化带隔声作用条件下，拟建道路建成运营远期昼间,道路红线两侧10m外昼间和夜间声环境均能够达到《声环境质量标准》(GB3096-2008)4a类标准(即昼间≤70dB(A)、夜间≤55dB(A))。本项目道路工程仅库尔勒路沿线有声环境敏感点，主要为康乐园小区、同济里小区、乌孙里小区、美美广场，均位于道路红线外50m，运营期道路噪声对以上声环境敏感点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eastAsia="宋体" w:cs="Times New Roman"/>
                <w:sz w:val="24"/>
                <w:szCs w:val="24"/>
                <w:lang w:val="en-US" w:eastAsia="zh-CN"/>
              </w:rPr>
              <w:t>（3）</w:t>
            </w:r>
            <w:r>
              <w:rPr>
                <w:rFonts w:hint="default" w:ascii="Times New Roman" w:hAnsi="Times New Roman" w:eastAsia="宋体" w:cs="Times New Roman"/>
                <w:sz w:val="24"/>
                <w:szCs w:val="24"/>
                <w:lang w:val="en-US" w:eastAsia="zh-CN"/>
              </w:rPr>
              <w:t>水环境影响分析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项目运营后水污染源主要来为降雨冲刷路面产生的路面径流污水，污水量影响因素包括降雨强度、降雨历时、降雨频率、车流量、路面宽度和产污路段长度等，主要污染物为石油类、有机物和SS。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项目设计文件，道路在不利于排水处设置开口型路缘石，将路面积水引至绿化带排出，从而使排水迅速畅通。本项目所在区城全年降水量较少，涉及道路沿线无地表水体，雨水汇集至低洼处，排入绿化带由植被吸收自然降解，对项目区水环境影响较小。</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lang w:val="en-US" w:eastAsia="zh-CN"/>
              </w:rPr>
              <w:t>4）固体废物环境影响分析</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8" w:firstLineChars="200"/>
              <w:textAlignment w:val="baseline"/>
              <w:rPr>
                <w:rFonts w:hint="default" w:ascii="Times New Roman" w:hAnsi="Times New Roman" w:eastAsia="宋体" w:cs="Times New Roman"/>
                <w:b/>
                <w:bCs/>
                <w:snapToGrid w:val="0"/>
                <w:color w:val="000000"/>
                <w:spacing w:val="4"/>
                <w:kern w:val="0"/>
                <w:sz w:val="24"/>
                <w:szCs w:val="24"/>
                <w:lang w:val="en-US" w:eastAsia="zh-CN"/>
              </w:rPr>
            </w:pPr>
            <w:r>
              <w:rPr>
                <w:rFonts w:hint="eastAsia" w:ascii="Times New Roman" w:hAnsi="Times New Roman" w:eastAsia="宋体" w:cs="Times New Roman"/>
                <w:b/>
                <w:bCs/>
                <w:snapToGrid w:val="0"/>
                <w:color w:val="000000"/>
                <w:spacing w:val="4"/>
                <w:kern w:val="0"/>
                <w:sz w:val="24"/>
                <w:szCs w:val="24"/>
                <w:lang w:val="en-US" w:eastAsia="zh-CN"/>
              </w:rPr>
              <w:t>6.1.6综合结论</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综上所述，本项目为奎屯-独山子经济技术开发区工业园区内部基础设施建设工程，符合奎-独经济技术开发区规划，属于《产业结构调整指导目录》2011年本(2013年修正)中鼓励类，对周围环境的污染主要体现在施工期，运营期基本无影响。</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本评价认为只要建设方在项目建设过程中严格落实本环评中提出的各污染防治措施，认真执行环保“三同时”，从环保角度分析，本项目的建设是可行的。</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6.</w:t>
            </w:r>
            <w:r>
              <w:rPr>
                <w:rFonts w:hint="default" w:ascii="Times New Roman" w:hAnsi="Times New Roman" w:eastAsia="宋体" w:cs="Times New Roman"/>
                <w:snapToGrid w:val="0"/>
                <w:color w:val="000000"/>
                <w:spacing w:val="4"/>
                <w:kern w:val="0"/>
                <w:sz w:val="24"/>
                <w:szCs w:val="24"/>
                <w:lang w:val="en-US" w:eastAsia="zh-CN"/>
              </w:rPr>
              <w:t>2要求</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napToGrid w:val="0"/>
                <w:color w:val="000000"/>
                <w:spacing w:val="4"/>
                <w:kern w:val="0"/>
                <w:sz w:val="24"/>
                <w:szCs w:val="24"/>
                <w:lang w:val="en-US" w:eastAsia="zh-CN"/>
              </w:rPr>
            </w:pPr>
            <w:r>
              <w:rPr>
                <w:rFonts w:hint="default" w:ascii="Times New Roman" w:hAnsi="Times New Roman" w:eastAsia="宋体" w:cs="Times New Roman"/>
                <w:snapToGrid w:val="0"/>
                <w:color w:val="000000"/>
                <w:spacing w:val="4"/>
                <w:kern w:val="0"/>
                <w:sz w:val="24"/>
                <w:szCs w:val="24"/>
                <w:lang w:val="en-US" w:eastAsia="zh-CN"/>
              </w:rPr>
              <w:t>(1)严格核定绿化带的灌溉定额，做好节水灌溉工作，避免喷、滴灌设施损坏而造成的漫灌</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根据区域内水资源利用现状，选择合理的灌溉期，尽量避开用水高峰，以保证水源供应。建议运营期在有条件的情况下，尽量采用中水进行绿化灌溉，节约水资源。</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spacing w:val="4"/>
                <w:kern w:val="0"/>
                <w:sz w:val="24"/>
                <w:szCs w:val="24"/>
                <w:lang w:val="en-US" w:eastAsia="zh-CN"/>
              </w:rPr>
              <w:t>(2)认真落实好环境风险评价中的各项防范措施，加强环境监督管理，保证污水管网安全运行</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加强建设单位与环保部门的联系，及时发现问题及时采取措施</w:t>
            </w:r>
            <w:r>
              <w:rPr>
                <w:rFonts w:hint="eastAsia" w:ascii="Times New Roman" w:hAnsi="Times New Roman" w:eastAsia="宋体" w:cs="Times New Roman"/>
                <w:snapToGrid w:val="0"/>
                <w:color w:val="000000"/>
                <w:spacing w:val="4"/>
                <w:kern w:val="0"/>
                <w:sz w:val="24"/>
                <w:szCs w:val="24"/>
                <w:lang w:val="en-US" w:eastAsia="zh-CN"/>
              </w:rPr>
              <w:t>；</w:t>
            </w:r>
            <w:r>
              <w:rPr>
                <w:rFonts w:hint="default" w:ascii="Times New Roman" w:hAnsi="Times New Roman" w:eastAsia="宋体" w:cs="Times New Roman"/>
                <w:snapToGrid w:val="0"/>
                <w:color w:val="000000"/>
                <w:spacing w:val="4"/>
                <w:kern w:val="0"/>
                <w:sz w:val="24"/>
                <w:szCs w:val="24"/>
                <w:lang w:val="en-US" w:eastAsia="zh-CN"/>
              </w:rPr>
              <w:t>运行中严格执行环保法规，保证符合各项环境质量标准。</w:t>
            </w:r>
          </w:p>
        </w:tc>
      </w:tr>
    </w:tbl>
    <w:p>
      <w:pPr>
        <w:rPr>
          <w:rFonts w:hint="default" w:ascii="Times New Roman" w:hAnsi="Times New Roman" w:cs="Times New Roman"/>
        </w:rPr>
        <w:sectPr>
          <w:footerReference r:id="rId12"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139" w:hRule="atLeast"/>
        </w:trPr>
        <w:tc>
          <w:tcPr>
            <w:tcW w:w="9029"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奎屯-独山子经济技术开发区环境保护局</w:t>
            </w:r>
            <w:r>
              <w:rPr>
                <w:rFonts w:hint="default" w:ascii="Times New Roman" w:hAnsi="Times New Roman" w:eastAsia="宋体" w:cs="Times New Roman"/>
                <w:b/>
                <w:bCs/>
                <w:snapToGrid w:val="0"/>
                <w:color w:val="auto"/>
                <w:sz w:val="24"/>
                <w:szCs w:val="24"/>
                <w:lang w:val="en-US" w:eastAsia="zh-CN"/>
              </w:rPr>
              <w:t>文件</w:t>
            </w:r>
          </w:p>
          <w:p>
            <w:pPr>
              <w:adjustRightInd/>
              <w:snapToGrid/>
              <w:spacing w:after="0" w:line="360" w:lineRule="auto"/>
              <w:ind w:firstLine="480" w:firstLineChars="200"/>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20</w:t>
            </w:r>
            <w:r>
              <w:rPr>
                <w:rFonts w:hint="eastAsia" w:ascii="Times New Roman" w:hAnsi="Times New Roman" w:eastAsia="宋体" w:cs="Times New Roman"/>
                <w:sz w:val="24"/>
                <w:szCs w:val="24"/>
                <w:lang w:val="en-US" w:eastAsia="zh-CN"/>
              </w:rPr>
              <w:t>17</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27</w:t>
            </w:r>
            <w:r>
              <w:rPr>
                <w:rFonts w:hint="default" w:ascii="Times New Roman" w:hAnsi="Times New Roman" w:eastAsia="宋体" w:cs="Times New Roman"/>
                <w:sz w:val="24"/>
                <w:szCs w:val="24"/>
              </w:rPr>
              <w:t>号</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新疆润盛投资发展有限公司奎屯-独山子经济技术开发区2013年基础设施建设项目</w:t>
            </w:r>
            <w:r>
              <w:rPr>
                <w:rFonts w:hint="default" w:ascii="Times New Roman" w:hAnsi="Times New Roman" w:eastAsia="宋体" w:cs="Times New Roman"/>
                <w:b/>
                <w:bCs/>
                <w:snapToGrid w:val="0"/>
                <w:color w:val="auto"/>
                <w:sz w:val="24"/>
                <w:szCs w:val="24"/>
              </w:rPr>
              <w:t>环境影响报告表的</w:t>
            </w:r>
            <w:r>
              <w:rPr>
                <w:rFonts w:hint="eastAsia" w:ascii="Times New Roman" w:hAnsi="Times New Roman" w:eastAsia="宋体" w:cs="Times New Roman"/>
                <w:b/>
                <w:bCs/>
                <w:snapToGrid w:val="0"/>
                <w:color w:val="auto"/>
                <w:sz w:val="24"/>
                <w:szCs w:val="24"/>
                <w:lang w:val="en-US" w:eastAsia="zh-CN"/>
              </w:rPr>
              <w:t>备案意见</w:t>
            </w:r>
          </w:p>
          <w:p>
            <w:pPr>
              <w:keepNext w:val="0"/>
              <w:keepLines w:val="0"/>
              <w:pageBreakBefore w:val="0"/>
              <w:widowControl/>
              <w:kinsoku/>
              <w:wordWrap/>
              <w:overflowPunct/>
              <w:topLinePunct w:val="0"/>
              <w:autoSpaceDE/>
              <w:autoSpaceDN/>
              <w:bidi w:val="0"/>
              <w:spacing w:line="360" w:lineRule="auto"/>
              <w:ind w:left="0"/>
              <w:textAlignment w:val="baseline"/>
              <w:rPr>
                <w:rFonts w:hint="eastAsia" w:ascii="宋体" w:hAnsi="宋体" w:eastAsia="宋体" w:cs="宋体"/>
                <w:sz w:val="24"/>
                <w:szCs w:val="24"/>
              </w:rPr>
            </w:pPr>
            <w:r>
              <w:rPr>
                <w:rFonts w:hint="eastAsia" w:ascii="宋体" w:hAnsi="宋体" w:eastAsia="宋体" w:cs="宋体"/>
                <w:color w:val="000000"/>
                <w:sz w:val="24"/>
                <w:szCs w:val="24"/>
                <w:lang w:val="en-US" w:eastAsia="zh-CN"/>
              </w:rPr>
              <w:t>新疆润盛投资发展有限公司</w:t>
            </w:r>
            <w:r>
              <w:rPr>
                <w:rFonts w:hint="eastAsia" w:ascii="宋体" w:hAnsi="宋体" w:eastAsia="宋体" w:cs="宋体"/>
                <w:sz w:val="24"/>
                <w:szCs w:val="24"/>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你单位</w:t>
            </w:r>
            <w:r>
              <w:rPr>
                <w:rFonts w:hint="default" w:ascii="Times New Roman" w:hAnsi="Times New Roman" w:eastAsia="宋体" w:cs="Times New Roman"/>
                <w:spacing w:val="-4"/>
                <w:sz w:val="24"/>
                <w:szCs w:val="24"/>
                <w:lang w:val="en-US" w:eastAsia="zh-CN"/>
              </w:rPr>
              <w:t>报送的《新疆润盛投资发展有限公司奎屯-独山子经济技术开发区2013年基础设施建设项目环境影响报告表》(以下简称《报告表》)收悉。鉴于该项目属于基础设施建设项目，符合开发区总体规划。根据中共新疆维吾尔自治区委员会办公厅文件(新党办发[2011]15号)和伊犁州建设项目环境影响评价分级审批规定，结合《报告表》评价结论，经研究，备案如下：</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一、新疆润盛投资发展有限公司奎屯-独山子经济技术开发区2013年基础设施建设项目，位于奎屯-独山子经济技术开发区。本项目包括新建、改建项目，建设规模与建设内容</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道路工程17.52km，其中</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北一区改造道路0.6km，北二区新建道路7.57km，奎东特色产业园新建道路9.35km</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北一区仓储物流区建设供排水管线1.1km</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路肩改造0.24万m</w:t>
            </w:r>
            <w:r>
              <w:rPr>
                <w:rFonts w:hint="eastAsia" w:ascii="Times New Roman" w:hAnsi="Times New Roman" w:cs="Times New Roman"/>
                <w:snapToGrid w:val="0"/>
                <w:color w:val="000000"/>
                <w:kern w:val="0"/>
                <w:sz w:val="24"/>
                <w:szCs w:val="24"/>
                <w:vertAlign w:val="superscript"/>
                <w:lang w:val="en-US" w:eastAsia="zh-CN"/>
              </w:rPr>
              <w:t>2</w:t>
            </w:r>
            <w:r>
              <w:rPr>
                <w:rFonts w:hint="default" w:ascii="Times New Roman" w:hAnsi="Times New Roman" w:eastAsia="Arial" w:cs="Times New Roman"/>
                <w:snapToGrid w:val="0"/>
                <w:color w:val="000000"/>
                <w:kern w:val="0"/>
                <w:sz w:val="24"/>
                <w:szCs w:val="24"/>
                <w:lang w:val="en-US" w:eastAsia="zh-CN"/>
              </w:rPr>
              <w:t>、绿化、林床改造项目建设9.2万m</w:t>
            </w:r>
            <w:r>
              <w:rPr>
                <w:rFonts w:hint="eastAsia" w:ascii="Times New Roman" w:hAnsi="Times New Roman" w:cs="Times New Roman"/>
                <w:snapToGrid w:val="0"/>
                <w:color w:val="000000"/>
                <w:kern w:val="0"/>
                <w:sz w:val="24"/>
                <w:szCs w:val="24"/>
                <w:vertAlign w:val="superscript"/>
                <w:lang w:val="en-US" w:eastAsia="zh-CN"/>
              </w:rPr>
              <w:t>2</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亮化路灯320盏项目</w:t>
            </w:r>
            <w:r>
              <w:rPr>
                <w:rFonts w:hint="default"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电力线路改迁建设4.081km。项目总投资16098万元，其中环保投资1385万元，占总投资8.6%。</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根据新疆净源环境咨询有限公司编制的《报告表》评价结论，从环境保护角度，我局原则同意该项目按照《报告表》所列建设项目的性质、规模、地点、工艺及环境保护措施建设。</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该项目环境影响评价文件未经环保部门审批即擅自投入运行，违反了《环境影响评价法》的有关规定，你公司必须认真吸取教训，增强守法意识，杜绝违法行为再次发生。该项目施工期结束，在运营期重点做好以下工作</w:t>
            </w:r>
            <w:r>
              <w:rPr>
                <w:rFonts w:hint="default" w:ascii="Times New Roman" w:hAnsi="Times New Roman"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(一)加强绿化、采取防护措施减少区域水土流失，确保项目建设对周边生态环境不造成明显影响。</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(二)在道路养护过程中产生的沥青废渣，需由维修施工单位全部运往环卫部门指定的地点进行处理。</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(三)排水管网要配备必要的事故处理设施及管线巡视人员，加强管线沿线巡查，确保管线正常运行。</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(四)改迁后的电力线路运行时产生的工频电场、磁场小于参考标准4kV/m、0.1mT的限值。</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三、项目必须严格执行环</w:t>
            </w:r>
            <w:r>
              <w:rPr>
                <w:rFonts w:hint="eastAsia" w:ascii="宋体" w:hAnsi="宋体" w:eastAsia="宋体" w:cs="宋体"/>
                <w:snapToGrid w:val="0"/>
                <w:color w:val="000000"/>
                <w:kern w:val="0"/>
                <w:sz w:val="24"/>
                <w:szCs w:val="24"/>
                <w:lang w:val="en-US" w:eastAsia="zh-CN"/>
              </w:rPr>
              <w:t>保“三同时”制</w:t>
            </w:r>
            <w:r>
              <w:rPr>
                <w:rFonts w:hint="default" w:ascii="Times New Roman" w:hAnsi="Times New Roman" w:eastAsia="Arial" w:cs="Times New Roman"/>
                <w:snapToGrid w:val="0"/>
                <w:color w:val="000000"/>
                <w:kern w:val="0"/>
                <w:sz w:val="24"/>
                <w:szCs w:val="24"/>
                <w:lang w:val="en-US" w:eastAsia="zh-CN"/>
              </w:rPr>
              <w:t>度。项目竣工后，须按规定程序申请项目竣工环境保护验收，经验收合格后，方可正式投入运营。如项目的性质、规模、地点、采用的污染防止措施和生态环境保护措施发生重大变化，须报我局重新审批。</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四、项目运营期的环境监督管理工作由我局和奎屯市环境监察大队负责。并按照规定接受各级环境保护部门的监督检查。</w:t>
            </w:r>
          </w:p>
          <w:p>
            <w:pPr>
              <w:pStyle w:val="6"/>
              <w:rPr>
                <w:rFonts w:hint="default" w:ascii="Times New Roman" w:hAnsi="Times New Roman" w:eastAsia="Arial" w:cs="Times New Roman"/>
                <w:snapToGrid w:val="0"/>
                <w:color w:val="000000"/>
                <w:kern w:val="0"/>
                <w:sz w:val="24"/>
                <w:szCs w:val="24"/>
                <w:lang w:val="en-US" w:eastAsia="zh-CN"/>
              </w:rPr>
            </w:pPr>
          </w:p>
          <w:p>
            <w:pPr>
              <w:pStyle w:val="7"/>
              <w:ind w:left="0" w:leftChars="0" w:firstLine="0" w:firstLineChars="0"/>
              <w:rPr>
                <w:rFonts w:hint="default"/>
                <w:lang w:val="en-US" w:eastAsia="zh-CN"/>
              </w:rPr>
            </w:pPr>
          </w:p>
          <w:p>
            <w:pPr>
              <w:pStyle w:val="6"/>
              <w:rPr>
                <w:rFonts w:hint="default"/>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right"/>
              <w:textAlignment w:val="baseline"/>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b w:val="0"/>
                <w:bCs w:val="0"/>
                <w:snapToGrid w:val="0"/>
                <w:color w:val="auto"/>
                <w:sz w:val="24"/>
                <w:szCs w:val="24"/>
                <w:lang w:val="en-US" w:eastAsia="zh-CN"/>
              </w:rPr>
              <w:t>奎屯-独山子经济技术开发区环境保护局</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760" w:firstLineChars="24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w:t>
            </w:r>
            <w:r>
              <w:rPr>
                <w:rFonts w:hint="eastAsia" w:ascii="Times New Roman" w:hAnsi="Times New Roman" w:eastAsia="宋体" w:cs="Times New Roman"/>
                <w:color w:val="000000"/>
                <w:sz w:val="24"/>
                <w:szCs w:val="24"/>
                <w:lang w:val="en-US" w:eastAsia="zh-CN"/>
              </w:rPr>
              <w:t>17</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7</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18</w:t>
            </w:r>
            <w:r>
              <w:rPr>
                <w:rFonts w:hint="default" w:ascii="Times New Roman" w:hAnsi="Times New Roman" w:eastAsia="宋体" w:cs="Times New Roman"/>
                <w:color w:val="000000"/>
                <w:sz w:val="24"/>
                <w:szCs w:val="24"/>
                <w:lang w:val="en-US" w:eastAsia="zh-CN"/>
              </w:rPr>
              <w:t>日</w:t>
            </w:r>
          </w:p>
        </w:tc>
      </w:tr>
    </w:tbl>
    <w:p>
      <w:pPr>
        <w:rPr>
          <w:rFonts w:hint="default" w:ascii="Times New Roman" w:hAnsi="Times New Roman" w:cs="Times New Roman"/>
          <w:sz w:val="21"/>
        </w:rPr>
      </w:pPr>
    </w:p>
    <w:p>
      <w:pPr>
        <w:rPr>
          <w:rFonts w:hint="default" w:ascii="Times New Roman" w:hAnsi="Times New Roman" w:cs="Times New Roman"/>
        </w:rPr>
        <w:sectPr>
          <w:footerReference r:id="rId13"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6" w:name="_Toc7541"/>
      <w:r>
        <w:rPr>
          <w:rFonts w:hint="default" w:ascii="Times New Roman" w:hAnsi="Times New Roman" w:cs="Times New Roman"/>
          <w:sz w:val="32"/>
          <w:szCs w:val="52"/>
        </w:rPr>
        <w:t>表七 环境保护措施执行情况</w:t>
      </w:r>
      <w:bookmarkEnd w:id="6"/>
    </w:p>
    <w:p>
      <w:pPr>
        <w:spacing w:line="74" w:lineRule="exact"/>
        <w:rPr>
          <w:rFonts w:hint="default" w:ascii="Times New Roman" w:hAnsi="Times New Roman" w:cs="Times New Roman"/>
        </w:rPr>
      </w:pPr>
    </w:p>
    <w:tbl>
      <w:tblPr>
        <w:tblStyle w:val="19"/>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3314"/>
        <w:gridCol w:w="3346"/>
        <w:gridCol w:w="11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jc w:val="center"/>
        </w:trPr>
        <w:tc>
          <w:tcPr>
            <w:tcW w:w="1176" w:type="dxa"/>
            <w:gridSpan w:val="2"/>
            <w:tcBorders>
              <w:tl2br w:val="single" w:color="000000" w:sz="2"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3" w:hRule="atLeast"/>
          <w:jc w:val="center"/>
        </w:trPr>
        <w:tc>
          <w:tcPr>
            <w:tcW w:w="563" w:type="dxa"/>
            <w:vMerge w:val="restart"/>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outlineLvl w:val="6"/>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本项目施工期对大气环境影响主要为施工扬尘、施工机械设备运输车辆所产生的废气，选用符合国家标准的施工机械和运输工具，及采取洒水降尘、设置不低于2.5m的围挡、遮盖、密闭方式运输等措施，减少废气的产生量，并且其产生的响范围不大，施工结束影响即消失，对环境空气影响较小。</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9"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经调查，本项目的施工废水主要为砂石料冲洗水及车辆机械冲洗水等，废水经沉淀池处理后，回用于场地洒水抑尘，不外排；</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实际为施工期租赁附近村庄民房，生活废水依托村庄现有排水设施处理。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64"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经调查，施工期合理安排了施工时间，严格按照规范进行操作；采用了低噪声施工机械和设备，对高噪声设施采取了减振、隔声的措施；并且定期对设备进行维修。</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2" w:hRule="atLeast"/>
          <w:jc w:val="center"/>
        </w:trPr>
        <w:tc>
          <w:tcPr>
            <w:tcW w:w="563" w:type="dxa"/>
            <w:vMerge w:val="continue"/>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w:t>
            </w:r>
            <w:r>
              <w:rPr>
                <w:rFonts w:hint="default" w:ascii="Times New Roman" w:hAnsi="Times New Roman" w:eastAsia="宋体" w:cs="Times New Roman"/>
                <w:color w:val="auto"/>
                <w:sz w:val="21"/>
                <w:szCs w:val="21"/>
                <w:lang w:val="zh-CN" w:eastAsia="zh-CN" w:bidi="zh-CN"/>
              </w:rPr>
              <w:t>项目施工期固体废物主要来源于废弃土方、建筑垃圾和施工人员生活垃圾。</w:t>
            </w:r>
            <w:r>
              <w:rPr>
                <w:rFonts w:hint="default" w:ascii="Times New Roman" w:hAnsi="Times New Roman" w:eastAsia="宋体" w:cs="Times New Roman"/>
                <w:color w:val="auto"/>
                <w:sz w:val="21"/>
                <w:szCs w:val="21"/>
              </w:rPr>
              <w:t>施工时，弃土堆砌在</w:t>
            </w:r>
            <w:r>
              <w:rPr>
                <w:rFonts w:hint="default" w:ascii="Times New Roman" w:hAnsi="Times New Roman" w:eastAsia="宋体" w:cs="Times New Roman"/>
                <w:color w:val="auto"/>
                <w:sz w:val="21"/>
                <w:szCs w:val="21"/>
                <w:lang w:val="en-US" w:eastAsia="zh-CN"/>
              </w:rPr>
              <w:t>河道</w:t>
            </w:r>
            <w:r>
              <w:rPr>
                <w:rFonts w:hint="default" w:ascii="Times New Roman" w:hAnsi="Times New Roman" w:eastAsia="宋体" w:cs="Times New Roman"/>
                <w:color w:val="auto"/>
                <w:sz w:val="21"/>
                <w:szCs w:val="21"/>
              </w:rPr>
              <w:t>两侧；施工完成后，将</w:t>
            </w:r>
            <w:r>
              <w:rPr>
                <w:rFonts w:hint="default" w:ascii="Times New Roman" w:hAnsi="Times New Roman" w:eastAsia="宋体" w:cs="Times New Roman"/>
                <w:color w:val="auto"/>
                <w:sz w:val="21"/>
                <w:szCs w:val="21"/>
                <w:lang w:val="en-US" w:eastAsia="zh-CN"/>
              </w:rPr>
              <w:t>弃土方全部堆于河道凹坑内或就近摊平</w:t>
            </w:r>
            <w:r>
              <w:rPr>
                <w:rFonts w:hint="default" w:ascii="Times New Roman" w:hAnsi="Times New Roman" w:eastAsia="宋体" w:cs="Times New Roman"/>
                <w:color w:val="auto"/>
                <w:sz w:val="21"/>
                <w:szCs w:val="21"/>
              </w:rPr>
              <w:t>，自然恢复植被。</w:t>
            </w:r>
            <w:r>
              <w:rPr>
                <w:rFonts w:hint="default" w:ascii="Times New Roman" w:hAnsi="Times New Roman" w:eastAsia="宋体" w:cs="Times New Roman"/>
                <w:color w:val="auto"/>
                <w:sz w:val="21"/>
                <w:szCs w:val="21"/>
                <w:lang w:val="zh-CN" w:eastAsia="zh-CN" w:bidi="zh-CN"/>
              </w:rPr>
              <w:t>建筑垃圾主要</w:t>
            </w:r>
            <w:r>
              <w:rPr>
                <w:rFonts w:hint="default" w:ascii="Times New Roman" w:hAnsi="Times New Roman" w:eastAsia="宋体" w:cs="Times New Roman"/>
                <w:color w:val="auto"/>
                <w:spacing w:val="-8"/>
                <w:sz w:val="21"/>
                <w:szCs w:val="21"/>
                <w:lang w:val="zh-CN" w:eastAsia="zh-CN" w:bidi="zh-CN"/>
              </w:rPr>
              <w:t>为多余和废弃筑路材料；生活垃圾主要为施工人员产生的垃圾。</w:t>
            </w:r>
            <w:r>
              <w:rPr>
                <w:rFonts w:hint="default" w:ascii="Times New Roman" w:hAnsi="Times New Roman" w:eastAsia="宋体" w:cs="Times New Roman"/>
                <w:color w:val="auto"/>
                <w:spacing w:val="-10"/>
                <w:sz w:val="21"/>
                <w:szCs w:val="21"/>
                <w:lang w:val="zh-CN" w:eastAsia="zh-CN" w:bidi="zh-CN"/>
              </w:rPr>
              <w:t>生活垃圾集中收集后由环卫部门统一处理。</w:t>
            </w:r>
            <w:r>
              <w:rPr>
                <w:rFonts w:hint="default" w:ascii="Times New Roman" w:hAnsi="Times New Roman" w:eastAsia="宋体" w:cs="Times New Roman"/>
                <w:bCs/>
                <w:sz w:val="21"/>
                <w:szCs w:val="21"/>
                <w:lang w:val="en-US" w:eastAsia="zh-CN"/>
              </w:rPr>
              <w:t>因此，未对周边环境造成影响。</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napToGrid w:val="0"/>
                <w:color w:val="000000"/>
                <w:spacing w:val="4"/>
                <w:kern w:val="0"/>
                <w:sz w:val="21"/>
                <w:szCs w:val="21"/>
                <w:lang w:val="en-US" w:eastAsia="zh-CN"/>
              </w:rPr>
              <w:t>本项目施工期已经结束，经过现场踏勘，施工道路沿线无施工遗迹、建筑垃圾等残留，无与施工期有关的环境污染。</w:t>
            </w:r>
          </w:p>
        </w:tc>
        <w:tc>
          <w:tcPr>
            <w:tcW w:w="3346"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在建设过程中，已</w:t>
            </w:r>
            <w:r>
              <w:rPr>
                <w:rFonts w:hint="default" w:ascii="Times New Roman" w:hAnsi="Times New Roman" w:eastAsia="宋体" w:cs="Times New Roman"/>
                <w:spacing w:val="-4"/>
                <w:sz w:val="21"/>
                <w:szCs w:val="21"/>
                <w:lang w:val="en-US" w:eastAsia="zh-CN"/>
              </w:rPr>
              <w:t>加强水土保持管理工作，严格遵守国家和地方有关动植物保护和防止水土流失等法律法规，最大限度减少占地产生的不利影响，划定施工范围，在施工营地、防洪堤周边等设置警示标牌，任何施工人员和器械不得越过红线施工或任意活动。工程建设过程中在施工范围红线内尽量保留现有植被，应及时对施工中破坏、扰动的地面进行砂砾石覆盖，减少水土流失的发生。对建设中永久占用草地部分的表层土予以收集保存，以便施工结束后复垦或选择当地适宜植物及时恢复绿化。</w:t>
            </w:r>
          </w:p>
        </w:tc>
        <w:tc>
          <w:tcPr>
            <w:tcW w:w="1110"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20" w:hRule="atLeast"/>
          <w:jc w:val="center"/>
        </w:trPr>
        <w:tc>
          <w:tcPr>
            <w:tcW w:w="563"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运</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营</w:t>
            </w:r>
          </w:p>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期</w:t>
            </w: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 xml:space="preserve"> 气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本项目对道路绿化带和林床进行整治，绿化植物吸附一定量汽车尾气。</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default" w:ascii="Times New Roman" w:hAnsi="Times New Roman" w:eastAsia="宋体" w:cs="Times New Roman"/>
                <w:snapToGrid w:val="0"/>
                <w:color w:val="000000"/>
                <w:kern w:val="0"/>
                <w:sz w:val="21"/>
                <w:szCs w:val="21"/>
                <w:lang w:val="en-US" w:eastAsia="zh-CN" w:bidi="ar"/>
              </w:rPr>
              <w:t>已核实，本项目对道路绿化带和林床进行了整治，使绿化植物吸附一定量汽车尾气。</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7"/>
                <w:sz w:val="21"/>
                <w:szCs w:val="21"/>
              </w:rPr>
              <w:t>水 环 境</w:t>
            </w:r>
          </w:p>
        </w:tc>
        <w:tc>
          <w:tcPr>
            <w:tcW w:w="3314"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排水管网要配备必要的事故处理设施及管线巡视人员，加强管线沿线巡查，确保管线正常运行。</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核实，本项目</w:t>
            </w:r>
            <w:r>
              <w:rPr>
                <w:rFonts w:hint="default" w:ascii="Times New Roman" w:hAnsi="Times New Roman" w:eastAsia="宋体" w:cs="Times New Roman"/>
                <w:snapToGrid w:val="0"/>
                <w:color w:val="000000"/>
                <w:kern w:val="0"/>
                <w:sz w:val="21"/>
                <w:szCs w:val="21"/>
                <w:lang w:val="en-US" w:eastAsia="zh-CN"/>
              </w:rPr>
              <w:t>排水管网已配备必要的事故处理设施及管线巡视人员，加强管线沿线巡查，确保管线正常运行。</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 xml:space="preserve"> 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z w:val="21"/>
                <w:szCs w:val="21"/>
                <w:lang w:val="en-US" w:eastAsia="zh-CN"/>
              </w:rPr>
              <w:t>绿化带隔声作用条件下，拟建道路建成运营远期昼间,道路红线两侧10m外昼间和夜间声环境均能够达到《声环境质量标准》(GB3096-2008)4a类标准(即昼间≤70dB(A)、夜间≤55dB(A))。</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w:t>
            </w:r>
            <w:r>
              <w:rPr>
                <w:rFonts w:hint="default" w:ascii="Times New Roman" w:hAnsi="Times New Roman" w:eastAsia="宋体" w:cs="Times New Roman"/>
                <w:sz w:val="21"/>
                <w:szCs w:val="21"/>
                <w:lang w:val="en-US" w:eastAsia="zh-CN"/>
              </w:rPr>
              <w:t>绿化带隔声作用条件下，拟建道路建成运营远期昼间,道路红线两侧10m外昼间和夜间声环境均能够达到《声环境质量标准》(GB3096-2008)4a类标准(即昼间≤70dB(A)、夜间≤55dB(A))。</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 xml:space="preserve"> 体 废 物</w:t>
            </w:r>
          </w:p>
        </w:tc>
        <w:tc>
          <w:tcPr>
            <w:tcW w:w="3314"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在道路养护过程中产生的沥青废渣，需由维修施工单位全部运往环卫部门指定的地点进行处理。</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在道路养护过程中产生的沥青废渣，由维修施工单位全部运往环卫部门指定的地点进行处理。</w:t>
            </w:r>
          </w:p>
        </w:tc>
        <w:tc>
          <w:tcPr>
            <w:tcW w:w="1110"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cBorders>
              <w:bottom w:val="single" w:color="auto" w:sz="4" w:space="0"/>
            </w:tcBorders>
            <w:textDirection w:val="tbRlV"/>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leftChars="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rPr>
              <w:t>生 态 环 境</w:t>
            </w:r>
          </w:p>
        </w:tc>
        <w:tc>
          <w:tcPr>
            <w:tcW w:w="3314"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w:t>
            </w:r>
            <w:r>
              <w:rPr>
                <w:rFonts w:hint="default" w:ascii="Times New Roman" w:hAnsi="Times New Roman" w:eastAsia="宋体" w:cs="Times New Roman"/>
                <w:color w:val="auto"/>
                <w:sz w:val="21"/>
                <w:szCs w:val="21"/>
                <w:lang w:val="en-US" w:eastAsia="zh-CN"/>
              </w:rPr>
              <w:t>对临时占地范围恢复的植被及土壤进行管理</w:t>
            </w:r>
            <w:r>
              <w:rPr>
                <w:rFonts w:hint="default" w:ascii="Times New Roman" w:hAnsi="Times New Roman" w:eastAsia="宋体" w:cs="Times New Roman"/>
                <w:snapToGrid w:val="0"/>
                <w:color w:val="000000"/>
                <w:kern w:val="0"/>
                <w:sz w:val="21"/>
                <w:szCs w:val="21"/>
                <w:lang w:val="en-US" w:eastAsia="zh-CN" w:bidi="ar"/>
              </w:rPr>
              <w:t>。</w:t>
            </w:r>
          </w:p>
        </w:tc>
        <w:tc>
          <w:tcPr>
            <w:tcW w:w="3346"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bidi="ar"/>
              </w:rPr>
              <w:t>项目建成后</w:t>
            </w:r>
            <w:r>
              <w:rPr>
                <w:rFonts w:hint="default" w:ascii="Times New Roman" w:hAnsi="Times New Roman" w:eastAsia="宋体" w:cs="Times New Roman"/>
                <w:color w:val="auto"/>
                <w:sz w:val="21"/>
                <w:szCs w:val="21"/>
                <w:lang w:val="en-US" w:eastAsia="zh-CN"/>
              </w:rPr>
              <w:t>对临时占地范围恢复的植被及土壤进行管理，已进行土地平整</w:t>
            </w:r>
            <w:r>
              <w:rPr>
                <w:rFonts w:hint="default" w:ascii="Times New Roman" w:hAnsi="Times New Roman" w:eastAsia="宋体" w:cs="Times New Roman"/>
                <w:snapToGrid w:val="0"/>
                <w:color w:val="000000"/>
                <w:kern w:val="0"/>
                <w:sz w:val="21"/>
                <w:szCs w:val="21"/>
                <w:lang w:val="en-US" w:eastAsia="zh-CN" w:bidi="ar"/>
              </w:rPr>
              <w:t>。</w:t>
            </w:r>
          </w:p>
        </w:tc>
        <w:tc>
          <w:tcPr>
            <w:tcW w:w="1110"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bl>
    <w:p>
      <w:pPr>
        <w:rPr>
          <w:rFonts w:hint="default" w:ascii="Times New Roman" w:hAnsi="Times New Roman" w:cs="Times New Roman"/>
          <w:sz w:val="21"/>
        </w:rPr>
      </w:pPr>
    </w:p>
    <w:p>
      <w:pPr>
        <w:rPr>
          <w:rFonts w:hint="default" w:ascii="Times New Roman" w:hAnsi="Times New Roman" w:cs="Times New Roman"/>
        </w:rPr>
        <w:sectPr>
          <w:footerReference r:id="rId14"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7" w:name="_Toc5742"/>
      <w:r>
        <w:rPr>
          <w:rFonts w:hint="default" w:ascii="Times New Roman" w:hAnsi="Times New Roman" w:cs="Times New Roman"/>
          <w:sz w:val="32"/>
          <w:szCs w:val="52"/>
        </w:rPr>
        <w:t>表八 环境影响调查</w:t>
      </w:r>
      <w:bookmarkEnd w:id="7"/>
    </w:p>
    <w:tbl>
      <w:tblPr>
        <w:tblStyle w:val="19"/>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8"/>
        <w:gridCol w:w="610"/>
        <w:gridCol w:w="77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78" w:type="dxa"/>
            <w:vMerge w:val="restart"/>
            <w:vAlign w:val="center"/>
          </w:tcPr>
          <w:p>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pPr>
              <w:keepNext w:val="0"/>
              <w:keepLines w:val="0"/>
              <w:pageBreakBefore w:val="0"/>
              <w:widowControl/>
              <w:suppressLineNumbers w:val="0"/>
              <w:kinsoku/>
              <w:wordWrap/>
              <w:overflowPunct/>
              <w:topLinePunct w:val="0"/>
              <w:autoSpaceDE/>
              <w:autoSpaceDN/>
              <w:bidi w:val="0"/>
              <w:spacing w:line="360" w:lineRule="auto"/>
              <w:ind w:firstLine="452" w:firstLineChars="200"/>
              <w:jc w:val="both"/>
              <w:textAlignment w:val="baseline"/>
              <w:rPr>
                <w:rFonts w:hint="default" w:ascii="宋体" w:hAnsi="宋体" w:eastAsia="宋体" w:cs="宋体"/>
                <w:snapToGrid w:val="0"/>
                <w:color w:val="000000"/>
                <w:kern w:val="0"/>
                <w:sz w:val="24"/>
                <w:szCs w:val="24"/>
                <w:lang w:val="en-US" w:eastAsia="zh-CN" w:bidi="ar"/>
              </w:rPr>
            </w:pPr>
            <w:r>
              <w:rPr>
                <w:rFonts w:hint="default" w:ascii="Times New Roman" w:hAnsi="Times New Roman" w:eastAsia="宋体" w:cs="Times New Roman"/>
                <w:spacing w:val="-7"/>
                <w:sz w:val="24"/>
                <w:szCs w:val="24"/>
                <w:lang w:eastAsia="zh-CN"/>
              </w:rPr>
              <w:t>本项目位于奎屯-独山子经济技术开发区内。</w:t>
            </w:r>
            <w:r>
              <w:rPr>
                <w:rFonts w:hint="eastAsia" w:ascii="宋体" w:hAnsi="宋体" w:eastAsia="宋体" w:cs="宋体"/>
                <w:snapToGrid w:val="0"/>
                <w:color w:val="000000"/>
                <w:kern w:val="0"/>
                <w:sz w:val="24"/>
                <w:szCs w:val="24"/>
                <w:lang w:val="en-US" w:eastAsia="zh-CN" w:bidi="ar"/>
              </w:rPr>
              <w:t>本项目施工期地表开挖使区域植被遭到破坏，对植被有一定的影响。</w:t>
            </w:r>
          </w:p>
          <w:p>
            <w:pPr>
              <w:keepNext w:val="0"/>
              <w:keepLines w:val="0"/>
              <w:pageBreakBefore w:val="0"/>
              <w:widowControl/>
              <w:suppressLineNumbers w:val="0"/>
              <w:kinsoku/>
              <w:wordWrap/>
              <w:overflowPunct/>
              <w:topLinePunct w:val="0"/>
              <w:autoSpaceDE/>
              <w:autoSpaceDN/>
              <w:bidi w:val="0"/>
              <w:spacing w:line="360" w:lineRule="auto"/>
              <w:ind w:firstLine="480" w:firstLineChars="200"/>
              <w:jc w:val="both"/>
              <w:textAlignment w:val="baseline"/>
              <w:rPr>
                <w:rFonts w:hint="default" w:ascii="Times New Roman" w:hAnsi="Times New Roman" w:eastAsia="宋体" w:cs="Times New Roman"/>
                <w:sz w:val="24"/>
                <w:szCs w:val="24"/>
              </w:rPr>
            </w:pPr>
            <w:r>
              <w:rPr>
                <w:rFonts w:hint="eastAsia" w:ascii="宋体" w:hAnsi="宋体" w:eastAsia="宋体" w:cs="宋体"/>
                <w:snapToGrid w:val="0"/>
                <w:color w:val="000000"/>
                <w:kern w:val="0"/>
                <w:sz w:val="24"/>
                <w:szCs w:val="24"/>
                <w:lang w:val="en-US" w:eastAsia="zh-CN" w:bidi="ar"/>
              </w:rPr>
              <w:t>建设单位合理安排施工进度，避开雨季施工，减少了水土流失，本项目施工期已经结束，经现场调查，施工时已将占地范围内的表层土壤合理收集，用于后期的临时占地恢复及绿化工程。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08" w:hRule="atLeast"/>
          <w:jc w:val="center"/>
        </w:trPr>
        <w:tc>
          <w:tcPr>
            <w:tcW w:w="678" w:type="dxa"/>
            <w:vMerge w:val="continue"/>
            <w:tcBorders/>
            <w:vAlign w:val="center"/>
          </w:tcPr>
          <w:p>
            <w:pPr>
              <w:jc w:val="center"/>
              <w:rPr>
                <w:rFonts w:hint="default" w:ascii="Times New Roman" w:hAnsi="Times New Roman" w:cs="Times New Roman"/>
                <w:sz w:val="21"/>
              </w:rPr>
            </w:pP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（1）大气环境影响调查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施工期大气污染物主要为施工扬尘与施工车辆尾气。根据调查，施工期间在场地四周设置有2m的围挡，</w:t>
            </w:r>
            <w:r>
              <w:rPr>
                <w:rFonts w:hint="eastAsia" w:ascii="Times New Roman" w:hAnsi="Times New Roman" w:eastAsia="宋体" w:cs="Times New Roman"/>
                <w:spacing w:val="-7"/>
                <w:sz w:val="24"/>
                <w:szCs w:val="24"/>
                <w:lang w:val="en-US" w:eastAsia="zh-CN"/>
              </w:rPr>
              <w:t>施工现场不设置</w:t>
            </w:r>
            <w:r>
              <w:rPr>
                <w:rFonts w:hint="default" w:ascii="Times New Roman" w:hAnsi="Times New Roman" w:eastAsia="宋体" w:cs="Times New Roman"/>
                <w:spacing w:val="-7"/>
                <w:sz w:val="24"/>
                <w:szCs w:val="24"/>
                <w:lang w:val="en-US" w:eastAsia="zh-CN"/>
              </w:rPr>
              <w:t>混凝土拌合站、道路洒水降尘，定期清扫等，在装卸和运输过程中采用喷淋、遮盖、密闭式运输等措施。</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工程对项目区大气环境影响较小，施工结束后，污染也随之消失。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（2）水环境影响调查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施工废水经沉淀池处理后回用于施工现场洒水抑尘，不外排；</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施工期居住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附近民房</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，生活废水经</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现有排水设施</w:t>
            </w:r>
            <w:r>
              <w:rPr>
                <w:rFonts w:hint="default"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处理</w:t>
            </w: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rPr>
              <w:t>严禁施工废</w:t>
            </w:r>
            <w:r>
              <w:rPr>
                <w:rFonts w:hint="default" w:ascii="Times New Roman" w:hAnsi="Times New Roman" w:eastAsia="宋体" w:cs="Times New Roman"/>
                <w:color w:val="000000"/>
                <w:sz w:val="24"/>
              </w:rPr>
              <w:t>水及生活污水排向</w:t>
            </w:r>
            <w:r>
              <w:rPr>
                <w:rFonts w:hint="eastAsia" w:ascii="Times New Roman" w:hAnsi="Times New Roman" w:eastAsia="宋体" w:cs="Times New Roman"/>
                <w:color w:val="000000"/>
                <w:sz w:val="24"/>
                <w:lang w:val="en-US" w:eastAsia="zh-CN"/>
              </w:rPr>
              <w:t>外环境</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（3）噪声环境影响调查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val="en-US" w:eastAsia="zh-CN"/>
              </w:rPr>
              <w:t>项目噪声源主要声源在施工过程中各类机械设备和物料运输的交通噪声。施工噪声对周围环境影响不大，施工期结束后施工噪声影响随之消失。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）固体废物环境影响调查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default" w:ascii="Times New Roman" w:hAnsi="Times New Roman" w:eastAsia="宋体" w:cs="Times New Roman"/>
                <w:spacing w:val="-7"/>
                <w:sz w:val="24"/>
                <w:szCs w:val="24"/>
                <w:lang w:eastAsia="zh-CN"/>
              </w:rPr>
              <w:t>施工期合理堆放开挖的土方，</w:t>
            </w:r>
            <w:r>
              <w:rPr>
                <w:rFonts w:hint="default" w:ascii="Times New Roman" w:hAnsi="Times New Roman" w:eastAsia="宋体" w:cs="Times New Roman"/>
                <w:spacing w:val="-7"/>
                <w:sz w:val="24"/>
                <w:szCs w:val="24"/>
                <w:lang w:val="en-US" w:eastAsia="zh-CN"/>
              </w:rPr>
              <w:t>废弃土料地</w:t>
            </w:r>
            <w:r>
              <w:rPr>
                <w:rFonts w:hint="default" w:ascii="Times New Roman" w:hAnsi="Times New Roman" w:eastAsia="宋体" w:cs="Times New Roman"/>
                <w:spacing w:val="-7"/>
                <w:sz w:val="24"/>
                <w:szCs w:val="24"/>
                <w:lang w:eastAsia="zh-CN"/>
              </w:rPr>
              <w:t>已平整</w:t>
            </w:r>
            <w:r>
              <w:rPr>
                <w:rFonts w:hint="default" w:ascii="Times New Roman" w:hAnsi="Times New Roman" w:eastAsia="宋体" w:cs="Times New Roman"/>
                <w:spacing w:val="-7"/>
                <w:sz w:val="24"/>
                <w:szCs w:val="24"/>
                <w:lang w:val="en-US" w:eastAsia="zh-CN"/>
              </w:rPr>
              <w:t>覆盖</w:t>
            </w:r>
            <w:r>
              <w:rPr>
                <w:rFonts w:hint="default" w:ascii="Times New Roman" w:hAnsi="Times New Roman" w:eastAsia="宋体" w:cs="Times New Roman"/>
                <w:spacing w:val="-7"/>
                <w:sz w:val="24"/>
                <w:szCs w:val="24"/>
                <w:lang w:eastAsia="zh-CN"/>
              </w:rPr>
              <w:t>，地表植被</w:t>
            </w:r>
            <w:r>
              <w:rPr>
                <w:rFonts w:hint="default" w:ascii="Times New Roman" w:hAnsi="Times New Roman" w:eastAsia="宋体" w:cs="Times New Roman"/>
                <w:spacing w:val="-7"/>
                <w:sz w:val="24"/>
                <w:szCs w:val="24"/>
                <w:lang w:val="en-US" w:eastAsia="zh-CN"/>
              </w:rPr>
              <w:t>在逐渐恢复</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建筑垃圾与</w:t>
            </w:r>
            <w:r>
              <w:rPr>
                <w:rFonts w:hint="default" w:ascii="Times New Roman" w:hAnsi="Times New Roman" w:eastAsia="宋体" w:cs="Times New Roman"/>
                <w:spacing w:val="-7"/>
                <w:sz w:val="24"/>
                <w:szCs w:val="24"/>
                <w:lang w:eastAsia="zh-CN"/>
              </w:rPr>
              <w:t>生活垃圾集中收集后</w:t>
            </w:r>
            <w:r>
              <w:rPr>
                <w:rFonts w:hint="default" w:ascii="Times New Roman" w:hAnsi="Times New Roman" w:eastAsia="宋体" w:cs="Times New Roman"/>
                <w:spacing w:val="-7"/>
                <w:sz w:val="24"/>
                <w:szCs w:val="24"/>
                <w:lang w:val="en-US" w:eastAsia="zh-CN"/>
              </w:rPr>
              <w:t>交由当地环卫部门</w:t>
            </w:r>
            <w:r>
              <w:rPr>
                <w:rFonts w:hint="default" w:ascii="Times New Roman" w:hAnsi="Times New Roman" w:eastAsia="宋体" w:cs="Times New Roman"/>
                <w:spacing w:val="-7"/>
                <w:sz w:val="24"/>
                <w:szCs w:val="24"/>
                <w:lang w:eastAsia="zh-CN"/>
              </w:rPr>
              <w:t>处理</w:t>
            </w:r>
            <w:r>
              <w:rPr>
                <w:rFonts w:hint="default" w:ascii="Times New Roman" w:hAnsi="Times New Roman" w:eastAsia="宋体" w:cs="Times New Roman"/>
                <w:spacing w:val="-7"/>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pacing w:val="-7"/>
                <w:sz w:val="24"/>
                <w:szCs w:val="24"/>
                <w:lang w:eastAsia="zh-CN"/>
              </w:rPr>
              <w:t>经调查，施工期未发生因固体废物乱堆乱放而产生的纠纷或事故，施工期固体废物基本得到有效处理、处置，对周围环境影响较小。</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tcBorders/>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pPr>
              <w:keepNext w:val="0"/>
              <w:keepLines w:val="0"/>
              <w:pageBreakBefore w:val="0"/>
              <w:widowControl/>
              <w:kinsoku w:val="0"/>
              <w:wordWrap/>
              <w:overflowPunct/>
              <w:topLinePunct w:val="0"/>
              <w:autoSpaceDE w:val="0"/>
              <w:autoSpaceDN w:val="0"/>
              <w:bidi w:val="0"/>
              <w:adjustRightInd/>
              <w:snapToGrid/>
              <w:spacing w:line="360" w:lineRule="auto"/>
              <w:ind w:left="0" w:right="0" w:firstLine="452" w:firstLineChars="200"/>
              <w:jc w:val="left"/>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tcBorders/>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color w:val="C00000"/>
                <w:spacing w:val="-2"/>
                <w:position w:val="7"/>
                <w:sz w:val="21"/>
                <w:szCs w:val="21"/>
                <w:lang w:val="en-US" w:eastAsia="zh-CN"/>
                <w14:textOutline w14:w="3831" w14:cap="flat" w14:cmpd="sng">
                  <w14:solidFill>
                    <w14:srgbClr w14:val="000000"/>
                  </w14:solidFill>
                  <w14:prstDash w14:val="solid"/>
                  <w14:miter w14:val="0"/>
                </w14:textOutline>
              </w:rPr>
            </w:pPr>
            <w:r>
              <w:rPr>
                <w:rFonts w:hint="eastAsia" w:ascii="Times New Roman" w:hAnsi="Times New Roman" w:eastAsia="宋体" w:cs="Times New Roman"/>
                <w:color w:val="C00000"/>
                <w:spacing w:val="-2"/>
                <w:position w:val="7"/>
                <w:sz w:val="21"/>
                <w:szCs w:val="21"/>
                <w:lang w:val="en-US" w:eastAsia="zh-CN"/>
                <w14:textOutline w14:w="3831" w14:cap="flat" w14:cmpd="sng">
                  <w14:solidFill>
                    <w14:srgbClr w14:val="000000"/>
                  </w14:solidFill>
                  <w14:prstDash w14:val="solid"/>
                  <w14:miter w14:val="0"/>
                </w14:textOutline>
              </w:rPr>
              <w:t>施工期环境监测</w:t>
            </w:r>
          </w:p>
        </w:tc>
        <w:tc>
          <w:tcPr>
            <w:tcW w:w="7773" w:type="dxa"/>
            <w:vAlign w:val="center"/>
          </w:tcPr>
          <w:p>
            <w:pPr>
              <w:keepNext w:val="0"/>
              <w:keepLines w:val="0"/>
              <w:pageBreakBefore w:val="0"/>
              <w:widowControl/>
              <w:suppressLineNumbers w:val="0"/>
              <w:kinsoku/>
              <w:wordWrap/>
              <w:overflowPunct/>
              <w:topLinePunct w:val="0"/>
              <w:autoSpaceDE/>
              <w:autoSpaceDN/>
              <w:bidi w:val="0"/>
              <w:spacing w:line="360" w:lineRule="auto"/>
              <w:ind w:firstLine="480" w:firstLineChars="200"/>
              <w:jc w:val="both"/>
              <w:textAlignment w:val="baseline"/>
              <w:rPr>
                <w:rFonts w:hint="default" w:ascii="Times New Roman" w:hAnsi="Times New Roman" w:eastAsia="宋体" w:cs="Times New Roman"/>
                <w:color w:val="C00000"/>
                <w:spacing w:val="-7"/>
                <w:sz w:val="24"/>
                <w:szCs w:val="24"/>
                <w:lang w:eastAsia="zh-CN"/>
              </w:rPr>
            </w:pPr>
            <w:r>
              <w:rPr>
                <w:rFonts w:hint="eastAsia" w:ascii="宋体" w:hAnsi="宋体" w:eastAsia="宋体" w:cs="宋体"/>
                <w:snapToGrid w:val="0"/>
                <w:color w:val="C00000"/>
                <w:kern w:val="0"/>
                <w:sz w:val="24"/>
                <w:szCs w:val="24"/>
                <w:lang w:val="en-US" w:eastAsia="zh-CN" w:bidi="ar"/>
              </w:rPr>
              <w:t>本项目主体工程</w:t>
            </w:r>
            <w:bookmarkStart w:id="11" w:name="_GoBack"/>
            <w:bookmarkEnd w:id="11"/>
            <w:r>
              <w:rPr>
                <w:rFonts w:hint="eastAsia" w:ascii="宋体" w:hAnsi="宋体" w:eastAsia="宋体" w:cs="宋体"/>
                <w:snapToGrid w:val="0"/>
                <w:color w:val="C00000"/>
                <w:kern w:val="0"/>
                <w:sz w:val="24"/>
                <w:szCs w:val="24"/>
                <w:lang w:val="en-US" w:eastAsia="zh-CN" w:bidi="ar"/>
              </w:rPr>
              <w:t>施工期较短，施工期间未进行环境监测，经现场调查，本项目临时施工占地现已恢复。根据环境影响评价文件及其批复，项目施工期较短，未要求施工期进行环境监测。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86" w:hRule="atLeast"/>
          <w:jc w:val="center"/>
        </w:trPr>
        <w:tc>
          <w:tcPr>
            <w:tcW w:w="678" w:type="dxa"/>
            <w:vMerge w:val="restart"/>
            <w:vAlign w:val="center"/>
          </w:tcPr>
          <w:p>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位于奎屯-独山子经济技术开发区内。评价范围内没有国家或自治区级法定保护的野生动植物种，也没有自然保护区分布。项目区内的地表优势的天然植被主要为短小低矮的荒漠植被，主要植物有盐生假木贼、木本猪毛菜、角果藜等，伴生有东方早麦草、短柱猪毛菜、木地肤及驼绒藜等，高度多为10cm-20cm，盖度20%-30%，植被类型单一。生态系统结构相对简单，生态多样性或环境异质性较低。</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52" w:firstLineChars="200"/>
              <w:jc w:val="both"/>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7"/>
                <w:sz w:val="24"/>
                <w:szCs w:val="24"/>
                <w:lang w:eastAsia="zh-CN"/>
              </w:rPr>
              <w:t>本项目所在区域由于人类活动频繁，只有麻雀、乌鸦和少量哺乳类动物。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1、运营期水污染防治措施</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项目运营后水污染源主要来为降雨冲刷路面产生的路面径流污水，污水量影响因素包括降雨强度、降雨历时、降雨频率、车流量、路面宽度和产污路段长度等，主要污染物为石油类、有机物和SS。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项目设计文件，道路在不利于排水处设置开口型路缘石，将路面积水引至绿化带排出，从而使排水迅速畅通。本项目所在区城全年降水量较少，涉及道路沿线无地表水体，雨水汇集至低洼处，排入绿化带由植被吸收自然降解，对项目区水环境影响较小。</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运营后对环境空的影响主要是汽车尾气的影响。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项目运营后噪声源主要为路面行驶的车辆由于气流湍动、路面平整度、发动机运转、排气系统、轮胎与路面磨擦等将产生交通噪声，噪声强度与单车源强、车流量、车型比及车速等多种因素有关。</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环评预测结果可知，在不考虑建筑物对噪声屏蔽、绿化带隔声作用条件下，拟建道路建成运营远期昼间,道路红线两侧10m外昼间和夜间声环境均能够达到《声环境质量标准》(GB3096-2008)4a类标准(即昼间≤70dB(A)、夜间≤55dB(A))。本项目道路工程仅库尔勒路沿线有声环境敏感点，主要为康乐园小区、同济里小区、乌孙里小区、美美广场，均位于道路红线外50m，运营期道路噪声对以上声环境敏感点影响较小。</w:t>
            </w:r>
          </w:p>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6" w:firstLineChars="200"/>
              <w:textAlignment w:val="baseline"/>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4"/>
                <w:sz w:val="24"/>
                <w:szCs w:val="24"/>
                <w:lang w:val="en-US" w:eastAsia="zh-CN"/>
              </w:rPr>
              <w:t>综上，项目运营期采取有效的治理措施后，污染物影响较小。</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15"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8" w:name="_Toc28838"/>
      <w:r>
        <w:rPr>
          <w:rFonts w:hint="default" w:ascii="Times New Roman" w:hAnsi="Times New Roman" w:cs="Times New Roman"/>
          <w:sz w:val="32"/>
          <w:szCs w:val="52"/>
        </w:rPr>
        <w:t>表九 环境质量及污染源监测(附监测图)</w:t>
      </w:r>
      <w:bookmarkEnd w:id="8"/>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2633"/>
              <w:gridCol w:w="1802"/>
              <w:gridCol w:w="1802"/>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气、水</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2"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声</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w:t>
                  </w:r>
                  <w:r>
                    <w:rPr>
                      <w:rFonts w:hint="default" w:ascii="Times New Roman" w:hAnsi="Times New Roman" w:eastAsia="宋体" w:cs="Times New Roman"/>
                      <w:color w:val="auto"/>
                      <w:sz w:val="24"/>
                      <w:szCs w:val="24"/>
                      <w:lang w:val="en-US" w:eastAsia="zh-CN"/>
                    </w:rPr>
                    <w:t>新疆国科检测有限公司</w:t>
                  </w:r>
                  <w:r>
                    <w:rPr>
                      <w:rFonts w:hint="eastAsia" w:ascii="Times New Roman" w:hAnsi="Times New Roman" w:eastAsia="宋体" w:cs="Times New Roman"/>
                      <w:sz w:val="24"/>
                      <w:szCs w:val="24"/>
                      <w:lang w:val="en-US" w:eastAsia="zh-CN"/>
                    </w:rPr>
                    <w:t>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w:t>
                  </w:r>
                  <w:r>
                    <w:rPr>
                      <w:rFonts w:hint="eastAsia"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val="en-US" w:eastAsia="zh-CN"/>
                    </w:rPr>
                    <w:t>月</w:t>
                  </w:r>
                  <w:r>
                    <w:rPr>
                      <w:rFonts w:hint="eastAsia"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val="en-US" w:eastAsia="zh-CN"/>
                    </w:rPr>
                    <w:t>9</w:t>
                  </w:r>
                  <w:r>
                    <w:rPr>
                      <w:rFonts w:hint="eastAsia" w:ascii="宋体" w:hAnsi="宋体" w:eastAsia="宋体" w:cs="宋体"/>
                      <w:spacing w:val="-1"/>
                      <w:sz w:val="24"/>
                      <w:szCs w:val="24"/>
                      <w:lang w:val="en-US" w:eastAsia="zh-CN"/>
                    </w:rPr>
                    <w:t>日-</w:t>
                  </w:r>
                  <w:r>
                    <w:rPr>
                      <w:rFonts w:hint="default" w:ascii="Times New Roman" w:hAnsi="Times New Roman" w:eastAsia="宋体" w:cs="Times New Roman"/>
                      <w:spacing w:val="-1"/>
                      <w:sz w:val="24"/>
                      <w:szCs w:val="24"/>
                      <w:lang w:val="en-US" w:eastAsia="zh-CN"/>
                    </w:rPr>
                    <w:t>2024年3月1日。2024年02月29日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0.4-1.2m/s</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风向</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西风。2024年03月01日</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天气</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晴</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风速</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0.6-1.4m/s</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风向</w:t>
                  </w:r>
                  <w:r>
                    <w:rPr>
                      <w:rFonts w:hint="eastAsia" w:ascii="Times New Roman" w:hAnsi="Times New Roman" w:eastAsia="宋体" w:cs="Times New Roman"/>
                      <w:spacing w:val="-1"/>
                      <w:sz w:val="24"/>
                      <w:szCs w:val="24"/>
                      <w:lang w:val="en-US" w:eastAsia="zh-CN"/>
                    </w:rPr>
                    <w:t>：</w:t>
                  </w:r>
                  <w:r>
                    <w:rPr>
                      <w:rFonts w:hint="default" w:ascii="Times New Roman" w:hAnsi="Times New Roman" w:eastAsia="宋体" w:cs="Times New Roman"/>
                      <w:spacing w:val="-1"/>
                      <w:sz w:val="24"/>
                      <w:szCs w:val="24"/>
                      <w:lang w:val="en-US" w:eastAsia="zh-CN"/>
                    </w:rPr>
                    <w:t>西风。</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根据《建设项目环境保护设施竣工验收监测技术要求》，结合本工程的实际情况，确定本项目验收监测内容为噪声。</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验收监测内容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监测内容见表9-1。</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验收监测内容</w:t>
                  </w:r>
                </w:p>
                <w:tbl>
                  <w:tblPr>
                    <w:tblStyle w:val="14"/>
                    <w:tblW w:w="78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2483"/>
                    <w:gridCol w:w="900"/>
                    <w:gridCol w:w="1131"/>
                    <w:gridCol w:w="1103"/>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24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9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1131"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110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采样介质</w:t>
                        </w:r>
                      </w:p>
                    </w:tc>
                    <w:tc>
                      <w:tcPr>
                        <w:tcW w:w="124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24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1#:库尔勒路中点、2#:北京东路中点、3#:昌吉街、4#:奎东特色产业园区中点、5#:奇台路、6#:石河子街、7#:乌鲁木齐东路、8#:伊犁路</w:t>
                        </w:r>
                      </w:p>
                    </w:tc>
                    <w:tc>
                      <w:tcPr>
                        <w:tcW w:w="90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1131"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p>
                    </w:tc>
                    <w:tc>
                      <w:tcPr>
                        <w:tcW w:w="110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24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昼夜各一次，2天</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2.噪声检测结果见下表。</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表9-2  噪声检测结果表</w:t>
                  </w:r>
                </w:p>
                <w:tbl>
                  <w:tblPr>
                    <w:tblStyle w:val="1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38"/>
                    <w:gridCol w:w="1530"/>
                    <w:gridCol w:w="2265"/>
                    <w:gridCol w:w="2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1112"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检测日期</w:t>
                        </w:r>
                      </w:p>
                    </w:tc>
                    <w:tc>
                      <w:tcPr>
                        <w:tcW w:w="979"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点位编号</w:t>
                        </w:r>
                      </w:p>
                    </w:tc>
                    <w:tc>
                      <w:tcPr>
                        <w:tcW w:w="1449"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检测时间</w:t>
                        </w:r>
                      </w:p>
                    </w:tc>
                    <w:tc>
                      <w:tcPr>
                        <w:tcW w:w="1458"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97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44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458"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噪声</w:t>
                        </w:r>
                        <w:r>
                          <w:rPr>
                            <w:rFonts w:hint="default" w:ascii="Times New Roman" w:hAnsi="Times New Roman" w:eastAsia="宋体" w:cs="Times New Roman"/>
                            <w:snapToGrid w:val="0"/>
                            <w:color w:val="000000"/>
                            <w:kern w:val="0"/>
                            <w:sz w:val="21"/>
                            <w:szCs w:val="21"/>
                            <w:lang w:val="en-US" w:eastAsia="zh-CN" w:bidi="ar"/>
                          </w:rPr>
                          <w:t>LeqdB</w:t>
                        </w:r>
                        <w:r>
                          <w:rPr>
                            <w:rFonts w:hint="eastAsia" w:ascii="宋体" w:hAnsi="宋体" w:eastAsia="宋体" w:cs="宋体"/>
                            <w:snapToGrid w:val="0"/>
                            <w:color w:val="000000"/>
                            <w:kern w:val="0"/>
                            <w:sz w:val="21"/>
                            <w:szCs w:val="21"/>
                            <w:lang w:val="en-US" w:eastAsia="zh-CN" w:bidi="ar"/>
                          </w:rPr>
                          <w:t>（</w:t>
                        </w:r>
                        <w:r>
                          <w:rPr>
                            <w:rFonts w:hint="default" w:ascii="Times New Roman" w:hAnsi="Times New Roman" w:eastAsia="宋体" w:cs="Times New Roman"/>
                            <w:snapToGrid w:val="0"/>
                            <w:color w:val="000000"/>
                            <w:kern w:val="0"/>
                            <w:sz w:val="21"/>
                            <w:szCs w:val="21"/>
                            <w:lang w:val="en-US" w:eastAsia="zh-CN" w:bidi="ar"/>
                          </w:rPr>
                          <w:t>A</w:t>
                        </w:r>
                        <w:r>
                          <w:rPr>
                            <w:rFonts w:hint="eastAsia" w:ascii="宋体" w:hAnsi="宋体" w:eastAsia="宋体" w:cs="宋体"/>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2024.2.29</w:t>
                        </w: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10:20</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10:56</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11:27</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11:59</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12:40</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6</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13:11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7</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13:40</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15:10</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00:01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00:39</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01:32</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02:13</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6</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02:45</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7</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03:11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2024.3.1</w:t>
                        </w: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10:18</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10:54</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11:25</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11:57</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12:37</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6</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13:10</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napToGrid w:val="0"/>
                            <w:color w:val="000000"/>
                            <w:kern w:val="0"/>
                            <w:sz w:val="21"/>
                            <w:szCs w:val="21"/>
                            <w:lang w:val="en-US" w:eastAsia="zh-CN" w:bidi="ar"/>
                          </w:rPr>
                          <w:t>7</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13:39</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15:05</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b/>
                            <w:bCs/>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00:01</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00:32</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01:03</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01:29</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z w:val="21"/>
                            <w:szCs w:val="21"/>
                            <w:vertAlign w:val="baseline"/>
                            <w:lang w:val="en-US" w:eastAsia="zh-CN"/>
                          </w:rPr>
                          <w:t>5</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02:12</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napToGrid w:val="0"/>
                            <w:color w:val="000000"/>
                            <w:kern w:val="0"/>
                            <w:sz w:val="21"/>
                            <w:szCs w:val="21"/>
                            <w:lang w:val="en-US" w:eastAsia="zh-CN" w:bidi="ar"/>
                          </w:rPr>
                          <w:t>6</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02:43</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napToGrid w:val="0"/>
                            <w:color w:val="000000"/>
                            <w:kern w:val="0"/>
                            <w:sz w:val="21"/>
                            <w:szCs w:val="21"/>
                            <w:lang w:val="en-US" w:eastAsia="zh-CN" w:bidi="ar"/>
                          </w:rPr>
                          <w:t>7</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03:09</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97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b/>
                            <w:bCs/>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p>
                    </w:tc>
                    <w:tc>
                      <w:tcPr>
                        <w:tcW w:w="144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04:02</w:t>
                        </w:r>
                      </w:p>
                    </w:tc>
                    <w:tc>
                      <w:tcPr>
                        <w:tcW w:w="1458"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51.9</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根据监测结果可知，本项目厂界噪声全部满足</w:t>
                  </w:r>
                  <w:r>
                    <w:rPr>
                      <w:rFonts w:hint="default" w:ascii="Times New Roman" w:hAnsi="Times New Roman" w:eastAsia="宋体" w:cs="Times New Roman"/>
                      <w:color w:val="auto"/>
                      <w:sz w:val="24"/>
                      <w:szCs w:val="24"/>
                      <w:highlight w:val="none"/>
                    </w:rPr>
                    <w:t>《工业企业厂界环境噪声排放标准》（GB12348-2008）中</w:t>
                  </w:r>
                  <w:r>
                    <w:rPr>
                      <w:rFonts w:hint="eastAsia" w:ascii="Times New Roman" w:hAnsi="Times New Roman" w:eastAsia="宋体" w:cs="Times New Roman"/>
                      <w:b w:val="0"/>
                      <w:bCs w:val="0"/>
                      <w:color w:val="auto"/>
                      <w:sz w:val="24"/>
                      <w:szCs w:val="24"/>
                      <w:highlight w:val="none"/>
                      <w:lang w:val="en-US" w:eastAsia="zh-CN"/>
                    </w:rPr>
                    <w:t>4a</w:t>
                  </w:r>
                  <w:r>
                    <w:rPr>
                      <w:rFonts w:hint="default" w:ascii="Times New Roman" w:hAnsi="Times New Roman" w:eastAsia="宋体" w:cs="Times New Roman"/>
                      <w:color w:val="auto"/>
                      <w:sz w:val="24"/>
                      <w:szCs w:val="24"/>
                      <w:highlight w:val="none"/>
                    </w:rPr>
                    <w:t>类标准</w:t>
                  </w:r>
                  <w:r>
                    <w:rPr>
                      <w:rFonts w:hint="eastAsia" w:ascii="Times New Roman" w:hAnsi="Times New Roman" w:eastAsia="宋体" w:cs="Times New Roman"/>
                      <w:color w:val="auto"/>
                      <w:sz w:val="24"/>
                      <w:szCs w:val="24"/>
                      <w:highlight w:val="none"/>
                      <w:lang w:eastAsia="zh-CN"/>
                    </w:rPr>
                    <w:t>，</w:t>
                  </w:r>
                  <w:r>
                    <w:rPr>
                      <w:rFonts w:hint="eastAsia" w:ascii="宋体" w:hAnsi="宋体" w:eastAsia="宋体" w:cs="宋体"/>
                      <w:snapToGrid w:val="0"/>
                      <w:color w:val="000000"/>
                      <w:kern w:val="0"/>
                      <w:sz w:val="24"/>
                      <w:szCs w:val="24"/>
                      <w:lang w:val="en-US" w:eastAsia="zh-CN" w:bidi="ar"/>
                    </w:rPr>
                    <w:t>昼间</w:t>
                  </w:r>
                  <w:r>
                    <w:rPr>
                      <w:rFonts w:hint="eastAsia" w:ascii="Times New Roman" w:hAnsi="Times New Roman" w:eastAsia="宋体" w:cs="Times New Roman"/>
                      <w:snapToGrid w:val="0"/>
                      <w:color w:val="000000"/>
                      <w:kern w:val="0"/>
                      <w:sz w:val="24"/>
                      <w:szCs w:val="24"/>
                      <w:lang w:val="en-US" w:eastAsia="zh-CN" w:bidi="ar"/>
                    </w:rPr>
                    <w:t>70</w:t>
                  </w:r>
                  <w:r>
                    <w:rPr>
                      <w:rFonts w:hint="default" w:ascii="Times New Roman" w:hAnsi="Times New Roman" w:eastAsia="宋体" w:cs="Times New Roman"/>
                      <w:snapToGrid w:val="0"/>
                      <w:color w:val="000000"/>
                      <w:kern w:val="0"/>
                      <w:sz w:val="24"/>
                      <w:szCs w:val="24"/>
                      <w:lang w:val="en-US" w:eastAsia="zh-CN" w:bidi="ar"/>
                    </w:rPr>
                    <w:t>dB</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A</w:t>
                  </w:r>
                  <w:r>
                    <w:rPr>
                      <w:rFonts w:hint="eastAsia" w:ascii="宋体" w:hAnsi="宋体" w:eastAsia="宋体" w:cs="宋体"/>
                      <w:snapToGrid w:val="0"/>
                      <w:color w:val="000000"/>
                      <w:kern w:val="0"/>
                      <w:sz w:val="24"/>
                      <w:szCs w:val="24"/>
                      <w:lang w:val="en-US" w:eastAsia="zh-CN" w:bidi="ar"/>
                    </w:rPr>
                    <w:t>），夜间</w:t>
                  </w:r>
                  <w:r>
                    <w:rPr>
                      <w:rFonts w:hint="default" w:ascii="Times New Roman" w:hAnsi="Times New Roman" w:eastAsia="宋体" w:cs="Times New Roman"/>
                      <w:snapToGrid w:val="0"/>
                      <w:color w:val="000000"/>
                      <w:kern w:val="0"/>
                      <w:sz w:val="24"/>
                      <w:szCs w:val="24"/>
                      <w:lang w:val="en-US" w:eastAsia="zh-CN" w:bidi="ar"/>
                    </w:rPr>
                    <w:t>5</w:t>
                  </w:r>
                  <w:r>
                    <w:rPr>
                      <w:rFonts w:hint="eastAsia"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的标准要求。</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default" w:eastAsia="宋体" w:cs="Times New Roman"/>
                      <w:sz w:val="21"/>
                      <w:szCs w:val="21"/>
                      <w:vertAlign w:val="baseline"/>
                      <w:lang w:val="en-US" w:eastAsia="zh-CN"/>
                    </w:rPr>
                  </w:pPr>
                  <w:r>
                    <w:rPr>
                      <w:rFonts w:hint="eastAsia" w:eastAsia="宋体" w:cs="Times New Roman"/>
                      <w:b w:val="0"/>
                      <w:bCs w:val="0"/>
                      <w:sz w:val="24"/>
                      <w:szCs w:val="24"/>
                      <w:vertAlign w:val="baseline"/>
                      <w:lang w:val="en-US" w:eastAsia="zh-CN"/>
                    </w:rPr>
                    <w:t>监测点位图如下：</w:t>
                  </w:r>
                </w:p>
                <w:p>
                  <w:pPr>
                    <w:pStyle w:val="2"/>
                    <w:keepNext w:val="0"/>
                    <w:keepLines w:val="0"/>
                    <w:widowControl w:val="0"/>
                    <w:suppressLineNumbers w:val="0"/>
                    <w:spacing w:before="0" w:beforeAutospacing="0" w:after="0" w:afterAutospacing="0" w:line="240" w:lineRule="auto"/>
                    <w:ind w:left="0" w:right="0"/>
                    <w:jc w:val="center"/>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drawing>
                      <wp:inline distT="0" distB="0" distL="114300" distR="114300">
                        <wp:extent cx="4570095" cy="3620135"/>
                        <wp:effectExtent l="0" t="0" r="1905" b="18415"/>
                        <wp:docPr id="9" name="图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pic:cNvPicPr>
                              </pic:nvPicPr>
                              <pic:blipFill>
                                <a:blip r:embed="rId30"/>
                                <a:stretch>
                                  <a:fillRect/>
                                </a:stretch>
                              </pic:blipFill>
                              <pic:spPr>
                                <a:xfrm>
                                  <a:off x="0" y="0"/>
                                  <a:ext cx="4570095" cy="3620135"/>
                                </a:xfrm>
                                <a:prstGeom prst="rect">
                                  <a:avLst/>
                                </a:prstGeom>
                              </pic:spPr>
                            </pic:pic>
                          </a:graphicData>
                        </a:graphic>
                      </wp:inline>
                    </w:drawing>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eastAsia="宋体"/>
                      <w:b/>
                      <w:bCs/>
                      <w:sz w:val="21"/>
                      <w:szCs w:val="21"/>
                      <w:lang w:val="en-US" w:eastAsia="zh-CN"/>
                    </w:rPr>
                  </w:pPr>
                  <w:r>
                    <w:rPr>
                      <w:rFonts w:hint="eastAsia" w:eastAsia="宋体"/>
                      <w:b/>
                      <w:bCs/>
                      <w:sz w:val="21"/>
                      <w:szCs w:val="21"/>
                      <w:lang w:val="en-US" w:eastAsia="zh-CN"/>
                    </w:rPr>
                    <w:t>图9-1  监测点位图</w:t>
                  </w:r>
                </w:p>
                <w:p>
                  <w:pPr>
                    <w:pStyle w:val="2"/>
                    <w:keepNext w:val="0"/>
                    <w:keepLines w:val="0"/>
                    <w:widowControl w:val="0"/>
                    <w:suppressLineNumbers w:val="0"/>
                    <w:spacing w:before="0" w:beforeAutospacing="0" w:after="0" w:afterAutospacing="0"/>
                    <w:ind w:left="0" w:right="0"/>
                    <w:rPr>
                      <w:rFonts w:hint="default" w:eastAsia="宋体"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7" w:hRule="atLeast"/>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电磁、振动</w:t>
                  </w:r>
                </w:p>
              </w:tc>
              <w:tc>
                <w:tcPr>
                  <w:tcW w:w="4462"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both"/>
                    <w:textAlignment w:val="baseline"/>
                    <w:rPr>
                      <w:rFonts w:hint="eastAsia" w:ascii="宋体" w:hAnsi="宋体" w:eastAsia="宋体" w:cs="宋体"/>
                      <w:spacing w:val="-1"/>
                      <w:sz w:val="24"/>
                      <w:szCs w:val="24"/>
                      <w:lang w:val="en-US" w:eastAsia="zh-CN"/>
                    </w:rPr>
                  </w:pPr>
                  <w:r>
                    <w:rPr>
                      <w:rFonts w:hint="eastAsia" w:ascii="Times New Roman" w:hAnsi="Times New Roman" w:eastAsia="宋体" w:cs="Times New Roman"/>
                      <w:sz w:val="24"/>
                      <w:szCs w:val="24"/>
                      <w:lang w:val="en-US" w:eastAsia="zh-CN"/>
                    </w:rPr>
                    <w:t>新疆润盛投资发展有限公司委托新疆中检联检测有限公司对</w:t>
                  </w:r>
                  <w:r>
                    <w:rPr>
                      <w:rFonts w:hint="eastAsia" w:ascii="宋体" w:hAnsi="宋体" w:eastAsia="宋体" w:cs="宋体"/>
                      <w:spacing w:val="-1"/>
                      <w:sz w:val="24"/>
                      <w:szCs w:val="24"/>
                      <w:lang w:val="en-US" w:eastAsia="zh-CN"/>
                    </w:rPr>
                    <w:t>新疆润盛投资发展有限公司奎屯-独山子经济技术开发区</w:t>
                  </w:r>
                  <w:r>
                    <w:rPr>
                      <w:rFonts w:hint="default" w:ascii="Times New Roman" w:hAnsi="Times New Roman" w:eastAsia="宋体" w:cs="Times New Roman"/>
                      <w:spacing w:val="-1"/>
                      <w:sz w:val="24"/>
                      <w:szCs w:val="24"/>
                      <w:lang w:val="en-US" w:eastAsia="zh-CN"/>
                    </w:rPr>
                    <w:t>2013年基</w:t>
                  </w:r>
                  <w:r>
                    <w:rPr>
                      <w:rFonts w:hint="eastAsia" w:ascii="宋体" w:hAnsi="宋体" w:eastAsia="宋体" w:cs="宋体"/>
                      <w:spacing w:val="-1"/>
                      <w:sz w:val="24"/>
                      <w:szCs w:val="24"/>
                      <w:lang w:val="en-US" w:eastAsia="zh-CN"/>
                    </w:rPr>
                    <w:t>础设施建设项目进行了建设项目竣工环境保护验收监测，监测时间</w:t>
                  </w:r>
                  <w:r>
                    <w:rPr>
                      <w:rFonts w:hint="default" w:ascii="Times New Roman" w:hAnsi="Times New Roman" w:eastAsia="宋体" w:cs="Times New Roman"/>
                      <w:spacing w:val="-1"/>
                      <w:sz w:val="24"/>
                      <w:szCs w:val="24"/>
                      <w:lang w:val="en-US" w:eastAsia="zh-CN"/>
                    </w:rPr>
                    <w:t>为2024年3月9</w:t>
                  </w:r>
                  <w:r>
                    <w:rPr>
                      <w:rFonts w:hint="eastAsia" w:ascii="宋体" w:hAnsi="宋体" w:eastAsia="宋体" w:cs="宋体"/>
                      <w:spacing w:val="-1"/>
                      <w:sz w:val="24"/>
                      <w:szCs w:val="24"/>
                      <w:lang w:val="en-US" w:eastAsia="zh-CN"/>
                    </w:rPr>
                    <w:t>日。</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根据《建设项目环境保护设施竣工验收监测技术要求》，结合本工程的实际情况，确定本项目验收监测内容为工频电磁。</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sz w:val="24"/>
                      <w:szCs w:val="24"/>
                    </w:rPr>
                  </w:pP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验收</w:t>
                  </w:r>
                  <w:r>
                    <w:rPr>
                      <w:rFonts w:hint="eastAsia"/>
                      <w:sz w:val="24"/>
                      <w:szCs w:val="24"/>
                      <w:lang w:val="en-US" w:eastAsia="zh-CN"/>
                    </w:rPr>
                    <w:t>检测</w:t>
                  </w:r>
                  <w:r>
                    <w:rPr>
                      <w:rFonts w:hint="eastAsia" w:ascii="宋体" w:hAnsi="宋体" w:eastAsia="宋体" w:cs="宋体"/>
                      <w:snapToGrid w:val="0"/>
                      <w:color w:val="000000"/>
                      <w:kern w:val="0"/>
                      <w:sz w:val="24"/>
                      <w:szCs w:val="24"/>
                      <w:lang w:val="en-US" w:eastAsia="zh-CN" w:bidi="ar"/>
                    </w:rPr>
                    <w:t>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eastAsia"/>
                      <w:sz w:val="24"/>
                      <w:szCs w:val="24"/>
                      <w:lang w:val="en-US" w:eastAsia="zh-CN"/>
                    </w:rPr>
                    <w:t>检测</w:t>
                  </w:r>
                  <w:r>
                    <w:rPr>
                      <w:rFonts w:hint="default" w:ascii="Times New Roman" w:hAnsi="Times New Roman" w:eastAsia="宋体" w:cs="Times New Roman"/>
                      <w:snapToGrid w:val="0"/>
                      <w:color w:val="000000"/>
                      <w:kern w:val="0"/>
                      <w:sz w:val="24"/>
                      <w:szCs w:val="24"/>
                      <w:lang w:val="en-US" w:eastAsia="zh-CN" w:bidi="ar"/>
                    </w:rPr>
                    <w:t>内容见表9-</w:t>
                  </w:r>
                  <w:r>
                    <w:rPr>
                      <w:rFonts w:hint="eastAsia" w:ascii="Times New Roman" w:hAnsi="Times New Roman" w:eastAsia="宋体" w:cs="Times New Roman"/>
                      <w:snapToGrid w:val="0"/>
                      <w:color w:val="000000"/>
                      <w:kern w:val="0"/>
                      <w:sz w:val="24"/>
                      <w:szCs w:val="24"/>
                      <w:lang w:val="en-US" w:eastAsia="zh-CN" w:bidi="ar"/>
                    </w:rPr>
                    <w:t>2</w:t>
                  </w:r>
                  <w:r>
                    <w:rPr>
                      <w:rFonts w:hint="default" w:ascii="Times New Roman" w:hAnsi="Times New Roman" w:eastAsia="宋体" w:cs="Times New Roman"/>
                      <w:snapToGrid w:val="0"/>
                      <w:color w:val="000000"/>
                      <w:kern w:val="0"/>
                      <w:sz w:val="24"/>
                      <w:szCs w:val="24"/>
                      <w:lang w:val="en-US" w:eastAsia="zh-CN" w:bidi="ar"/>
                    </w:rPr>
                    <w:t>。</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表9-3  验收监测内容</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3"/>
                    <w:gridCol w:w="1563"/>
                    <w:gridCol w:w="1563"/>
                    <w:gridCol w:w="1563"/>
                    <w:gridCol w:w="1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电力线路改迁建设</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电场强度、磁感应强度</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w:t>
                        </w:r>
                      </w:p>
                    </w:tc>
                    <w:tc>
                      <w:tcPr>
                        <w:tcW w:w="156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5次/天*1天</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default"/>
                      <w:sz w:val="24"/>
                      <w:szCs w:val="24"/>
                      <w:lang w:val="en-US" w:eastAsia="zh-CN"/>
                    </w:rPr>
                  </w:pPr>
                  <w:r>
                    <w:rPr>
                      <w:rFonts w:hint="eastAsia"/>
                      <w:sz w:val="24"/>
                      <w:szCs w:val="24"/>
                      <w:lang w:val="en-US" w:eastAsia="zh-CN"/>
                    </w:rPr>
                    <w:t>2.分析测试方法</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检测仪器见下表。</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表9-4  监测仪器汇总表</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6"/>
                    <w:gridCol w:w="1050"/>
                    <w:gridCol w:w="2217"/>
                    <w:gridCol w:w="1583"/>
                    <w:gridCol w:w="984"/>
                    <w:gridCol w:w="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146"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分析方法及来源</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主要检测仪器</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仪器编号</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工频电磁</w:t>
                        </w: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电场强度</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6" w:type="dxa"/>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050"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磁感应强度</w:t>
                        </w:r>
                      </w:p>
                    </w:tc>
                    <w:tc>
                      <w:tcPr>
                        <w:tcW w:w="2217"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交流输变电工程电磁环境监测方法（试行）（HJ681-2013）</w:t>
                        </w:r>
                      </w:p>
                    </w:tc>
                    <w:tc>
                      <w:tcPr>
                        <w:tcW w:w="1583"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电磁辐射分析仪SEM-600</w:t>
                        </w:r>
                      </w:p>
                    </w:tc>
                    <w:tc>
                      <w:tcPr>
                        <w:tcW w:w="984"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SAG-A-66</w:t>
                        </w:r>
                      </w:p>
                    </w:tc>
                    <w:tc>
                      <w:tcPr>
                        <w:tcW w:w="835" w:type="dxa"/>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w:t>
                        </w:r>
                      </w:p>
                    </w:tc>
                  </w:tr>
                </w:tbl>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sz w:val="24"/>
                      <w:szCs w:val="24"/>
                      <w:lang w:val="en-US" w:eastAsia="zh-CN"/>
                    </w:rPr>
                  </w:pPr>
                  <w:r>
                    <w:rPr>
                      <w:rFonts w:hint="eastAsia"/>
                      <w:sz w:val="24"/>
                      <w:szCs w:val="24"/>
                      <w:lang w:val="en-US" w:eastAsia="zh-CN"/>
                    </w:rPr>
                    <w:t>3.监测结果</w:t>
                  </w:r>
                </w:p>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工频电磁</w:t>
                  </w:r>
                  <w:r>
                    <w:rPr>
                      <w:rFonts w:hint="eastAsia" w:ascii="Times New Roman" w:hAnsi="Times New Roman" w:eastAsia="宋体" w:cs="Times New Roman"/>
                      <w:snapToGrid w:val="0"/>
                      <w:color w:val="000000"/>
                      <w:kern w:val="0"/>
                      <w:sz w:val="24"/>
                      <w:szCs w:val="24"/>
                      <w:lang w:val="en-US" w:eastAsia="zh-CN" w:bidi="ar"/>
                    </w:rPr>
                    <w:t>检测</w:t>
                  </w:r>
                  <w:r>
                    <w:rPr>
                      <w:rFonts w:hint="eastAsia" w:eastAsia="宋体" w:cs="Times New Roman"/>
                      <w:b w:val="0"/>
                      <w:bCs w:val="0"/>
                      <w:sz w:val="24"/>
                      <w:szCs w:val="24"/>
                      <w:vertAlign w:val="baseline"/>
                      <w:lang w:val="en-US" w:eastAsia="zh-CN"/>
                    </w:rPr>
                    <w:t>结果见下表。</w:t>
                  </w:r>
                </w:p>
                <w:p>
                  <w:pPr>
                    <w:pStyle w:val="2"/>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表9-5  工频电磁强度检测结果表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0"/>
                    <w:gridCol w:w="433"/>
                    <w:gridCol w:w="400"/>
                    <w:gridCol w:w="417"/>
                    <w:gridCol w:w="754"/>
                    <w:gridCol w:w="519"/>
                    <w:gridCol w:w="793"/>
                    <w:gridCol w:w="793"/>
                    <w:gridCol w:w="793"/>
                    <w:gridCol w:w="793"/>
                    <w:gridCol w:w="793"/>
                    <w:gridCol w:w="7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339"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监测日期</w:t>
                        </w:r>
                      </w:p>
                    </w:tc>
                    <w:tc>
                      <w:tcPr>
                        <w:tcW w:w="277"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监测点位</w:t>
                        </w: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测量距离</w:t>
                        </w:r>
                      </w:p>
                    </w:tc>
                    <w:tc>
                      <w:tcPr>
                        <w:tcW w:w="266"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检测高度</w:t>
                        </w:r>
                      </w:p>
                    </w:tc>
                    <w:tc>
                      <w:tcPr>
                        <w:tcW w:w="482"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监测项目</w:t>
                        </w:r>
                      </w:p>
                    </w:tc>
                    <w:tc>
                      <w:tcPr>
                        <w:tcW w:w="332"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单位</w:t>
                        </w:r>
                      </w:p>
                    </w:tc>
                    <w:tc>
                      <w:tcPr>
                        <w:tcW w:w="3046" w:type="pct"/>
                        <w:gridSpan w:val="6"/>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332"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第1次</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第2次</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第3次</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第4次</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第5次</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场强值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2024</w:t>
                        </w:r>
                        <w:r>
                          <w:rPr>
                            <w:rFonts w:hint="eastAsia" w:cs="Times New Roman"/>
                            <w:sz w:val="21"/>
                            <w:szCs w:val="21"/>
                            <w:vertAlign w:val="baseline"/>
                            <w:lang w:val="en-US" w:eastAsia="zh-CN"/>
                          </w:rPr>
                          <w:t>.</w:t>
                        </w:r>
                        <w:r>
                          <w:rPr>
                            <w:rFonts w:hint="default" w:ascii="Times New Roman" w:hAnsi="Times New Roman" w:cs="Times New Roman"/>
                            <w:sz w:val="21"/>
                            <w:szCs w:val="21"/>
                            <w:vertAlign w:val="baseline"/>
                            <w:lang w:val="en-US" w:eastAsia="zh-CN"/>
                          </w:rPr>
                          <w:t>3</w:t>
                        </w:r>
                        <w:r>
                          <w:rPr>
                            <w:rFonts w:hint="eastAsia" w:cs="Times New Roman"/>
                            <w:sz w:val="21"/>
                            <w:szCs w:val="21"/>
                            <w:vertAlign w:val="baseline"/>
                            <w:lang w:val="en-US" w:eastAsia="zh-CN"/>
                          </w:rPr>
                          <w:t>.</w:t>
                        </w:r>
                        <w:r>
                          <w:rPr>
                            <w:rFonts w:hint="default" w:ascii="Times New Roman" w:hAnsi="Times New Roman" w:cs="Times New Roman"/>
                            <w:sz w:val="21"/>
                            <w:szCs w:val="21"/>
                            <w:vertAlign w:val="baseline"/>
                            <w:lang w:val="en-US" w:eastAsia="zh-CN"/>
                          </w:rPr>
                          <w:t>9</w:t>
                        </w:r>
                      </w:p>
                    </w:tc>
                    <w:tc>
                      <w:tcPr>
                        <w:tcW w:w="277"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电力线路改迁建设</w:t>
                        </w: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w:t>
                        </w:r>
                      </w:p>
                    </w:tc>
                    <w:tc>
                      <w:tcPr>
                        <w:tcW w:w="266"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856.38</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856.13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855.62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855.60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855.58</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855.86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0.1171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0.1169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0.1161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0.1159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0.1126</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10</w:t>
                        </w:r>
                      </w:p>
                    </w:tc>
                    <w:tc>
                      <w:tcPr>
                        <w:tcW w:w="266"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276.57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276.57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276.43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276.42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276.36</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276.47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0.0810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0.0785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0.0783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0.0777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0.0767</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83.16</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83.15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83.13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83.11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83.06</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83.12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0.0471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0.0464</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0.0463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0.0455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0.0454</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20</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97.36</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97.25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97.21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97.19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97.11</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0.0734</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0.0730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0.0711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0.0697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0.0693</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0.0713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25</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95.53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95.52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95.50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95.44</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94.81</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95.36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0.1234</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0.1219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0.1193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0.1173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0.1148</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0.1193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30</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58.62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58.61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58.55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58.49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58.36</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58.53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0.1750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0.1742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0.1703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0.1656</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0.1641</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0.1698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35</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81.77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81.56</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81.53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81.46</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80.79</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81.42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0.1359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0.1311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0.1283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0.1273</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0.1306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40</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88.12</w:t>
                        </w:r>
                      </w:p>
                    </w:tc>
                    <w:tc>
                      <w:tcPr>
                        <w:tcW w:w="507"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88.12</w:t>
                        </w:r>
                      </w:p>
                    </w:tc>
                    <w:tc>
                      <w:tcPr>
                        <w:tcW w:w="507"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88.12</w:t>
                        </w:r>
                      </w:p>
                    </w:tc>
                    <w:tc>
                      <w:tcPr>
                        <w:tcW w:w="507"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88.12</w:t>
                        </w:r>
                      </w:p>
                    </w:tc>
                    <w:tc>
                      <w:tcPr>
                        <w:tcW w:w="50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0.1015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0.1007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0.0961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0.0910</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0.0884</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00955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45</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89.18</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89.11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89.08</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88.83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88.16</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88.87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0.0699</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0.0684</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0.0682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0.0681</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0.0681</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0.0685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restar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50</w:t>
                        </w:r>
                      </w:p>
                    </w:tc>
                    <w:tc>
                      <w:tcPr>
                        <w:tcW w:w="266"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1.5</w:t>
                        </w: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电场强度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V/m</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84.38</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84.37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84.35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84.33</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84.27</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84.34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77"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55"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266" w:type="pct"/>
                        <w:vMerge w:val="continue"/>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48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磁感应强度</w:t>
                        </w:r>
                      </w:p>
                    </w:tc>
                    <w:tc>
                      <w:tcPr>
                        <w:tcW w:w="332"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μT</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0.0507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0.0502</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0.0497</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0.0485</w:t>
                        </w:r>
                      </w:p>
                    </w:tc>
                    <w:tc>
                      <w:tcPr>
                        <w:tcW w:w="507"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0.0485</w:t>
                        </w:r>
                      </w:p>
                    </w:tc>
                    <w:tc>
                      <w:tcPr>
                        <w:tcW w:w="509" w:type="pct"/>
                        <w:vAlign w:val="center"/>
                      </w:tcPr>
                      <w:p>
                        <w:pPr>
                          <w:pStyle w:val="2"/>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0.0495</w:t>
                        </w:r>
                      </w:p>
                    </w:tc>
                  </w:tr>
                </w:tbl>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验收监测期间，本项目</w:t>
                  </w:r>
                  <w:r>
                    <w:rPr>
                      <w:rFonts w:hint="default" w:ascii="Times New Roman" w:hAnsi="Times New Roman" w:eastAsia="宋体" w:cs="Times New Roman"/>
                      <w:sz w:val="24"/>
                      <w:szCs w:val="24"/>
                      <w:vertAlign w:val="baseline"/>
                      <w:lang w:val="en-US" w:eastAsia="zh-CN"/>
                    </w:rPr>
                    <w:t>电力线路改迁建设电场强度5m处</w:t>
                  </w:r>
                  <w:r>
                    <w:rPr>
                      <w:rFonts w:hint="default" w:ascii="Times New Roman" w:hAnsi="Times New Roman" w:eastAsia="宋体" w:cs="Times New Roman"/>
                      <w:snapToGrid w:val="0"/>
                      <w:color w:val="000000"/>
                      <w:kern w:val="0"/>
                      <w:sz w:val="24"/>
                      <w:szCs w:val="24"/>
                      <w:lang w:val="en-US" w:eastAsia="zh-CN" w:bidi="ar"/>
                    </w:rPr>
                    <w:t>监测值为855.86</w:t>
                  </w:r>
                  <w:r>
                    <w:rPr>
                      <w:rFonts w:hint="default" w:ascii="Times New Roman" w:hAnsi="Times New Roman" w:eastAsia="宋体" w:cs="Times New Roman"/>
                      <w:sz w:val="24"/>
                      <w:szCs w:val="24"/>
                      <w:vertAlign w:val="baseline"/>
                      <w:lang w:val="en-US" w:eastAsia="zh-CN"/>
                    </w:rPr>
                    <w:t>V/m</w:t>
                  </w:r>
                  <w:r>
                    <w:rPr>
                      <w:rFonts w:hint="default" w:ascii="Times New Roman" w:hAnsi="Times New Roman" w:eastAsia="宋体" w:cs="Times New Roman"/>
                      <w:snapToGrid w:val="0"/>
                      <w:color w:val="000000"/>
                      <w:kern w:val="0"/>
                      <w:sz w:val="24"/>
                      <w:szCs w:val="24"/>
                      <w:lang w:val="en-US" w:eastAsia="zh-CN" w:bidi="ar"/>
                    </w:rPr>
                    <w:t>，磁感应强度</w:t>
                  </w:r>
                  <w:r>
                    <w:rPr>
                      <w:rFonts w:hint="default" w:ascii="Times New Roman" w:hAnsi="Times New Roman" w:eastAsia="宋体" w:cs="Times New Roman"/>
                      <w:sz w:val="24"/>
                      <w:szCs w:val="24"/>
                      <w:vertAlign w:val="baseline"/>
                      <w:lang w:val="en-US" w:eastAsia="zh-CN"/>
                    </w:rPr>
                    <w:t>5m处</w:t>
                  </w:r>
                  <w:r>
                    <w:rPr>
                      <w:rFonts w:hint="default" w:ascii="Times New Roman" w:hAnsi="Times New Roman" w:eastAsia="宋体" w:cs="Times New Roman"/>
                      <w:snapToGrid w:val="0"/>
                      <w:color w:val="000000"/>
                      <w:kern w:val="0"/>
                      <w:sz w:val="24"/>
                      <w:szCs w:val="24"/>
                      <w:lang w:val="en-US" w:eastAsia="zh-CN" w:bidi="ar"/>
                    </w:rPr>
                    <w:t>监测值为0.1157</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电场强度25m处</w:t>
                  </w:r>
                  <w:r>
                    <w:rPr>
                      <w:rFonts w:hint="default" w:ascii="Times New Roman" w:hAnsi="Times New Roman" w:eastAsia="宋体" w:cs="Times New Roman"/>
                      <w:snapToGrid w:val="0"/>
                      <w:color w:val="000000"/>
                      <w:kern w:val="0"/>
                      <w:sz w:val="24"/>
                      <w:szCs w:val="24"/>
                      <w:lang w:val="en-US" w:eastAsia="zh-CN" w:bidi="ar"/>
                    </w:rPr>
                    <w:t>监测值为</w:t>
                  </w:r>
                  <w:r>
                    <w:rPr>
                      <w:rFonts w:hint="default" w:ascii="Times New Roman" w:hAnsi="Times New Roman" w:eastAsia="宋体" w:cs="Times New Roman"/>
                      <w:sz w:val="24"/>
                      <w:szCs w:val="24"/>
                      <w:vertAlign w:val="baseline"/>
                      <w:lang w:val="en-US" w:eastAsia="zh-CN"/>
                    </w:rPr>
                    <w:t>95.36V/m</w:t>
                  </w:r>
                  <w:r>
                    <w:rPr>
                      <w:rFonts w:hint="default" w:ascii="Times New Roman" w:hAnsi="Times New Roman" w:eastAsia="宋体" w:cs="Times New Roman"/>
                      <w:snapToGrid w:val="0"/>
                      <w:color w:val="000000"/>
                      <w:kern w:val="0"/>
                      <w:sz w:val="24"/>
                      <w:szCs w:val="24"/>
                      <w:lang w:val="en-US" w:eastAsia="zh-CN" w:bidi="ar"/>
                    </w:rPr>
                    <w:t>，磁感应强度2</w:t>
                  </w:r>
                  <w:r>
                    <w:rPr>
                      <w:rFonts w:hint="default" w:ascii="Times New Roman" w:hAnsi="Times New Roman" w:eastAsia="宋体" w:cs="Times New Roman"/>
                      <w:sz w:val="24"/>
                      <w:szCs w:val="24"/>
                      <w:vertAlign w:val="baseline"/>
                      <w:lang w:val="en-US" w:eastAsia="zh-CN"/>
                    </w:rPr>
                    <w:t>5m处</w:t>
                  </w:r>
                  <w:r>
                    <w:rPr>
                      <w:rFonts w:hint="default" w:ascii="Times New Roman" w:hAnsi="Times New Roman" w:eastAsia="宋体" w:cs="Times New Roman"/>
                      <w:snapToGrid w:val="0"/>
                      <w:color w:val="000000"/>
                      <w:kern w:val="0"/>
                      <w:sz w:val="24"/>
                      <w:szCs w:val="24"/>
                      <w:lang w:val="en-US" w:eastAsia="zh-CN" w:bidi="ar"/>
                    </w:rPr>
                    <w:t>监测值为0.1193</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z w:val="24"/>
                      <w:szCs w:val="24"/>
                      <w:vertAlign w:val="baseline"/>
                      <w:lang w:val="en-US" w:eastAsia="zh-CN"/>
                    </w:rPr>
                    <w:t>电场强度50m处</w:t>
                  </w:r>
                  <w:r>
                    <w:rPr>
                      <w:rFonts w:hint="default" w:ascii="Times New Roman" w:hAnsi="Times New Roman" w:eastAsia="宋体" w:cs="Times New Roman"/>
                      <w:snapToGrid w:val="0"/>
                      <w:color w:val="000000"/>
                      <w:kern w:val="0"/>
                      <w:sz w:val="24"/>
                      <w:szCs w:val="24"/>
                      <w:lang w:val="en-US" w:eastAsia="zh-CN" w:bidi="ar"/>
                    </w:rPr>
                    <w:t>监测值为</w:t>
                  </w:r>
                  <w:r>
                    <w:rPr>
                      <w:rFonts w:hint="default" w:ascii="Times New Roman" w:hAnsi="Times New Roman" w:eastAsia="宋体" w:cs="Times New Roman"/>
                      <w:sz w:val="24"/>
                      <w:szCs w:val="24"/>
                      <w:vertAlign w:val="baseline"/>
                      <w:lang w:val="en-US" w:eastAsia="zh-CN"/>
                    </w:rPr>
                    <w:t>84.34V/m</w:t>
                  </w:r>
                  <w:r>
                    <w:rPr>
                      <w:rFonts w:hint="default" w:ascii="Times New Roman" w:hAnsi="Times New Roman" w:eastAsia="宋体" w:cs="Times New Roman"/>
                      <w:snapToGrid w:val="0"/>
                      <w:color w:val="000000"/>
                      <w:kern w:val="0"/>
                      <w:sz w:val="24"/>
                      <w:szCs w:val="24"/>
                      <w:lang w:val="en-US" w:eastAsia="zh-CN" w:bidi="ar"/>
                    </w:rPr>
                    <w:t>，磁感应强度50</w:t>
                  </w:r>
                  <w:r>
                    <w:rPr>
                      <w:rFonts w:hint="default" w:ascii="Times New Roman" w:hAnsi="Times New Roman" w:eastAsia="宋体" w:cs="Times New Roman"/>
                      <w:sz w:val="24"/>
                      <w:szCs w:val="24"/>
                      <w:vertAlign w:val="baseline"/>
                      <w:lang w:val="en-US" w:eastAsia="zh-CN"/>
                    </w:rPr>
                    <w:t>m处</w:t>
                  </w:r>
                  <w:r>
                    <w:rPr>
                      <w:rFonts w:hint="default" w:ascii="Times New Roman" w:hAnsi="Times New Roman" w:eastAsia="宋体" w:cs="Times New Roman"/>
                      <w:snapToGrid w:val="0"/>
                      <w:color w:val="000000"/>
                      <w:kern w:val="0"/>
                      <w:sz w:val="24"/>
                      <w:szCs w:val="24"/>
                      <w:lang w:val="en-US" w:eastAsia="zh-CN" w:bidi="ar"/>
                    </w:rPr>
                    <w:t>监测值为0.0495</w:t>
                  </w:r>
                  <w:r>
                    <w:rPr>
                      <w:rFonts w:hint="default" w:ascii="Times New Roman" w:hAnsi="Times New Roman" w:eastAsia="宋体" w:cs="Times New Roman"/>
                      <w:sz w:val="24"/>
                      <w:szCs w:val="24"/>
                      <w:vertAlign w:val="baseline"/>
                      <w:lang w:val="en-US" w:eastAsia="zh-CN"/>
                    </w:rPr>
                    <w:t>μT</w:t>
                  </w:r>
                  <w:r>
                    <w:rPr>
                      <w:rFonts w:hint="default" w:ascii="Times New Roman" w:hAnsi="Times New Roman" w:eastAsia="宋体" w:cs="Times New Roman"/>
                      <w:snapToGrid w:val="0"/>
                      <w:color w:val="000000"/>
                      <w:kern w:val="0"/>
                      <w:sz w:val="24"/>
                      <w:szCs w:val="24"/>
                      <w:lang w:val="en-US" w:eastAsia="zh-CN" w:bidi="ar"/>
                    </w:rPr>
                    <w:t>，</w:t>
                  </w:r>
                  <w:r>
                    <w:rPr>
                      <w:rFonts w:hint="default" w:ascii="Times New Roman" w:hAnsi="Times New Roman" w:eastAsia="宋体" w:cs="Times New Roman"/>
                      <w:snapToGrid w:val="0"/>
                      <w:color w:val="auto"/>
                      <w:kern w:val="0"/>
                      <w:sz w:val="24"/>
                      <w:szCs w:val="24"/>
                      <w:highlight w:val="none"/>
                      <w:lang w:eastAsia="zh-CN"/>
                    </w:rPr>
                    <w:t>本项目营运期</w:t>
                  </w:r>
                  <w:r>
                    <w:rPr>
                      <w:rFonts w:hint="default" w:ascii="Times New Roman" w:hAnsi="Times New Roman" w:eastAsia="宋体" w:cs="Times New Roman"/>
                      <w:sz w:val="24"/>
                      <w:szCs w:val="24"/>
                    </w:rPr>
                    <w:t>工频电场、工频磁场</w:t>
                  </w:r>
                  <w:r>
                    <w:rPr>
                      <w:rFonts w:hint="default" w:ascii="Times New Roman" w:hAnsi="Times New Roman" w:eastAsia="宋体" w:cs="Times New Roman"/>
                      <w:snapToGrid w:val="0"/>
                      <w:color w:val="000000"/>
                      <w:kern w:val="0"/>
                      <w:sz w:val="24"/>
                      <w:szCs w:val="24"/>
                      <w:lang w:val="en-US" w:eastAsia="zh-CN" w:bidi="ar"/>
                    </w:rPr>
                    <w:t>均满足</w:t>
                  </w:r>
                  <w:r>
                    <w:rPr>
                      <w:rFonts w:hint="default" w:ascii="Times New Roman" w:hAnsi="Times New Roman" w:eastAsia="宋体" w:cs="Times New Roman"/>
                      <w:sz w:val="24"/>
                      <w:szCs w:val="24"/>
                    </w:rPr>
                    <w:t>《电磁环境控制限值》(GB 8702-2014)中的(电场强度≤4000V/m；磁感应强度≤100μT)公众曝露控制限值</w:t>
                  </w:r>
                  <w:r>
                    <w:rPr>
                      <w:rFonts w:hint="default" w:ascii="Times New Roman" w:hAnsi="Times New Roman" w:eastAsia="宋体" w:cs="Times New Roman"/>
                      <w:snapToGrid w:val="0"/>
                      <w:color w:val="000000"/>
                      <w:kern w:val="0"/>
                      <w:sz w:val="24"/>
                      <w:szCs w:val="24"/>
                      <w:lang w:val="en-US" w:eastAsia="zh-CN" w:bidi="ar"/>
                    </w:rPr>
                    <w:t>要求。</w:t>
                  </w:r>
                </w:p>
                <w:p>
                  <w:pPr>
                    <w:pStyle w:val="2"/>
                    <w:keepNext w:val="0"/>
                    <w:keepLines w:val="0"/>
                    <w:widowControl w:val="0"/>
                    <w:suppressLineNumbers w:val="0"/>
                    <w:spacing w:before="0" w:beforeAutospacing="0" w:after="0" w:afterAutospacing="0"/>
                    <w:ind w:left="0" w:right="0"/>
                    <w:rPr>
                      <w:rFonts w:hint="default"/>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spacing w:line="371" w:lineRule="auto"/>
              <w:ind w:left="118" w:right="368" w:firstLine="492"/>
              <w:rPr>
                <w:rFonts w:hint="default" w:ascii="Times New Roman" w:hAnsi="Times New Roman" w:eastAsia="宋体" w:cs="Times New Roman"/>
                <w:sz w:val="24"/>
                <w:szCs w:val="24"/>
              </w:rPr>
            </w:pPr>
          </w:p>
        </w:tc>
      </w:tr>
    </w:tbl>
    <w:p>
      <w:pPr>
        <w:pStyle w:val="3"/>
        <w:bidi w:val="0"/>
        <w:rPr>
          <w:rFonts w:hint="default" w:ascii="Times New Roman" w:hAnsi="Times New Roman" w:cs="Times New Roman"/>
          <w:sz w:val="32"/>
          <w:szCs w:val="52"/>
        </w:rPr>
        <w:sectPr>
          <w:footerReference r:id="rId16"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bookmarkStart w:id="9" w:name="_Toc14210"/>
    </w:p>
    <w:p>
      <w:pPr>
        <w:pStyle w:val="3"/>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9"/>
    </w:p>
    <w:tbl>
      <w:tblPr>
        <w:tblStyle w:val="19"/>
        <w:tblW w:w="9009"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450" w:hRule="atLeast"/>
          <w:jc w:val="center"/>
        </w:trPr>
        <w:tc>
          <w:tcPr>
            <w:tcW w:w="9009"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施工期</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504"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对工程运营期环境保护工作十分重视，设立专门的环境管理机构，负责组织、落实、监督本项目的环境保护工作，配备了专职环境保护管理人员，并根据国家环保政策、标准及环境监测要求，制定该项目营运期环境管理规章制度、各种污染物排放指标。对管线进行定期维护和检修，确保其正常运行。</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明确分工，由</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负责总体工作，专职人员负责施工及运营过程中的环保检查工作，对施工单位提出了明确的施工过程环境保护要求，对施工场地进行不定期的检查，认真贯彻环保法规，确保了施工单位的文明施工，尽可能保护了项目区的土壤和植被，在施工期间合理安排施工计划和作业时间。</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ascii="Times New Roman" w:hAnsi="Times New Roman" w:eastAsia="宋体" w:cs="Times New Roman"/>
                <w:snapToGrid/>
                <w:color w:val="auto"/>
                <w:kern w:val="2"/>
                <w:sz w:val="24"/>
                <w:szCs w:val="24"/>
                <w:lang w:val="en-US" w:eastAsia="zh-CN" w:bidi="ar-SA"/>
              </w:rPr>
            </w:pPr>
            <w:r>
              <w:rPr>
                <w:rFonts w:hint="eastAsia" w:ascii="宋体" w:hAnsi="宋体" w:eastAsia="宋体" w:cs="宋体"/>
                <w:sz w:val="24"/>
                <w:szCs w:val="24"/>
                <w:lang w:val="en-US" w:eastAsia="zh-CN"/>
              </w:rPr>
              <w:t>施工期</w:t>
            </w:r>
            <w:r>
              <w:rPr>
                <w:rFonts w:hint="eastAsia" w:ascii="Times New Roman" w:hAnsi="Times New Roman" w:eastAsia="宋体" w:cs="Times New Roman"/>
                <w:sz w:val="24"/>
                <w:szCs w:val="24"/>
                <w:lang w:val="en-US" w:eastAsia="zh-CN"/>
              </w:rPr>
              <w:t>新疆润盛投资发展有限公司</w:t>
            </w:r>
            <w:r>
              <w:rPr>
                <w:rFonts w:hint="eastAsia" w:ascii="宋体" w:hAnsi="宋体" w:eastAsia="宋体" w:cs="宋体"/>
                <w:sz w:val="24"/>
                <w:szCs w:val="24"/>
                <w:lang w:val="en-US" w:eastAsia="zh-CN"/>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在项目运营过程中，应充分学习、吸收和借鉴同行的管理经验，结合自身营运过程，建立和制定一整套严格而操作性强的管理制度，环境管理全过程应涵盖如下内容：</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（1）制定定期检查、维护制度，并按照制度落实；</w:t>
            </w:r>
          </w:p>
          <w:p>
            <w:pPr>
              <w:pStyle w:val="2"/>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kern w:val="0"/>
                <w:sz w:val="24"/>
                <w:szCs w:val="20"/>
              </w:rPr>
              <w:t>（2）开展相关管理部门培训工作，提高业务能力和技术水平。</w:t>
            </w:r>
          </w:p>
        </w:tc>
      </w:tr>
    </w:tbl>
    <w:p>
      <w:pPr>
        <w:rPr>
          <w:rFonts w:hint="default" w:ascii="Times New Roman" w:hAnsi="Times New Roman" w:cs="Times New Roman"/>
          <w:sz w:val="21"/>
        </w:rPr>
        <w:sectPr>
          <w:footerReference r:id="rId17"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3"/>
        <w:bidi w:val="0"/>
        <w:rPr>
          <w:rFonts w:hint="default" w:ascii="Times New Roman" w:hAnsi="Times New Roman" w:cs="Times New Roman"/>
          <w:sz w:val="32"/>
          <w:szCs w:val="52"/>
        </w:rPr>
      </w:pPr>
      <w:bookmarkStart w:id="10" w:name="_Toc13206"/>
      <w:r>
        <w:rPr>
          <w:rFonts w:hint="default" w:ascii="Times New Roman" w:hAnsi="Times New Roman" w:cs="Times New Roman"/>
          <w:sz w:val="32"/>
          <w:szCs w:val="52"/>
        </w:rPr>
        <w:t>表十一 调查结论及建议</w:t>
      </w:r>
      <w:bookmarkEnd w:id="10"/>
    </w:p>
    <w:tbl>
      <w:tblPr>
        <w:tblStyle w:val="19"/>
        <w:tblW w:w="9024"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jc w:val="center"/>
        </w:trPr>
        <w:tc>
          <w:tcPr>
            <w:tcW w:w="9024" w:type="dxa"/>
            <w:vAlign w:val="top"/>
          </w:tcPr>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宋体" w:cs="Times New Roman"/>
                <w:sz w:val="28"/>
                <w:szCs w:val="28"/>
              </w:rPr>
            </w:pPr>
            <w:r>
              <w:rPr>
                <w:rFonts w:hint="default" w:ascii="Times New Roman" w:hAnsi="Times New Roman" w:eastAsia="Times New Roman" w:cs="Times New Roman"/>
                <w:b/>
                <w:bCs/>
                <w:spacing w:val="-2"/>
                <w:sz w:val="28"/>
                <w:szCs w:val="28"/>
              </w:rPr>
              <w:t>1</w:t>
            </w:r>
            <w:r>
              <w:rPr>
                <w:rFonts w:hint="default" w:ascii="Times New Roman" w:hAnsi="Times New Roman" w:eastAsia="Times New Roman" w:cs="Times New Roman"/>
                <w:b/>
                <w:bCs/>
                <w:spacing w:val="-1"/>
                <w:sz w:val="28"/>
                <w:szCs w:val="28"/>
              </w:rPr>
              <w:t>1.1</w:t>
            </w:r>
            <w:r>
              <w:rPr>
                <w:rFonts w:hint="default" w:ascii="Times New Roman" w:hAnsi="Times New Roman" w:eastAsia="宋体" w:cs="Times New Roman"/>
                <w:b/>
                <w:bCs/>
                <w:spacing w:val="-1"/>
                <w:sz w:val="28"/>
                <w:szCs w:val="28"/>
                <w:lang w:val="en-US" w:eastAsia="zh-CN"/>
              </w:rPr>
              <w:t xml:space="preserve"> </w:t>
            </w:r>
            <w:r>
              <w:rPr>
                <w:rFonts w:hint="default" w:ascii="Times New Roman" w:hAnsi="Times New Roman" w:eastAsia="宋体" w:cs="Times New Roman"/>
                <w:spacing w:val="-1"/>
                <w:sz w:val="28"/>
                <w:szCs w:val="28"/>
                <w14:textOutline w14:w="5094" w14:cap="flat" w14:cmpd="sng">
                  <w14:solidFill>
                    <w14:srgbClr w14:val="000000"/>
                  </w14:solidFill>
                  <w14:prstDash w14:val="solid"/>
                  <w14:miter w14:val="0"/>
                </w14:textOutline>
              </w:rPr>
              <w:t>调查结论及建议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auto"/>
                <w:sz w:val="24"/>
                <w:szCs w:val="24"/>
                <w:lang w:val="en-US" w:eastAsia="zh-CN"/>
              </w:rPr>
              <w:t>本项目</w:t>
            </w:r>
            <w:r>
              <w:rPr>
                <w:rFonts w:hint="default" w:ascii="Times New Roman" w:hAnsi="Times New Roman" w:eastAsia="宋体" w:cs="Times New Roman"/>
                <w:snapToGrid w:val="0"/>
                <w:sz w:val="24"/>
                <w:szCs w:val="24"/>
              </w:rPr>
              <w:t>道路工程17.52km，其中</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北一区改造道路0.6km，北二区新建道路7.57km，奎东特色产业园新建道路9.35km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北一区仓储物流区建设供排水管线1.1km</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路肩改造0.24万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、绿化、林床改造项目建设9.2万</w:t>
            </w:r>
            <w:r>
              <w:rPr>
                <w:rFonts w:hint="eastAsia" w:ascii="Times New Roman" w:hAnsi="Times New Roman" w:eastAsia="宋体" w:cs="Times New Roman"/>
                <w:snapToGrid w:val="0"/>
                <w:sz w:val="24"/>
                <w:szCs w:val="24"/>
                <w:lang w:val="en-US" w:eastAsia="zh-CN"/>
              </w:rPr>
              <w:t>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亮化路灯320盏项目</w:t>
            </w:r>
            <w:r>
              <w:rPr>
                <w:rFonts w:hint="default"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电力线路改迁建设4.081km。</w:t>
            </w:r>
          </w:p>
          <w:p>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
                <w:sz w:val="24"/>
                <w:szCs w:val="24"/>
                <w:lang w:val="en-US" w:eastAsia="zh-CN"/>
              </w:rPr>
              <w:t>16098</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1385</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8.6</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spacing w:val="-1"/>
                <w:sz w:val="24"/>
                <w:szCs w:val="24"/>
                <w:lang w:val="en-US" w:eastAsia="zh-CN"/>
              </w:rPr>
              <w:t>。</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pPr>
              <w:pStyle w:val="2"/>
              <w:widowControl w:val="0"/>
              <w:kinsoku/>
              <w:autoSpaceDE/>
              <w:autoSpaceDN/>
              <w:adjustRightInd/>
              <w:snapToGrid/>
              <w:spacing w:line="360" w:lineRule="auto"/>
              <w:ind w:firstLine="480" w:firstLineChars="200"/>
              <w:jc w:val="both"/>
              <w:textAlignment w:val="auto"/>
              <w:rPr>
                <w:rFonts w:hint="eastAsia" w:eastAsia="宋体" w:cs="Times New Roman"/>
                <w:snapToGrid/>
                <w:color w:val="auto"/>
                <w:kern w:val="2"/>
                <w:sz w:val="24"/>
                <w:szCs w:val="24"/>
                <w:lang w:val="en-US" w:eastAsia="zh-CN" w:bidi="ar-SA"/>
              </w:rPr>
            </w:pPr>
            <w:r>
              <w:rPr>
                <w:rFonts w:hint="eastAsia" w:eastAsia="宋体" w:cs="Times New Roman"/>
                <w:snapToGrid/>
                <w:color w:val="auto"/>
                <w:kern w:val="2"/>
                <w:sz w:val="24"/>
                <w:szCs w:val="24"/>
                <w:lang w:val="en-US" w:eastAsia="zh-CN" w:bidi="ar-SA"/>
              </w:rPr>
              <w:t>2.1施工期调查结论</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rFonts w:hint="eastAsia" w:ascii="宋体" w:hAnsi="宋体" w:eastAsia="宋体" w:cs="宋体"/>
                <w:snapToGrid w:val="0"/>
                <w:color w:val="000000"/>
                <w:kern w:val="0"/>
                <w:sz w:val="24"/>
                <w:szCs w:val="24"/>
                <w:lang w:val="en-US" w:eastAsia="zh-CN" w:bidi="ar"/>
              </w:rPr>
            </w:pPr>
            <w:r>
              <w:rPr>
                <w:rFonts w:hint="eastAsia" w:ascii="宋体" w:hAnsi="宋体" w:eastAsia="宋体" w:cs="宋体"/>
                <w:snapToGrid w:val="0"/>
                <w:color w:val="000000"/>
                <w:kern w:val="0"/>
                <w:sz w:val="24"/>
                <w:szCs w:val="24"/>
                <w:lang w:val="en-US" w:eastAsia="zh-CN" w:bidi="ar"/>
              </w:rPr>
              <w:t>建设单位在施工期已按环评要求落实各项污染防治措施，验收现场调查时，施工沿线无弃土弃渣堆放，无环境遗留问题。施工结束后，临时占地已完成恢复。</w:t>
            </w:r>
          </w:p>
          <w:p>
            <w:pPr>
              <w:pStyle w:val="2"/>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lang w:val="en-US"/>
              </w:rPr>
            </w:pPr>
            <w:r>
              <w:rPr>
                <w:rFonts w:hint="default" w:ascii="Times New Roman" w:hAnsi="Times New Roman" w:eastAsia="宋体" w:cs="Times New Roman"/>
                <w:snapToGrid w:val="0"/>
                <w:color w:val="000000"/>
                <w:kern w:val="0"/>
                <w:sz w:val="24"/>
                <w:szCs w:val="24"/>
                <w:lang w:val="en-US" w:eastAsia="zh-CN" w:bidi="ar"/>
              </w:rPr>
              <w:t>2.2运营期</w:t>
            </w:r>
            <w:r>
              <w:rPr>
                <w:rFonts w:hint="eastAsia" w:ascii="宋体" w:hAnsi="宋体" w:eastAsia="宋体" w:cs="宋体"/>
                <w:snapToGrid w:val="0"/>
                <w:color w:val="000000"/>
                <w:kern w:val="0"/>
                <w:sz w:val="24"/>
                <w:szCs w:val="24"/>
                <w:lang w:val="en-US" w:eastAsia="zh-CN" w:bidi="ar"/>
              </w:rPr>
              <w:t>调查结论</w:t>
            </w:r>
          </w:p>
          <w:p>
            <w:pPr>
              <w:pStyle w:val="2"/>
              <w:widowControl w:val="0"/>
              <w:numPr>
                <w:ilvl w:val="0"/>
                <w:numId w:val="5"/>
              </w:numPr>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水环境影响调查结论</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项目运营后水污染源主要来为降雨冲刷路面产生的路面径流污水，污水量影响因素包括降雨强度、降雨历时、降雨频率、车流量、路面宽度和产污路段长度等，主要污染物为石油类、有机物和SS。</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项目设计文件，道路在不利于排水处设置开口型路缘石，将路面积水引至绿化带排出，从而使排水迅速畅通。本项目所在区城全年降水量较少，涉及道路沿线无地表水体，雨水汇集至低洼处，排入绿化带由植被吸收自然降解，对项目区水环境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环境空气影响调查结论</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项目运营后对环境空的影响主要是汽车尾气的影响。本项目道路沿线地区，地势平坦，空间开阔，有利于污染物稀释、扩散。本项目对道路绿化带和林床进行整治，并且新建道路的两侧也将按设计文件进行绿化规划，绿化植被对汽车尾气有一定吸收作用。再加上汽车制造业将依靠科技进步执行日益严格的尾气排放标准，因此营运期车辆行驶排放的尾气对周围环境空气的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声环境影响调查结论</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项目运营后噪声源主要为路面行驶的车辆由于气流湍动、路面平整度、发动机运转、排气系统、轮胎与路面磨擦等将产生交通噪声，噪声强度与单车源强、车流量、车型比及车速等多种因素有关。</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根据环评预测结果可知，在不考虑建筑物对噪声屏蔽、绿化带隔声作用条件下，拟建道路建成运营远期昼间,道路红线两侧10m外昼间和夜间声环境均能够达到《声环境质量标准》(GB3096-2008)4a类标准(即昼间≤70dB(A)、夜间≤55dB(A))。本项目道路工程仅库尔勒路沿线有声环境敏感点，主要为康乐园小区、同济里小区、乌孙里小区、美美广场，均位于道路红线外50m，运营期道路噪声对以上声环境敏感点影响较小。</w:t>
            </w:r>
          </w:p>
          <w:p>
            <w:pPr>
              <w:pStyle w:val="2"/>
              <w:widowControl w:val="0"/>
              <w:numPr>
                <w:ilvl w:val="0"/>
                <w:numId w:val="5"/>
              </w:numPr>
              <w:kinsoku/>
              <w:autoSpaceDE/>
              <w:autoSpaceDN/>
              <w:adjustRightInd/>
              <w:snapToGrid/>
              <w:spacing w:line="360" w:lineRule="auto"/>
              <w:ind w:left="0" w:leftChars="0"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固体废物影响调查结论</w:t>
            </w:r>
          </w:p>
          <w:p>
            <w:pPr>
              <w:pStyle w:val="2"/>
              <w:keepNext w:val="0"/>
              <w:keepLines w:val="0"/>
              <w:pageBreakBefore w:val="0"/>
              <w:widowControl/>
              <w:numPr>
                <w:ilvl w:val="0"/>
                <w:numId w:val="0"/>
              </w:numPr>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11.2 总结论</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pPr>
              <w:pStyle w:val="2"/>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w:t>
            </w:r>
            <w:r>
              <w:rPr>
                <w:rFonts w:hint="eastAsia" w:eastAsia="宋体" w:cs="Times New Roman"/>
                <w:snapToGrid/>
                <w:color w:val="auto"/>
                <w:kern w:val="2"/>
                <w:sz w:val="24"/>
                <w:szCs w:val="24"/>
                <w:lang w:val="en-US" w:eastAsia="zh-CN" w:bidi="ar-SA"/>
              </w:rPr>
              <w:t>本项目为生态类项目，建设单位</w:t>
            </w:r>
            <w:r>
              <w:rPr>
                <w:rFonts w:hint="default" w:ascii="Times New Roman" w:hAnsi="Times New Roman" w:eastAsia="宋体" w:cs="Times New Roman"/>
                <w:snapToGrid/>
                <w:color w:val="auto"/>
                <w:kern w:val="2"/>
                <w:sz w:val="24"/>
                <w:szCs w:val="24"/>
                <w:lang w:val="en-US" w:eastAsia="zh-CN" w:bidi="ar-SA"/>
              </w:rPr>
              <w:t>按环境影响报告表及其审批部门审批决定要来建成环境保护设施</w:t>
            </w:r>
            <w:r>
              <w:rPr>
                <w:rFonts w:hint="eastAsia"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根据《建设项目竣工环境保护验收暂行办法》，</w:t>
            </w:r>
            <w:r>
              <w:rPr>
                <w:rFonts w:hint="eastAsia" w:eastAsia="宋体" w:cs="Times New Roman"/>
                <w:snapToGrid/>
                <w:color w:val="auto"/>
                <w:kern w:val="2"/>
                <w:sz w:val="24"/>
                <w:szCs w:val="24"/>
                <w:lang w:val="en-US" w:eastAsia="zh-CN" w:bidi="ar-SA"/>
              </w:rPr>
              <w:t>新疆润盛投资发展有限公司奎屯-独山子经济技术开发区2013年基础设施建设项目</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pPr>
              <w:pStyle w:val="2"/>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lang w:val="en-US" w:eastAsia="zh-CN" w:bidi="ar-SA"/>
              </w:rPr>
            </w:pPr>
            <w:r>
              <w:rPr>
                <w:rFonts w:hint="eastAsia" w:ascii="宋体" w:hAnsi="宋体" w:eastAsia="宋体" w:cs="宋体"/>
                <w:snapToGrid/>
                <w:color w:val="auto"/>
                <w:kern w:val="2"/>
                <w:sz w:val="24"/>
                <w:szCs w:val="24"/>
                <w:lang w:val="en-US" w:eastAsia="zh-CN" w:bidi="ar-SA"/>
              </w:rPr>
              <w:t>项目工程在建设过程中，建设单位严格按环境影响评价报告及批复要求进行工程设计和施工，全面执行建设项目环境保护“三同时”制度。新疆润盛投资发展有限公司奎屯-独山子经济技术开发区2013年基础设施建设项目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52" w:firstLineChars="200"/>
              <w:textAlignment w:val="baseline"/>
              <w:outlineLvl w:val="9"/>
              <w:rPr>
                <w:rFonts w:hint="default" w:ascii="Times New Roman" w:hAnsi="Times New Roman" w:eastAsia="Times New Roman" w:cs="Times New Roman"/>
                <w:b/>
                <w:bCs/>
                <w:spacing w:val="-2"/>
                <w:sz w:val="28"/>
                <w:szCs w:val="28"/>
              </w:rPr>
            </w:pPr>
            <w:r>
              <w:rPr>
                <w:rFonts w:hint="default" w:ascii="Times New Roman" w:hAnsi="Times New Roman" w:eastAsia="Times New Roman" w:cs="Times New Roman"/>
                <w:b/>
                <w:bCs/>
                <w:spacing w:val="-2"/>
                <w:sz w:val="28"/>
                <w:szCs w:val="28"/>
              </w:rPr>
              <w:t>11.3 建议</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（1）加强项目环境管理，健全项目环境保护管理规章制度；</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（2）根据现场植被恢复情况，建议加强植被恢复；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napToGrid/>
                <w:color w:val="auto"/>
                <w:kern w:val="2"/>
                <w:sz w:val="24"/>
                <w:szCs w:val="24"/>
                <w:lang w:val="en-US" w:eastAsia="zh-CN" w:bidi="ar-SA"/>
              </w:rPr>
              <w:t>（3）加强工程日常巡视工作，做好维修养护任务。</w:t>
            </w:r>
          </w:p>
        </w:tc>
      </w:tr>
    </w:tbl>
    <w:p>
      <w:pPr>
        <w:pStyle w:val="7"/>
        <w:ind w:left="0" w:leftChars="0" w:firstLine="0" w:firstLineChars="0"/>
      </w:pPr>
    </w:p>
    <w:sectPr>
      <w:footerReference r:id="rId18" w:type="default"/>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0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Bahnschrift Light SemiCondensed">
    <w:panose1 w:val="020B0502040204020203"/>
    <w:charset w:val="00"/>
    <w:family w:val="auto"/>
    <w:pitch w:val="default"/>
    <w:sig w:usb0="800002C7" w:usb1="00000002" w:usb2="00000000" w:usb3="00000000" w:csb0="2000019F" w:csb1="00000000"/>
  </w:font>
  <w:font w:name="Bahnschrift Light Condensed">
    <w:panose1 w:val="020B0502040204020203"/>
    <w:charset w:val="00"/>
    <w:family w:val="auto"/>
    <w:pitch w:val="default"/>
    <w:sig w:usb0="800002C7" w:usb1="00000002" w:usb2="00000000" w:usb3="00000000" w:csb0="2000019F" w:csb1="00000000"/>
  </w:font>
  <w:font w:name="Bahnschrift Light">
    <w:panose1 w:val="020B0502040204020203"/>
    <w:charset w:val="00"/>
    <w:family w:val="auto"/>
    <w:pitch w:val="default"/>
    <w:sig w:usb0="800002C7" w:usb1="00000002"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77"/>
      <w:rPr>
        <w:rFonts w:ascii="宋体" w:hAnsi="宋体" w:eastAsia="宋体" w:cs="宋体"/>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posOffset>2789555</wp:posOffset>
              </wp:positionH>
              <wp:positionV relativeFrom="paragraph">
                <wp:posOffset>-47625</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32</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9.65pt;margin-top:-3.75pt;height:144pt;width:144pt;mso-position-horizontal-relative:margin;mso-wrap-style:none;z-index:251667456;mso-width-relative:page;mso-height-relative:page;" filled="f" stroked="f" coordsize="21600,21600" o:gfxdata="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ex4fd2AAAAAoBAAAPAAAAAAAAAAEAIAAAACIAAABkcnMvZG93bnJldi54&#10;bWxQSwECFAAUAAAACACHTuJArhTZGd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32</w:t>
                    </w:r>
                    <w:r>
                      <w:rPr>
                        <w:rFonts w:hint="default" w:ascii="Times New Roman" w:hAnsi="Times New Roman" w:cs="Times New Roman"/>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7"/>
      <w:rPr>
        <w:rFonts w:hint="default" w:ascii="宋体" w:hAnsi="宋体" w:eastAsia="宋体" w:cs="宋体"/>
        <w:sz w:val="18"/>
        <w:szCs w:val="18"/>
        <w:lang w:val="en-US"/>
      </w:rPr>
    </w:pPr>
    <w:r>
      <w:rPr>
        <w:sz w:val="18"/>
      </w:rPr>
      <mc:AlternateContent>
        <mc:Choice Requires="wps">
          <w:drawing>
            <wp:anchor distT="0" distB="0" distL="114300" distR="114300" simplePos="0" relativeHeight="251668480" behindDoc="0" locked="0" layoutInCell="1" allowOverlap="1">
              <wp:simplePos x="0" y="0"/>
              <wp:positionH relativeFrom="margin">
                <wp:posOffset>2799080</wp:posOffset>
              </wp:positionH>
              <wp:positionV relativeFrom="paragraph">
                <wp:posOffset>-95250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36</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7.5pt;height:144pt;width:144pt;mso-position-horizontal-relative:margin;mso-wrap-style:none;z-index:251668480;mso-width-relative:page;mso-height-relative:page;" filled="f" stroked="f" coordsize="21600,21600" o:gfxdata="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I3onpDYAAAACwEAAA8AAAAAAAAAAQAgAAAAIgAAAGRycy9kb3ducmV2Lnht&#10;bFBLAQIUABQAAAAIAIdO4kD4K+ez3QIAACYGAAAOAAAAAAAAAAEAIAAAACcBAABkcnMvZTJvRG9j&#10;LnhtbFBLBQYAAAAABgAGAFkBAAB2Bg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36</w:t>
                    </w:r>
                    <w:r>
                      <w:rPr>
                        <w:rFonts w:hint="default" w:ascii="Times New Roman" w:hAnsi="Times New Roman" w:cs="Times New Roman"/>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7"/>
      <w:rPr>
        <w:rFonts w:hint="default" w:ascii="宋体" w:hAnsi="宋体" w:eastAsia="宋体" w:cs="宋体"/>
        <w:sz w:val="18"/>
        <w:szCs w:val="18"/>
        <w:lang w:val="en-US"/>
      </w:rPr>
    </w:pPr>
    <w:r>
      <w:rPr>
        <w:sz w:val="18"/>
      </w:rPr>
      <mc:AlternateContent>
        <mc:Choice Requires="wps">
          <w:drawing>
            <wp:anchor distT="0" distB="0" distL="114300" distR="114300" simplePos="0" relativeHeight="251669504" behindDoc="0" locked="0" layoutInCell="1" allowOverlap="1">
              <wp:simplePos x="0" y="0"/>
              <wp:positionH relativeFrom="margin">
                <wp:posOffset>2799080</wp:posOffset>
              </wp:positionH>
              <wp:positionV relativeFrom="paragraph">
                <wp:posOffset>-66675</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5.25pt;height:144pt;width:144pt;mso-position-horizontal-relative:margin;mso-wrap-style:none;z-index:251669504;mso-width-relative:page;mso-height-relative:page;" filled="f" stroked="f" coordsize="21600,21600" o:gfxdata="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Z89i2NkAAAALAQAADwAAAAAAAAABACAAAAAiAAAAZHJzL2Rvd25yZXYu&#10;eG1sUEsBAhQAFAAAAAgAh07iQENs1JbeAgAAJgYAAA4AAAAAAAAAAQAgAAAAKAEAAGRycy9lMm9E&#10;b2MueG1sUEsFBgAAAAAGAAYAWQEAAHgGA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42</w:t>
                    </w:r>
                    <w:r>
                      <w:rPr>
                        <w:rFonts w:hint="default" w:ascii="Times New Roman" w:hAnsi="Times New Roman" w:cs="Times New Roma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70528" behindDoc="0" locked="0" layoutInCell="1" allowOverlap="1">
              <wp:simplePos x="0" y="0"/>
              <wp:positionH relativeFrom="margin">
                <wp:posOffset>2799080</wp:posOffset>
              </wp:positionH>
              <wp:positionV relativeFrom="paragraph">
                <wp:posOffset>-171450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43</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13.5pt;height:144pt;width:144pt;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VT6jzeAgAAJg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BVT6jzeAgAAJgYAAA4AAAAAAAAAAQAgAAAAHwEAAGRycy9lMm9Eb2MueG1sUEsF&#10;BgAAAAAGAAYAWQEAAG8GA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43</w:t>
                    </w:r>
                    <w:r>
                      <w:rPr>
                        <w:rFonts w:hint="default" w:ascii="Times New Roman" w:hAnsi="Times New Roman" w:cs="Times New Roma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4" w:lineRule="auto"/>
      <w:ind w:left="4231"/>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posOffset>2830830</wp:posOffset>
              </wp:positionH>
              <wp:positionV relativeFrom="paragraph">
                <wp:posOffset>-85725</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2.9pt;margin-top:-6.75pt;height:144pt;width:144pt;mso-position-horizontal-relative:margin;mso-wrap-style:none;z-index:251659264;mso-width-relative:page;mso-height-relative:page;" filled="f" stroked="f" coordsize="21600,21600" o:gfxdata="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vO97GtkAAAALAQAADwAAAAAAAAABACAAAAAiAAAAZHJzL2Rvd25yZXYu&#10;eG1sUEsBAhQAFAAAAAgAh07iQL2mdhTeAgAAJgYAAA4AAAAAAAAAAQAgAAAAKAEAAGRycy9lMm9E&#10;b2MueG1sUEsFBgAAAAAGAAYAWQEAAHgGA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posOffset>2840355</wp:posOffset>
              </wp:positionH>
              <wp:positionV relativeFrom="paragraph">
                <wp:posOffset>-66675</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3.65pt;margin-top:-5.25pt;height:144pt;width:144pt;mso-position-horizontal-relative:margin;mso-wrap-style:none;z-index:251660288;mso-width-relative:page;mso-height-relative:page;" filled="f" stroked="f" coordsize="21600,21600" o:gfxdata="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i9yx82AAAAAsBAAAPAAAAAAAAAAEAIAAAACIAAABkcnMvZG93bnJldi54&#10;bWxQSwECFAAUAAAACACHTuJA65lIvt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posOffset>2821305</wp:posOffset>
              </wp:positionH>
              <wp:positionV relativeFrom="paragraph">
                <wp:posOffset>-47625</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2.15pt;margin-top:-3.75pt;height:144pt;width:144pt;mso-position-horizontal-relative:margin;mso-wrap-style:none;z-index:251661312;mso-width-relative:page;mso-height-relative:page;" filled="f" stroked="f" coordsize="21600,21600" o:gfxdata="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BdiqAD2AAAAAoBAAAPAAAAAAAAAAEAIAAAACIAAABkcnMvZG93bnJldi54&#10;bWxQSwECFAAUAAAACACHTuJAyykQXt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ascii="宋体" w:hAnsi="宋体" w:eastAsia="宋体" w:cs="宋体"/>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posOffset>2780030</wp:posOffset>
              </wp:positionH>
              <wp:positionV relativeFrom="paragraph">
                <wp:posOffset>-47625</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8.9pt;margin-top:-3.75pt;height:144pt;width:144pt;mso-position-horizontal-relative:margin;mso-wrap-style:none;z-index:251662336;mso-width-relative:page;mso-height-relative:page;" filled="f" stroked="f" coordsize="21600,21600" o:gfxdata="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DaOr6k2AAAAAoBAAAPAAAAAAAAAAEAIAAAACIAAABkcnMvZG93bnJldi54&#10;bWxQSwECFAAUAAAACACHTuJAnRYu9N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hint="default" w:ascii="宋体" w:hAnsi="宋体" w:eastAsia="宋体" w:cs="宋体"/>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posOffset>2789555</wp:posOffset>
              </wp:positionH>
              <wp:positionV relativeFrom="paragraph">
                <wp:posOffset>-95250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19</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19.65pt;margin-top:-7.5pt;height:144pt;width:144pt;mso-position-horizontal-relative:margin;mso-wrap-style:none;z-index:251663360;mso-width-relative:page;mso-height-relative:page;" filled="f" stroked="f" coordsize="21600,21600" o:gfxdata="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pbecv2AAAAAsBAAAPAAAAAAAAAAEAIAAAACIAAABkcnMvZG93bnJldi54&#10;bWxQSwECFAAUAAAACACHTuJAJlEd0d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19</w:t>
                    </w:r>
                    <w:r>
                      <w:rPr>
                        <w:rFonts w:hint="default" w:ascii="Times New Roman" w:hAnsi="Times New Roman" w:cs="Times New Roma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posOffset>2799080</wp:posOffset>
              </wp:positionH>
              <wp:positionV relativeFrom="paragraph">
                <wp:posOffset>-95250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24</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7.5pt;height:144pt;width:144pt;mso-position-horizontal-relative:margin;mso-wrap-style:none;z-index:251664384;mso-width-relative:page;mso-height-relative:page;" filled="f" stroked="f" coordsize="21600,21600" o:gfxdata="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N6J6Q2AAAAAsBAAAPAAAAAAAAAAEAIAAAACIAAABkcnMvZG93bnJldi54&#10;bWxQSwECFAAUAAAACACHTuJAcG4je94CAAAmBgAADgAAAAAAAAABACAAAAAnAQAAZHJzL2Uyb0Rv&#10;Yy54bWxQSwUGAAAAAAYABgBZAQAAdwY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24</w:t>
                    </w:r>
                    <w:r>
                      <w:rPr>
                        <w:rFonts w:hint="default" w:ascii="Times New Roman" w:hAnsi="Times New Roman" w:cs="Times New Roman"/>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ind w:left="4185"/>
      <w:rPr>
        <w:rFonts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posOffset>2799080</wp:posOffset>
              </wp:positionH>
              <wp:positionV relativeFrom="paragraph">
                <wp:posOffset>-114300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9pt;height:144pt;width:144pt;mso-position-horizontal-relative:margin;mso-wrap-style:none;z-index:251665408;mso-width-relative:page;mso-height-relative:page;" filled="f" stroked="f" coordsize="21600,21600" o:gfxdata="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Hhfbl7XAAAACwEAAA8AAAAAAAAAAQAgAAAAIgAAAGRycy9kb3ducmV2Lnht&#10;bFBLAQIUABQAAAAIAIdO4kAnN93K3gIAACYGAAAOAAAAAAAAAAEAIAAAACYBAABkcnMvZTJvRG9j&#10;LnhtbFBLBQYAAAAABgAGAFkBAAB2Bg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ind w:left="4187"/>
      <w:rPr>
        <w:rFonts w:ascii="宋体" w:hAnsi="宋体" w:eastAsia="宋体" w:cs="宋体"/>
        <w:sz w:val="18"/>
        <w:szCs w:val="18"/>
      </w:rPr>
    </w:pPr>
    <w:r>
      <w:rPr>
        <w:sz w:val="18"/>
      </w:rPr>
      <mc:AlternateContent>
        <mc:Choice Requires="wps">
          <w:drawing>
            <wp:anchor distT="0" distB="0" distL="114300" distR="114300" simplePos="0" relativeHeight="251666432" behindDoc="0" locked="0" layoutInCell="1" allowOverlap="1">
              <wp:simplePos x="0" y="0"/>
              <wp:positionH relativeFrom="margin">
                <wp:posOffset>2799080</wp:posOffset>
              </wp:positionH>
              <wp:positionV relativeFrom="paragraph">
                <wp:posOffset>-57150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29</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0.4pt;margin-top:-4.5pt;height:144pt;width:144pt;mso-position-horizontal-relative:margin;mso-wrap-style:none;z-index:251666432;mso-width-relative:page;mso-height-relative:page;" filled="f" stroked="f" coordsize="21600,21600" o:gfxdata="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NfiKRfXAAAACgEAAA8AAAAAAAAAAQAgAAAAIgAAAGRycy9kb3ducmV2Lnht&#10;bFBLAQIUABQAAAAIAIdO4kBxCONg3gIAACYGAAAOAAAAAAAAAAEAIAAAACYBAABkcnMvZTJvRG9j&#10;LnhtbFBLBQYAAAAABgAGAFkBAAB2Bg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29</w:t>
                    </w:r>
                    <w:r>
                      <w:rPr>
                        <w:rFonts w:hint="default" w:ascii="Times New Roman" w:hAnsi="Times New Roman" w:cs="Times New Roma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FDA3B1"/>
    <w:multiLevelType w:val="singleLevel"/>
    <w:tmpl w:val="8AFDA3B1"/>
    <w:lvl w:ilvl="0" w:tentative="0">
      <w:start w:val="1"/>
      <w:numFmt w:val="decimal"/>
      <w:suff w:val="nothing"/>
      <w:lvlText w:val="（%1）"/>
      <w:lvlJc w:val="left"/>
    </w:lvl>
  </w:abstractNum>
  <w:abstractNum w:abstractNumId="1">
    <w:nsid w:val="D02B56EF"/>
    <w:multiLevelType w:val="singleLevel"/>
    <w:tmpl w:val="D02B56EF"/>
    <w:lvl w:ilvl="0" w:tentative="0">
      <w:start w:val="2"/>
      <w:numFmt w:val="decimal"/>
      <w:suff w:val="nothing"/>
      <w:lvlText w:val="（%1）"/>
      <w:lvlJc w:val="left"/>
    </w:lvl>
  </w:abstractNum>
  <w:abstractNum w:abstractNumId="2">
    <w:nsid w:val="DE09DB63"/>
    <w:multiLevelType w:val="singleLevel"/>
    <w:tmpl w:val="DE09DB63"/>
    <w:lvl w:ilvl="0" w:tentative="0">
      <w:start w:val="1"/>
      <w:numFmt w:val="decimal"/>
      <w:suff w:val="nothing"/>
      <w:lvlText w:val="%1、"/>
      <w:lvlJc w:val="left"/>
    </w:lvl>
  </w:abstractNum>
  <w:abstractNum w:abstractNumId="3">
    <w:nsid w:val="E1FF77FA"/>
    <w:multiLevelType w:val="singleLevel"/>
    <w:tmpl w:val="E1FF77FA"/>
    <w:lvl w:ilvl="0" w:tentative="0">
      <w:start w:val="3"/>
      <w:numFmt w:val="decimal"/>
      <w:suff w:val="nothing"/>
      <w:lvlText w:val="%1）"/>
      <w:lvlJc w:val="left"/>
    </w:lvl>
  </w:abstractNum>
  <w:abstractNum w:abstractNumId="4">
    <w:nsid w:val="0BBC16B4"/>
    <w:multiLevelType w:val="singleLevel"/>
    <w:tmpl w:val="0BBC16B4"/>
    <w:lvl w:ilvl="0" w:tentative="0">
      <w:start w:val="1"/>
      <w:numFmt w:val="decimal"/>
      <w:suff w:val="nothing"/>
      <w:lvlText w:val="（%1）"/>
      <w:lvlJc w:val="left"/>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03215AE"/>
    <w:rsid w:val="00973473"/>
    <w:rsid w:val="00A36069"/>
    <w:rsid w:val="014D1461"/>
    <w:rsid w:val="018362EB"/>
    <w:rsid w:val="027A3CB3"/>
    <w:rsid w:val="02BC1AB4"/>
    <w:rsid w:val="02DA1F3A"/>
    <w:rsid w:val="02E132C9"/>
    <w:rsid w:val="03433F84"/>
    <w:rsid w:val="03C879AD"/>
    <w:rsid w:val="03E219EE"/>
    <w:rsid w:val="044353FA"/>
    <w:rsid w:val="045F6B9B"/>
    <w:rsid w:val="04651CD8"/>
    <w:rsid w:val="04666198"/>
    <w:rsid w:val="048819C4"/>
    <w:rsid w:val="04F75026"/>
    <w:rsid w:val="054D2E98"/>
    <w:rsid w:val="056B57EE"/>
    <w:rsid w:val="06253E14"/>
    <w:rsid w:val="06695AAF"/>
    <w:rsid w:val="06744454"/>
    <w:rsid w:val="06E635A4"/>
    <w:rsid w:val="0828199A"/>
    <w:rsid w:val="082C4FE6"/>
    <w:rsid w:val="08B35707"/>
    <w:rsid w:val="099C43EE"/>
    <w:rsid w:val="0A951569"/>
    <w:rsid w:val="0ABF0394"/>
    <w:rsid w:val="0AC0235E"/>
    <w:rsid w:val="0B6131F9"/>
    <w:rsid w:val="0BAF665A"/>
    <w:rsid w:val="0BFE6C9A"/>
    <w:rsid w:val="0C061FF2"/>
    <w:rsid w:val="0CEC2F96"/>
    <w:rsid w:val="0D7D62E4"/>
    <w:rsid w:val="0E794CFD"/>
    <w:rsid w:val="0F9B3756"/>
    <w:rsid w:val="0FBA06A9"/>
    <w:rsid w:val="11CC3396"/>
    <w:rsid w:val="11D84431"/>
    <w:rsid w:val="12040D82"/>
    <w:rsid w:val="12071ECB"/>
    <w:rsid w:val="130152C1"/>
    <w:rsid w:val="139C52D2"/>
    <w:rsid w:val="13F60B9E"/>
    <w:rsid w:val="14027543"/>
    <w:rsid w:val="1494463F"/>
    <w:rsid w:val="149C060B"/>
    <w:rsid w:val="14BC5944"/>
    <w:rsid w:val="15604521"/>
    <w:rsid w:val="16E41182"/>
    <w:rsid w:val="16E8367D"/>
    <w:rsid w:val="16F82667"/>
    <w:rsid w:val="17544559"/>
    <w:rsid w:val="177B2E56"/>
    <w:rsid w:val="17E4768B"/>
    <w:rsid w:val="189D5A8C"/>
    <w:rsid w:val="18EC0939"/>
    <w:rsid w:val="19505191"/>
    <w:rsid w:val="19C45874"/>
    <w:rsid w:val="19DB061A"/>
    <w:rsid w:val="1B27789C"/>
    <w:rsid w:val="1B3E5305"/>
    <w:rsid w:val="1B416BA3"/>
    <w:rsid w:val="1B754A9E"/>
    <w:rsid w:val="1BF14125"/>
    <w:rsid w:val="1C784846"/>
    <w:rsid w:val="1CBA4E5F"/>
    <w:rsid w:val="1CDA4A54"/>
    <w:rsid w:val="1CE41EDC"/>
    <w:rsid w:val="1D327F72"/>
    <w:rsid w:val="1D682B0D"/>
    <w:rsid w:val="1DA957BD"/>
    <w:rsid w:val="1E0508CE"/>
    <w:rsid w:val="1E262080"/>
    <w:rsid w:val="1F2C36C6"/>
    <w:rsid w:val="1F8B4890"/>
    <w:rsid w:val="1FE81CE3"/>
    <w:rsid w:val="20032679"/>
    <w:rsid w:val="20983709"/>
    <w:rsid w:val="21C244AB"/>
    <w:rsid w:val="21FD176F"/>
    <w:rsid w:val="22C02AA3"/>
    <w:rsid w:val="23496F3C"/>
    <w:rsid w:val="237613B4"/>
    <w:rsid w:val="23C71C0F"/>
    <w:rsid w:val="24A02B8C"/>
    <w:rsid w:val="25203CCD"/>
    <w:rsid w:val="256736AA"/>
    <w:rsid w:val="26720558"/>
    <w:rsid w:val="27651E6B"/>
    <w:rsid w:val="27750300"/>
    <w:rsid w:val="279B763B"/>
    <w:rsid w:val="27C25038"/>
    <w:rsid w:val="285717B4"/>
    <w:rsid w:val="28812569"/>
    <w:rsid w:val="28E53263"/>
    <w:rsid w:val="290B259E"/>
    <w:rsid w:val="290C4C94"/>
    <w:rsid w:val="292D4147"/>
    <w:rsid w:val="29325D7D"/>
    <w:rsid w:val="29422464"/>
    <w:rsid w:val="29E4176D"/>
    <w:rsid w:val="29EB48A9"/>
    <w:rsid w:val="2AFA0B1C"/>
    <w:rsid w:val="2AFB6D6E"/>
    <w:rsid w:val="2BF832AE"/>
    <w:rsid w:val="2C29790B"/>
    <w:rsid w:val="2C4B4507"/>
    <w:rsid w:val="2CAB47C4"/>
    <w:rsid w:val="2CF77A09"/>
    <w:rsid w:val="2D8D5C78"/>
    <w:rsid w:val="2DA01272"/>
    <w:rsid w:val="2DCF003E"/>
    <w:rsid w:val="2DD13DB6"/>
    <w:rsid w:val="2DEC65E8"/>
    <w:rsid w:val="2E5D389C"/>
    <w:rsid w:val="2E7D7A9A"/>
    <w:rsid w:val="2ECB4CA9"/>
    <w:rsid w:val="2F5702EB"/>
    <w:rsid w:val="2FC033C7"/>
    <w:rsid w:val="303D3985"/>
    <w:rsid w:val="30FF50DE"/>
    <w:rsid w:val="312E1E63"/>
    <w:rsid w:val="31411253"/>
    <w:rsid w:val="31551635"/>
    <w:rsid w:val="3179279B"/>
    <w:rsid w:val="31E14CB5"/>
    <w:rsid w:val="3212231A"/>
    <w:rsid w:val="32E53E60"/>
    <w:rsid w:val="337D69FA"/>
    <w:rsid w:val="33E83C08"/>
    <w:rsid w:val="342F7A89"/>
    <w:rsid w:val="34452E08"/>
    <w:rsid w:val="34B00BC9"/>
    <w:rsid w:val="34BB131C"/>
    <w:rsid w:val="34EE524E"/>
    <w:rsid w:val="350B4EB3"/>
    <w:rsid w:val="35F5085E"/>
    <w:rsid w:val="360D3DFA"/>
    <w:rsid w:val="3652180C"/>
    <w:rsid w:val="365E3FD9"/>
    <w:rsid w:val="36AC4A95"/>
    <w:rsid w:val="36FB00F6"/>
    <w:rsid w:val="371D1E1A"/>
    <w:rsid w:val="371D3646"/>
    <w:rsid w:val="371E22F5"/>
    <w:rsid w:val="3757357E"/>
    <w:rsid w:val="37AC319E"/>
    <w:rsid w:val="38156F95"/>
    <w:rsid w:val="38675A43"/>
    <w:rsid w:val="38B93DC5"/>
    <w:rsid w:val="38CF62BE"/>
    <w:rsid w:val="39462149"/>
    <w:rsid w:val="39B36A66"/>
    <w:rsid w:val="39BA6046"/>
    <w:rsid w:val="39FF3A59"/>
    <w:rsid w:val="3A1B4DE1"/>
    <w:rsid w:val="3A1F532D"/>
    <w:rsid w:val="3A814334"/>
    <w:rsid w:val="3ABB3E24"/>
    <w:rsid w:val="3B710987"/>
    <w:rsid w:val="3C6D73A0"/>
    <w:rsid w:val="3C97441D"/>
    <w:rsid w:val="3CF628A7"/>
    <w:rsid w:val="3D804EB1"/>
    <w:rsid w:val="3DFD29A6"/>
    <w:rsid w:val="3E7F160D"/>
    <w:rsid w:val="3ECD2BCF"/>
    <w:rsid w:val="3EF82D74"/>
    <w:rsid w:val="3FBB6674"/>
    <w:rsid w:val="401D732F"/>
    <w:rsid w:val="414D154E"/>
    <w:rsid w:val="41652D3C"/>
    <w:rsid w:val="4189672F"/>
    <w:rsid w:val="41E7532D"/>
    <w:rsid w:val="427D40B5"/>
    <w:rsid w:val="42D068DB"/>
    <w:rsid w:val="43C875B2"/>
    <w:rsid w:val="43EF2D90"/>
    <w:rsid w:val="450B3BFA"/>
    <w:rsid w:val="454A2974"/>
    <w:rsid w:val="46794B93"/>
    <w:rsid w:val="469F45FA"/>
    <w:rsid w:val="46BD68C4"/>
    <w:rsid w:val="46DD5122"/>
    <w:rsid w:val="47240FA3"/>
    <w:rsid w:val="473E2065"/>
    <w:rsid w:val="4753561B"/>
    <w:rsid w:val="479A3013"/>
    <w:rsid w:val="47BB36B5"/>
    <w:rsid w:val="47C14A44"/>
    <w:rsid w:val="47E36768"/>
    <w:rsid w:val="483957D0"/>
    <w:rsid w:val="48C102B3"/>
    <w:rsid w:val="49204E51"/>
    <w:rsid w:val="49D97E23"/>
    <w:rsid w:val="49E62540"/>
    <w:rsid w:val="4A29347E"/>
    <w:rsid w:val="4A422C15"/>
    <w:rsid w:val="4A5D0A54"/>
    <w:rsid w:val="4A7B35D0"/>
    <w:rsid w:val="4A82670C"/>
    <w:rsid w:val="4A8835F7"/>
    <w:rsid w:val="4B1561E5"/>
    <w:rsid w:val="4B517E8D"/>
    <w:rsid w:val="4BB072A9"/>
    <w:rsid w:val="4C143394"/>
    <w:rsid w:val="4CE26304"/>
    <w:rsid w:val="4CF82CB6"/>
    <w:rsid w:val="4DDB15D7"/>
    <w:rsid w:val="4F5F2D3D"/>
    <w:rsid w:val="4F7505EE"/>
    <w:rsid w:val="4F932CA9"/>
    <w:rsid w:val="4F981E3F"/>
    <w:rsid w:val="500B0F52"/>
    <w:rsid w:val="504D6185"/>
    <w:rsid w:val="51063B27"/>
    <w:rsid w:val="514566E6"/>
    <w:rsid w:val="5146539D"/>
    <w:rsid w:val="51736DAF"/>
    <w:rsid w:val="51D05FAF"/>
    <w:rsid w:val="52DC2732"/>
    <w:rsid w:val="52FE6B4C"/>
    <w:rsid w:val="5325232B"/>
    <w:rsid w:val="532D11DF"/>
    <w:rsid w:val="534B7F15"/>
    <w:rsid w:val="53807561"/>
    <w:rsid w:val="53D855EF"/>
    <w:rsid w:val="53DD5B43"/>
    <w:rsid w:val="53E83891"/>
    <w:rsid w:val="54B25E40"/>
    <w:rsid w:val="56166DEF"/>
    <w:rsid w:val="561843C9"/>
    <w:rsid w:val="56513437"/>
    <w:rsid w:val="565E627F"/>
    <w:rsid w:val="56945C15"/>
    <w:rsid w:val="573E7726"/>
    <w:rsid w:val="5765363E"/>
    <w:rsid w:val="57CF2865"/>
    <w:rsid w:val="57DB3900"/>
    <w:rsid w:val="57DB5D50"/>
    <w:rsid w:val="57DD31D4"/>
    <w:rsid w:val="581204AB"/>
    <w:rsid w:val="581D7BD5"/>
    <w:rsid w:val="58B33F35"/>
    <w:rsid w:val="598C003C"/>
    <w:rsid w:val="59E20F76"/>
    <w:rsid w:val="5A551748"/>
    <w:rsid w:val="5A70032F"/>
    <w:rsid w:val="5B610C41"/>
    <w:rsid w:val="5B6F05E7"/>
    <w:rsid w:val="5B7200D7"/>
    <w:rsid w:val="5CE2303B"/>
    <w:rsid w:val="5D535CE6"/>
    <w:rsid w:val="5D5E0561"/>
    <w:rsid w:val="5D5F3BC0"/>
    <w:rsid w:val="5DC42740"/>
    <w:rsid w:val="5E8364CE"/>
    <w:rsid w:val="5EA507C4"/>
    <w:rsid w:val="5EE50BC0"/>
    <w:rsid w:val="5EEA61D6"/>
    <w:rsid w:val="5FDA1F51"/>
    <w:rsid w:val="603040BD"/>
    <w:rsid w:val="60B46A9C"/>
    <w:rsid w:val="612F3657"/>
    <w:rsid w:val="61E15FB7"/>
    <w:rsid w:val="61EC428A"/>
    <w:rsid w:val="622639C9"/>
    <w:rsid w:val="62586279"/>
    <w:rsid w:val="62EF0680"/>
    <w:rsid w:val="63350368"/>
    <w:rsid w:val="63A9158E"/>
    <w:rsid w:val="64E020C6"/>
    <w:rsid w:val="65A6554D"/>
    <w:rsid w:val="65E120E1"/>
    <w:rsid w:val="66173D55"/>
    <w:rsid w:val="665A1D14"/>
    <w:rsid w:val="6695111E"/>
    <w:rsid w:val="66A355E9"/>
    <w:rsid w:val="66D460EA"/>
    <w:rsid w:val="67515045"/>
    <w:rsid w:val="6782689F"/>
    <w:rsid w:val="68426BE7"/>
    <w:rsid w:val="6854495A"/>
    <w:rsid w:val="68FE11FC"/>
    <w:rsid w:val="6942733B"/>
    <w:rsid w:val="69D56401"/>
    <w:rsid w:val="69E93C5A"/>
    <w:rsid w:val="6A260A0B"/>
    <w:rsid w:val="6A5D1F52"/>
    <w:rsid w:val="6A674B7F"/>
    <w:rsid w:val="6B3C48DC"/>
    <w:rsid w:val="6B6F2C52"/>
    <w:rsid w:val="6B7B4D86"/>
    <w:rsid w:val="6BD12BF8"/>
    <w:rsid w:val="6BFF7765"/>
    <w:rsid w:val="6C025999"/>
    <w:rsid w:val="6C35422E"/>
    <w:rsid w:val="6CAE6A95"/>
    <w:rsid w:val="6D617FAC"/>
    <w:rsid w:val="6D854E0B"/>
    <w:rsid w:val="6D95604E"/>
    <w:rsid w:val="6DB66549"/>
    <w:rsid w:val="6EAF68FD"/>
    <w:rsid w:val="6EC802E2"/>
    <w:rsid w:val="708C17E3"/>
    <w:rsid w:val="708C5E3D"/>
    <w:rsid w:val="71123A97"/>
    <w:rsid w:val="716F0EE9"/>
    <w:rsid w:val="71844269"/>
    <w:rsid w:val="71B52674"/>
    <w:rsid w:val="71D92806"/>
    <w:rsid w:val="731F53F4"/>
    <w:rsid w:val="73323B11"/>
    <w:rsid w:val="73BA5B4A"/>
    <w:rsid w:val="73DC65DE"/>
    <w:rsid w:val="74212243"/>
    <w:rsid w:val="74CA6436"/>
    <w:rsid w:val="74D55507"/>
    <w:rsid w:val="74F6547D"/>
    <w:rsid w:val="75DE488F"/>
    <w:rsid w:val="769B008A"/>
    <w:rsid w:val="770D6534"/>
    <w:rsid w:val="775A6197"/>
    <w:rsid w:val="778356EE"/>
    <w:rsid w:val="779C055E"/>
    <w:rsid w:val="77C507B0"/>
    <w:rsid w:val="785E75C1"/>
    <w:rsid w:val="78621EDA"/>
    <w:rsid w:val="78686692"/>
    <w:rsid w:val="78743289"/>
    <w:rsid w:val="78A513B1"/>
    <w:rsid w:val="78DC470F"/>
    <w:rsid w:val="794E35A2"/>
    <w:rsid w:val="7A217567"/>
    <w:rsid w:val="7A3E58FC"/>
    <w:rsid w:val="7A543372"/>
    <w:rsid w:val="7BA82140"/>
    <w:rsid w:val="7CF90201"/>
    <w:rsid w:val="7D8E6B9B"/>
    <w:rsid w:val="7DC9372F"/>
    <w:rsid w:val="7DCE6F97"/>
    <w:rsid w:val="7DF07878"/>
    <w:rsid w:val="7E4704EA"/>
    <w:rsid w:val="7E9D39F7"/>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3">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character" w:default="1" w:styleId="15">
    <w:name w:val="Default Paragraph Font"/>
    <w:autoRedefine/>
    <w:semiHidden/>
    <w:qFormat/>
    <w:uiPriority w:val="0"/>
  </w:style>
  <w:style w:type="table" w:default="1" w:styleId="1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Body Text"/>
    <w:basedOn w:val="1"/>
    <w:autoRedefine/>
    <w:qFormat/>
    <w:uiPriority w:val="0"/>
    <w:pPr>
      <w:spacing w:line="500" w:lineRule="exact"/>
    </w:pPr>
    <w:rPr>
      <w:rFonts w:ascii="Times New Roman" w:hAnsi="Times New Roman"/>
      <w:sz w:val="28"/>
      <w:szCs w:val="20"/>
    </w:rPr>
  </w:style>
  <w:style w:type="paragraph" w:styleId="4">
    <w:name w:val="index 8"/>
    <w:basedOn w:val="1"/>
    <w:next w:val="1"/>
    <w:autoRedefine/>
    <w:qFormat/>
    <w:uiPriority w:val="99"/>
    <w:pPr>
      <w:ind w:left="1400" w:leftChars="1400"/>
    </w:pPr>
    <w:rPr>
      <w:szCs w:val="24"/>
    </w:rPr>
  </w:style>
  <w:style w:type="paragraph" w:styleId="5">
    <w:name w:val="Normal Indent"/>
    <w:basedOn w:val="1"/>
    <w:autoRedefine/>
    <w:qFormat/>
    <w:uiPriority w:val="0"/>
    <w:pPr>
      <w:spacing w:line="520" w:lineRule="exact"/>
      <w:ind w:firstLine="420" w:firstLineChars="200"/>
    </w:pPr>
    <w:rPr>
      <w:rFonts w:ascii="Times New Roman" w:hAnsi="Times New Roman"/>
      <w:szCs w:val="24"/>
    </w:rPr>
  </w:style>
  <w:style w:type="paragraph" w:styleId="6">
    <w:name w:val="Body Text Indent"/>
    <w:basedOn w:val="1"/>
    <w:next w:val="7"/>
    <w:autoRedefine/>
    <w:qFormat/>
    <w:uiPriority w:val="0"/>
    <w:pPr>
      <w:spacing w:after="120"/>
      <w:ind w:left="420" w:leftChars="200"/>
    </w:pPr>
    <w:rPr>
      <w:kern w:val="0"/>
      <w:sz w:val="24"/>
      <w:szCs w:val="20"/>
    </w:rPr>
  </w:style>
  <w:style w:type="paragraph" w:styleId="7">
    <w:name w:val="Body Text First Indent 2"/>
    <w:basedOn w:val="6"/>
    <w:next w:val="6"/>
    <w:autoRedefine/>
    <w:qFormat/>
    <w:uiPriority w:val="0"/>
    <w:pPr>
      <w:spacing w:after="120"/>
      <w:ind w:left="420" w:leftChars="200" w:firstLine="420" w:firstLineChars="200"/>
    </w:pPr>
    <w:rPr>
      <w:sz w:val="21"/>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toc 1"/>
    <w:basedOn w:val="1"/>
    <w:next w:val="1"/>
    <w:autoRedefine/>
    <w:qFormat/>
    <w:uiPriority w:val="0"/>
  </w:style>
  <w:style w:type="paragraph" w:styleId="10">
    <w:name w:val="index heading"/>
    <w:basedOn w:val="1"/>
    <w:next w:val="11"/>
    <w:autoRedefine/>
    <w:qFormat/>
    <w:uiPriority w:val="0"/>
    <w:rPr>
      <w:szCs w:val="20"/>
    </w:rPr>
  </w:style>
  <w:style w:type="paragraph" w:styleId="11">
    <w:name w:val="index 1"/>
    <w:basedOn w:val="1"/>
    <w:next w:val="1"/>
    <w:autoRedefine/>
    <w:qFormat/>
    <w:uiPriority w:val="0"/>
    <w:pPr>
      <w:spacing w:line="320" w:lineRule="exact"/>
      <w:jc w:val="center"/>
    </w:pPr>
    <w:rPr>
      <w:color w:val="000000"/>
      <w:szCs w:val="21"/>
    </w:rPr>
  </w:style>
  <w:style w:type="paragraph" w:styleId="12">
    <w:name w:val="toc 2"/>
    <w:basedOn w:val="1"/>
    <w:next w:val="1"/>
    <w:autoRedefine/>
    <w:qFormat/>
    <w:uiPriority w:val="39"/>
    <w:pPr>
      <w:ind w:left="420" w:leftChars="200"/>
    </w:p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Body Text 21"/>
    <w:basedOn w:val="1"/>
    <w:autoRedefine/>
    <w:qFormat/>
    <w:uiPriority w:val="0"/>
    <w:pPr>
      <w:spacing w:after="120" w:line="480" w:lineRule="auto"/>
    </w:pPr>
  </w:style>
  <w:style w:type="paragraph" w:customStyle="1" w:styleId="17">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18">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paragraph" w:customStyle="1" w:styleId="20">
    <w:name w:val="表+五号"/>
    <w:basedOn w:val="1"/>
    <w:autoRedefine/>
    <w:qFormat/>
    <w:uiPriority w:val="0"/>
    <w:rPr>
      <w:szCs w:val="28"/>
    </w:rPr>
  </w:style>
  <w:style w:type="paragraph" w:customStyle="1" w:styleId="21">
    <w:name w:val="样式 宋体 四号"/>
    <w:basedOn w:val="1"/>
    <w:autoRedefine/>
    <w:qFormat/>
    <w:uiPriority w:val="0"/>
    <w:pPr>
      <w:ind w:firstLine="560"/>
    </w:pPr>
    <w:rPr>
      <w:rFonts w:ascii="宋体" w:hAnsi="宋体" w:cs="宋体"/>
      <w:sz w:val="28"/>
      <w:szCs w:val="20"/>
    </w:rPr>
  </w:style>
  <w:style w:type="paragraph" w:customStyle="1" w:styleId="22">
    <w:name w:val="报告书正文"/>
    <w:basedOn w:val="1"/>
    <w:autoRedefine/>
    <w:qFormat/>
    <w:uiPriority w:val="0"/>
    <w:pPr>
      <w:spacing w:line="300" w:lineRule="auto"/>
      <w:ind w:firstLine="200" w:firstLineChars="200"/>
    </w:pPr>
    <w:rPr>
      <w:sz w:val="24"/>
    </w:rPr>
  </w:style>
  <w:style w:type="paragraph" w:customStyle="1" w:styleId="23">
    <w:name w:val="WPSOffice手动目录 1"/>
    <w:autoRedefine/>
    <w:qFormat/>
    <w:uiPriority w:val="0"/>
    <w:pPr>
      <w:ind w:leftChars="0"/>
    </w:pPr>
    <w:rPr>
      <w:rFonts w:ascii="Times New Roman" w:hAnsi="Times New Roman" w:eastAsia="宋体" w:cs="Times New Roman"/>
      <w:sz w:val="20"/>
      <w:szCs w:val="20"/>
    </w:rPr>
  </w:style>
  <w:style w:type="paragraph" w:customStyle="1" w:styleId="24">
    <w:name w:val="Table Text"/>
    <w:basedOn w:val="1"/>
    <w:autoRedefine/>
    <w:semiHidden/>
    <w:qFormat/>
    <w:uiPriority w:val="0"/>
    <w:rPr>
      <w:rFonts w:ascii="宋体" w:hAnsi="宋体" w:eastAsia="宋体" w:cs="宋体"/>
      <w:sz w:val="21"/>
      <w:szCs w:val="21"/>
      <w:lang w:val="en-US" w:eastAsia="en-US" w:bidi="ar-SA"/>
    </w:rPr>
  </w:style>
  <w:style w:type="paragraph" w:customStyle="1" w:styleId="25">
    <w:name w:val="WY表格"/>
    <w:basedOn w:val="1"/>
    <w:autoRedefine/>
    <w:qFormat/>
    <w:uiPriority w:val="0"/>
    <w:pPr>
      <w:spacing w:line="240" w:lineRule="atLeast"/>
      <w:jc w:val="center"/>
    </w:pPr>
    <w:rPr>
      <w:rFonts w:ascii="Calibri" w:hAnsi="Calibri"/>
      <w:szCs w:val="21"/>
    </w:rPr>
  </w:style>
  <w:style w:type="paragraph" w:customStyle="1" w:styleId="26">
    <w:name w:val="Default"/>
    <w:basedOn w:val="27"/>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7">
    <w:name w:val="纯文本1"/>
    <w:basedOn w:val="1"/>
    <w:autoRedefine/>
    <w:qFormat/>
    <w:uiPriority w:val="0"/>
    <w:pPr>
      <w:adjustRightInd w:val="0"/>
    </w:pPr>
    <w:rPr>
      <w:rFonts w:ascii="宋体" w:hAnsi="Courier New"/>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1.png"/><Relationship Id="rId3" Type="http://schemas.openxmlformats.org/officeDocument/2006/relationships/footnotes" Target="footnotes.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jpeg"/><Relationship Id="rId24" Type="http://schemas.openxmlformats.org/officeDocument/2006/relationships/image" Target="media/image5.jpeg"/><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 Type="http://schemas.openxmlformats.org/officeDocument/2006/relationships/footer" Target="footer9.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60</Pages>
  <Words>25010</Words>
  <Characters>26854</Characters>
  <TotalTime>0</TotalTime>
  <ScaleCrop>false</ScaleCrop>
  <LinksUpToDate>false</LinksUpToDate>
  <CharactersWithSpaces>27156</CharactersWithSpaces>
  <Application>WPS Office_12.1.0.16417_F1E327BC-269C-435d-A152-05C5408002CA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2024-04-16T08:29:00Z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2052-12.1.0.16417</vt:lpwstr>
  </property>
  <property fmtid="{D5CDD505-2E9C-101B-9397-08002B2CF9AE}" pid="5" name="ICV">
    <vt:lpwstr>225EC68C933644619B06B8F0FE65CA17</vt:lpwstr>
  </property>
</Properties>
</file>