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1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7"/>
        <w:gridCol w:w="1436"/>
        <w:gridCol w:w="269"/>
        <w:gridCol w:w="702"/>
        <w:gridCol w:w="1192"/>
        <w:gridCol w:w="946"/>
        <w:gridCol w:w="688"/>
        <w:gridCol w:w="445"/>
        <w:gridCol w:w="436"/>
        <w:gridCol w:w="881"/>
        <w:gridCol w:w="416"/>
        <w:gridCol w:w="272"/>
        <w:gridCol w:w="765"/>
        <w:gridCol w:w="1161"/>
        <w:gridCol w:w="1365"/>
        <w:gridCol w:w="198"/>
        <w:gridCol w:w="926"/>
        <w:gridCol w:w="888"/>
        <w:gridCol w:w="8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26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设项目</w:t>
            </w: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目名称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新疆润盛投资发展有限公司奎屯-独山子经济技术开发区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2013年基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础设施建设项目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目代码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设地点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u w:val="none"/>
                <w:lang w:val="en-US" w:eastAsia="zh-CN"/>
              </w:rPr>
              <w:t>奎屯-独山子经济技术开发区内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8"/>
                <w:szCs w:val="18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E4813市政道路工程建筑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设性质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新建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项目厂区中心经度/纬度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31.22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N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35.45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计生产能力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道路工程17.52km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供排水管线1.1km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路肩改造0.24万m²、绿化、林床改造项目建设9.2万m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亮化路灯320盏项目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电力线路改迁建设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2013年6月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评单位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18"/>
                <w:szCs w:val="18"/>
                <w:lang w:eastAsia="zh-CN"/>
              </w:rPr>
              <w:t>新疆净源环境咨询有限公司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评文件审批机关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原奎屯-独山子经济技术开发区环境保护局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审批文号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奎独开环函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号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评文件类型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告表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开工日期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2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工日期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2023.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污许可证申领时间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保设施设计单位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保设施施工单位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工程排污许可证编号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45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保设施监测单位</w:t>
            </w:r>
          </w:p>
        </w:tc>
        <w:tc>
          <w:tcPr>
            <w:tcW w:w="77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收监测时工况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6098</w:t>
            </w:r>
          </w:p>
        </w:tc>
        <w:tc>
          <w:tcPr>
            <w:tcW w:w="82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环保投资总概算(万元)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1385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8.6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际总投资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16098</w:t>
            </w:r>
          </w:p>
        </w:tc>
        <w:tc>
          <w:tcPr>
            <w:tcW w:w="82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1385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8.6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8"/>
                <w:szCs w:val="18"/>
              </w:rPr>
              <w:t>水治理(万元)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气治理(万元)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8"/>
                <w:szCs w:val="18"/>
              </w:rPr>
              <w:t>)</w:t>
            </w:r>
          </w:p>
        </w:tc>
        <w:tc>
          <w:tcPr>
            <w:tcW w:w="15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8"/>
                <w:szCs w:val="18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体废物治理(万元)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370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8"/>
                <w:szCs w:val="18"/>
              </w:rPr>
              <w:t>)</w:t>
            </w:r>
          </w:p>
        </w:tc>
        <w:tc>
          <w:tcPr>
            <w:tcW w:w="32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92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8"/>
                <w:szCs w:val="18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8"/>
                <w:szCs w:val="18"/>
              </w:rPr>
              <w:t>他(万元)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水处理设施能力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4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气处理设施能力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年平均工作时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28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营单位</w:t>
            </w:r>
          </w:p>
        </w:tc>
        <w:tc>
          <w:tcPr>
            <w:tcW w:w="124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865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)</w:t>
            </w:r>
          </w:p>
        </w:tc>
        <w:tc>
          <w:tcPr>
            <w:tcW w:w="679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  <w:t>91654003666658335N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收时间</w:t>
            </w:r>
          </w:p>
        </w:tc>
        <w:tc>
          <w:tcPr>
            <w:tcW w:w="926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26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5"/>
                <w:szCs w:val="15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5"/>
                <w:szCs w:val="15"/>
              </w:rPr>
              <w:t>)</w:t>
            </w: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有排放量(1)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期工程实际排放浓度(2)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本期工程允许排放浓度(3)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生量(4)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期工程自身削减量(5)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(6)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期工程核定排放总量(7)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期工程“以新带老”削减量(8)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9)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10)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(11)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废水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学需氧量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氮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植物油类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浮物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化硫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烟尘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业粉尘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氧化物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业固体废物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9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26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5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</w:tbl>
    <w:p>
      <w:pPr>
        <w:spacing w:before="52" w:line="197" w:lineRule="auto"/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>
      <w:p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092D348A"/>
    <w:rsid w:val="15F3195A"/>
    <w:rsid w:val="1D215B8A"/>
    <w:rsid w:val="32E25792"/>
    <w:rsid w:val="3ECF30E2"/>
    <w:rsid w:val="480858BC"/>
    <w:rsid w:val="4C656166"/>
    <w:rsid w:val="52076BC9"/>
    <w:rsid w:val="53F40834"/>
    <w:rsid w:val="54B05D00"/>
    <w:rsid w:val="56261D2F"/>
    <w:rsid w:val="5D8A03AF"/>
    <w:rsid w:val="60D61108"/>
    <w:rsid w:val="63500CFE"/>
    <w:rsid w:val="6EBC18E8"/>
    <w:rsid w:val="718E6358"/>
    <w:rsid w:val="724B5893"/>
    <w:rsid w:val="72FD42D3"/>
    <w:rsid w:val="7BBD0713"/>
    <w:rsid w:val="7BE24139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2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2024-04-11T08:26:55Z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