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 w:line="219" w:lineRule="auto"/>
        <w:ind w:left="5872"/>
        <w:outlineLvl w:val="9"/>
        <w:rPr>
          <w:rFonts w:hint="default" w:ascii="Times New Roman" w:hAnsi="Times New Roman" w:eastAsia="黑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185420</wp:posOffset>
            </wp:positionV>
            <wp:extent cx="848995" cy="240665"/>
            <wp:effectExtent l="0" t="0" r="0" b="6350"/>
            <wp:wrapNone/>
            <wp:docPr id="21" name="图片 21" descr="马秀兰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马秀兰签名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240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spacing w:val="1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建设项目竣工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环境保护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  <w:t>“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三同时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  <w:t>”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验收登记表</w:t>
      </w:r>
    </w:p>
    <w:p>
      <w:pPr>
        <w:spacing w:before="35" w:line="219" w:lineRule="auto"/>
        <w:ind w:left="1042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10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填表单位(盖章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)：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t xml:space="preserve">                   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填表人(签字)：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t xml:space="preserve">                               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项目经办人(签字)：</w:t>
      </w:r>
    </w:p>
    <w:p>
      <w:pPr>
        <w:spacing w:line="51" w:lineRule="auto"/>
        <w:rPr>
          <w:rFonts w:hint="default" w:ascii="Times New Roman" w:hAnsi="Times New Roman" w:cs="Times New Roman"/>
          <w:sz w:val="2"/>
        </w:rPr>
      </w:pPr>
    </w:p>
    <w:tbl>
      <w:tblPr>
        <w:tblStyle w:val="13"/>
        <w:tblW w:w="5053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2"/>
        <w:gridCol w:w="1444"/>
        <w:gridCol w:w="280"/>
        <w:gridCol w:w="705"/>
        <w:gridCol w:w="1202"/>
        <w:gridCol w:w="954"/>
        <w:gridCol w:w="702"/>
        <w:gridCol w:w="440"/>
        <w:gridCol w:w="451"/>
        <w:gridCol w:w="879"/>
        <w:gridCol w:w="597"/>
        <w:gridCol w:w="57"/>
        <w:gridCol w:w="817"/>
        <w:gridCol w:w="1022"/>
        <w:gridCol w:w="1528"/>
        <w:gridCol w:w="357"/>
        <w:gridCol w:w="777"/>
        <w:gridCol w:w="894"/>
        <w:gridCol w:w="81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20" w:type="pct"/>
            <w:vMerge w:val="restart"/>
            <w:tcBorders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4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"/>
                <w:sz w:val="18"/>
                <w:szCs w:val="18"/>
              </w:rPr>
              <w:t>设项目</w:t>
            </w: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目名称</w:t>
            </w:r>
          </w:p>
        </w:tc>
        <w:tc>
          <w:tcPr>
            <w:tcW w:w="1560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新疆润盛投资发展有限公司奎屯-独山子经济技术开发区</w:t>
            </w:r>
            <w:r>
              <w:rPr>
                <w:rFonts w:hint="default" w:ascii="Times New Roman" w:hAnsi="Times New Roman" w:eastAsia="宋体" w:cs="Times New Roman"/>
                <w:spacing w:val="-1"/>
                <w:sz w:val="18"/>
                <w:szCs w:val="18"/>
                <w:lang w:val="en-US" w:eastAsia="zh-CN"/>
              </w:rPr>
              <w:t>201</w:t>
            </w:r>
            <w:r>
              <w:rPr>
                <w:rFonts w:hint="eastAsia" w:ascii="Times New Roman" w:hAnsi="Times New Roman" w:eastAsia="宋体" w:cs="Times New Roman"/>
                <w:spacing w:val="-1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-1"/>
                <w:sz w:val="18"/>
                <w:szCs w:val="18"/>
                <w:lang w:val="en-US" w:eastAsia="zh-CN"/>
              </w:rPr>
              <w:t>年基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础设施建设项目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目代码</w:t>
            </w:r>
          </w:p>
        </w:tc>
        <w:tc>
          <w:tcPr>
            <w:tcW w:w="8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66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设地点</w:t>
            </w:r>
          </w:p>
        </w:tc>
        <w:tc>
          <w:tcPr>
            <w:tcW w:w="872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u w:val="none"/>
                <w:lang w:val="en-US" w:eastAsia="zh-CN"/>
              </w:rPr>
              <w:t>奎屯-独山子经济技术开发区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2"/>
                <w:sz w:val="18"/>
                <w:szCs w:val="18"/>
              </w:rPr>
              <w:t>行业类别(分类管理名录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)</w:t>
            </w:r>
          </w:p>
        </w:tc>
        <w:tc>
          <w:tcPr>
            <w:tcW w:w="1560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E建筑业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设性质</w:t>
            </w:r>
          </w:p>
        </w:tc>
        <w:tc>
          <w:tcPr>
            <w:tcW w:w="8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  <w:lang w:val="en-US" w:eastAsia="zh-CN"/>
              </w:rPr>
              <w:t>新建</w:t>
            </w:r>
          </w:p>
        </w:tc>
        <w:tc>
          <w:tcPr>
            <w:tcW w:w="66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项目厂区中心经度/纬度</w:t>
            </w:r>
          </w:p>
        </w:tc>
        <w:tc>
          <w:tcPr>
            <w:tcW w:w="872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E</w:t>
            </w:r>
            <w:r>
              <w:rPr>
                <w:rFonts w:hint="eastAsia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：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57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30.25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N</w:t>
            </w:r>
            <w:r>
              <w:rPr>
                <w:rFonts w:hint="eastAsia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44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′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39.10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设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计生产能力</w:t>
            </w:r>
          </w:p>
        </w:tc>
        <w:tc>
          <w:tcPr>
            <w:tcW w:w="1560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中小企业创业园宿舍、食堂综合用房1栋，建筑面积4000</w:t>
            </w: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m</w:t>
            </w: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，并配套建设绿化、亮化工程</w:t>
            </w: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建设沙湾街道路改造(白改黑)1950</w:t>
            </w: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m</w:t>
            </w: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阿克苏路供水管线2650</w:t>
            </w: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，纵三路-312国道以北供水连接线2200</w:t>
            </w: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，南环路、喀什路、阿克苏路、库尔勒路绿化改造，高速公路节点及各路口绿化设置，迎宾大道亮化工程，创智大厦内外装饰装修工程，新增部分健身器材、小区封闭式管理，水厂、华盛热力、供热站双回路电源，第二幼儿园改造项目，利泰丝路电力线改迁等。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5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3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设项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20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17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开工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6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时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4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间</w:t>
            </w:r>
          </w:p>
        </w:tc>
        <w:tc>
          <w:tcPr>
            <w:tcW w:w="8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-1"/>
                <w:sz w:val="18"/>
                <w:szCs w:val="18"/>
                <w:highlight w:val="none"/>
                <w:lang w:val="en-US" w:eastAsia="zh-CN"/>
              </w:rPr>
              <w:t>2016年6月</w:t>
            </w:r>
          </w:p>
        </w:tc>
        <w:tc>
          <w:tcPr>
            <w:tcW w:w="66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评单位</w:t>
            </w:r>
          </w:p>
        </w:tc>
        <w:tc>
          <w:tcPr>
            <w:tcW w:w="872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sz w:val="18"/>
                <w:szCs w:val="18"/>
                <w:lang w:eastAsia="zh-CN"/>
              </w:rPr>
              <w:t>新疆净源环境咨询有限公司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评文件审批机关</w:t>
            </w:r>
          </w:p>
        </w:tc>
        <w:tc>
          <w:tcPr>
            <w:tcW w:w="1560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原奎屯-独山子经济技术开发区环境保护局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8"/>
                <w:szCs w:val="18"/>
              </w:rPr>
              <w:t>审批文号</w:t>
            </w:r>
          </w:p>
        </w:tc>
        <w:tc>
          <w:tcPr>
            <w:tcW w:w="87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奎独开环函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[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17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]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号</w:t>
            </w:r>
          </w:p>
        </w:tc>
        <w:tc>
          <w:tcPr>
            <w:tcW w:w="66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评文件类型</w:t>
            </w:r>
          </w:p>
        </w:tc>
        <w:tc>
          <w:tcPr>
            <w:tcW w:w="872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</w:rPr>
              <w:t>报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告表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开工日期</w:t>
            </w:r>
          </w:p>
        </w:tc>
        <w:tc>
          <w:tcPr>
            <w:tcW w:w="1560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竣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工日期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2023.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9</w:t>
            </w:r>
            <w:bookmarkStart w:id="0" w:name="_GoBack"/>
            <w:bookmarkEnd w:id="0"/>
          </w:p>
        </w:tc>
        <w:tc>
          <w:tcPr>
            <w:tcW w:w="66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排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污许可证申领时间</w:t>
            </w:r>
          </w:p>
        </w:tc>
        <w:tc>
          <w:tcPr>
            <w:tcW w:w="872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保设施设计单位</w:t>
            </w:r>
          </w:p>
        </w:tc>
        <w:tc>
          <w:tcPr>
            <w:tcW w:w="1560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保设施施工单位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66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本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工程排污许可证编号</w:t>
            </w:r>
          </w:p>
        </w:tc>
        <w:tc>
          <w:tcPr>
            <w:tcW w:w="872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收单位</w:t>
            </w:r>
          </w:p>
        </w:tc>
        <w:tc>
          <w:tcPr>
            <w:tcW w:w="1560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新疆润盛投资发展有限公司</w:t>
            </w:r>
          </w:p>
        </w:tc>
        <w:tc>
          <w:tcPr>
            <w:tcW w:w="5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保设施监测单位</w:t>
            </w:r>
          </w:p>
        </w:tc>
        <w:tc>
          <w:tcPr>
            <w:tcW w:w="664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66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收监测时工况</w:t>
            </w:r>
          </w:p>
        </w:tc>
        <w:tc>
          <w:tcPr>
            <w:tcW w:w="872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6"/>
                <w:sz w:val="18"/>
                <w:szCs w:val="18"/>
              </w:rPr>
              <w:t>投资总概算(万元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4"/>
                <w:sz w:val="18"/>
                <w:szCs w:val="18"/>
              </w:rPr>
              <w:t>)</w:t>
            </w:r>
          </w:p>
        </w:tc>
        <w:tc>
          <w:tcPr>
            <w:tcW w:w="1560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27280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环保投资总概算(万元)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6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所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占比例(%)</w:t>
            </w:r>
          </w:p>
        </w:tc>
        <w:tc>
          <w:tcPr>
            <w:tcW w:w="872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0.05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8"/>
                <w:szCs w:val="18"/>
              </w:rPr>
              <w:t>实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际总投资</w:t>
            </w:r>
          </w:p>
        </w:tc>
        <w:tc>
          <w:tcPr>
            <w:tcW w:w="1560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27280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4"/>
                <w:sz w:val="18"/>
                <w:szCs w:val="18"/>
              </w:rPr>
              <w:t>实际环保投资(万元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)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6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所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占比例(%)</w:t>
            </w:r>
          </w:p>
        </w:tc>
        <w:tc>
          <w:tcPr>
            <w:tcW w:w="872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0.05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22"/>
                <w:sz w:val="18"/>
                <w:szCs w:val="18"/>
              </w:rPr>
              <w:t>废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7"/>
                <w:sz w:val="18"/>
                <w:szCs w:val="18"/>
              </w:rPr>
              <w:t>水治理(万元)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2"/>
                <w:sz w:val="18"/>
                <w:szCs w:val="18"/>
              </w:rPr>
              <w:t>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7"/>
                <w:sz w:val="18"/>
                <w:szCs w:val="18"/>
              </w:rPr>
              <w:t>气治理(万元)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0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7"/>
                <w:sz w:val="18"/>
                <w:szCs w:val="18"/>
              </w:rPr>
              <w:t>噪声治理(万元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6"/>
                <w:sz w:val="18"/>
                <w:szCs w:val="18"/>
              </w:rPr>
              <w:t>)</w:t>
            </w:r>
          </w:p>
        </w:tc>
        <w:tc>
          <w:tcPr>
            <w:tcW w:w="15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8"/>
                <w:sz w:val="18"/>
                <w:szCs w:val="18"/>
              </w:rPr>
              <w:t>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体废物治理(万元)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6"/>
                <w:sz w:val="18"/>
                <w:szCs w:val="18"/>
              </w:rPr>
              <w:t>绿化及生态(万元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5"/>
                <w:sz w:val="18"/>
                <w:szCs w:val="18"/>
              </w:rPr>
              <w:t>)</w:t>
            </w:r>
          </w:p>
        </w:tc>
        <w:tc>
          <w:tcPr>
            <w:tcW w:w="27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5"/>
                <w:sz w:val="18"/>
                <w:szCs w:val="18"/>
              </w:rPr>
              <w:t>其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3"/>
                <w:sz w:val="18"/>
                <w:szCs w:val="18"/>
              </w:rPr>
              <w:t>他(万元)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新增废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水处理设施能力</w:t>
            </w:r>
          </w:p>
        </w:tc>
        <w:tc>
          <w:tcPr>
            <w:tcW w:w="1560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新增废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气处理设施能力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66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年平均工作时</w:t>
            </w:r>
          </w:p>
        </w:tc>
        <w:tc>
          <w:tcPr>
            <w:tcW w:w="872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24" w:type="pct"/>
            <w:gridSpan w:val="3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运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营单位</w:t>
            </w:r>
          </w:p>
        </w:tc>
        <w:tc>
          <w:tcPr>
            <w:tcW w:w="1248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新疆润盛投资发展有限公司</w:t>
            </w:r>
          </w:p>
        </w:tc>
        <w:tc>
          <w:tcPr>
            <w:tcW w:w="849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运营单位社会统一信用代码(或组织机构代码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"/>
                <w:sz w:val="18"/>
                <w:szCs w:val="18"/>
              </w:rPr>
              <w:t>)</w:t>
            </w:r>
          </w:p>
        </w:tc>
        <w:tc>
          <w:tcPr>
            <w:tcW w:w="644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/>
              </w:rPr>
              <w:t>91654003666658335N</w:t>
            </w:r>
          </w:p>
        </w:tc>
        <w:tc>
          <w:tcPr>
            <w:tcW w:w="66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收时间</w:t>
            </w:r>
          </w:p>
        </w:tc>
        <w:tc>
          <w:tcPr>
            <w:tcW w:w="872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02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20" w:type="pct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1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染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物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排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标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与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总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量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控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制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21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20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业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目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详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1"/>
                <w:sz w:val="15"/>
                <w:szCs w:val="15"/>
              </w:rPr>
              <w:t>填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0"/>
                <w:sz w:val="15"/>
                <w:szCs w:val="15"/>
              </w:rPr>
              <w:t>)</w:t>
            </w: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污染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有排放量(1)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期工程实际排放浓度(2)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本期工程允许排放浓度(3)</w:t>
            </w:r>
          </w:p>
        </w:tc>
        <w:tc>
          <w:tcPr>
            <w:tcW w:w="2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本期工程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产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生量(4)</w:t>
            </w:r>
          </w:p>
        </w:tc>
        <w:tc>
          <w:tcPr>
            <w:tcW w:w="31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期工程自身削减量(5)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期工程实际排放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(6)</w:t>
            </w:r>
          </w:p>
        </w:tc>
        <w:tc>
          <w:tcPr>
            <w:tcW w:w="51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期工程核定排放总量(7)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期工程“以新带老”削减量(8)</w:t>
            </w: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厂实际排放总量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9)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厂核定排放总量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10)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区域平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衡替代削减量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(11)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排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放增减量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12)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废水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化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学需氧量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氨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氮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动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植物油类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悬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浮物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二氧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化硫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烟尘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业粉尘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氮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氧化物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业固体废物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06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与项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 xml:space="preserve">目有关的其他特征 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污染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物</w:t>
            </w:r>
          </w:p>
        </w:tc>
        <w:tc>
          <w:tcPr>
            <w:tcW w:w="9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/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06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9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120" w:type="pct"/>
            <w:vMerge w:val="continue"/>
            <w:tcBorders>
              <w:top w:val="nil"/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06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9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3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7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</w:tbl>
    <w:p>
      <w:pPr>
        <w:spacing w:before="52" w:line="197" w:lineRule="auto"/>
        <w:rPr>
          <w:rFonts w:ascii="微软雅黑" w:hAnsi="微软雅黑" w:eastAsia="微软雅黑" w:cs="微软雅黑"/>
          <w:spacing w:val="8"/>
          <w:sz w:val="12"/>
          <w:szCs w:val="12"/>
        </w:rPr>
        <w:sectPr>
          <w:pgSz w:w="16839" w:h="11907"/>
          <w:pgMar w:top="400" w:right="1846" w:bottom="400" w:left="892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 xml:space="preserve">注： 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12"/>
          <w:szCs w:val="12"/>
        </w:rPr>
        <w:t>1</w:t>
      </w: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>、排放增减量：(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12"/>
          <w:szCs w:val="12"/>
        </w:rPr>
        <w:t>+</w:t>
      </w: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>)</w:t>
      </w:r>
      <w:r>
        <w:rPr>
          <w:rFonts w:hint="default" w:ascii="Times New Roman" w:hAnsi="Times New Roman" w:eastAsia="微软雅黑" w:cs="Times New Roman"/>
          <w:spacing w:val="15"/>
          <w:sz w:val="12"/>
          <w:szCs w:val="12"/>
        </w:rPr>
        <w:t>表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示增加，(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-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)表示减少。 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2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、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(12)=(6)-(8)-(11)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，(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9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=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(4)-(5)-(8)-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(11)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+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(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1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)。 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3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、计量单位：废水排放量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万吨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年；废气排放量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万标立方米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年；工业固体废物排放量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万吨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年；水污染物排放浓度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毫克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ascii="微软雅黑" w:hAnsi="微软雅黑" w:eastAsia="微软雅黑" w:cs="微软雅黑"/>
          <w:spacing w:val="8"/>
          <w:sz w:val="12"/>
          <w:szCs w:val="12"/>
        </w:rPr>
        <w:t>升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jczNzY5NTJlMjgxYzZlZTIwNWE3NDc3YWVhMjEifQ=="/>
  </w:docVars>
  <w:rsids>
    <w:rsidRoot w:val="00000000"/>
    <w:rsid w:val="02402EC0"/>
    <w:rsid w:val="03127926"/>
    <w:rsid w:val="0597776D"/>
    <w:rsid w:val="092D348A"/>
    <w:rsid w:val="0AE93772"/>
    <w:rsid w:val="15F3195A"/>
    <w:rsid w:val="1FDE2457"/>
    <w:rsid w:val="2A9C724E"/>
    <w:rsid w:val="32E25792"/>
    <w:rsid w:val="41FD1F9B"/>
    <w:rsid w:val="480858BC"/>
    <w:rsid w:val="48494361"/>
    <w:rsid w:val="4C656166"/>
    <w:rsid w:val="52076BC9"/>
    <w:rsid w:val="53F40834"/>
    <w:rsid w:val="54B05D00"/>
    <w:rsid w:val="56261D2F"/>
    <w:rsid w:val="5D8A03AF"/>
    <w:rsid w:val="60D61108"/>
    <w:rsid w:val="63500CFE"/>
    <w:rsid w:val="724B5893"/>
    <w:rsid w:val="72FD42D3"/>
    <w:rsid w:val="7722255A"/>
    <w:rsid w:val="7B6A318A"/>
    <w:rsid w:val="7BBD0713"/>
    <w:rsid w:val="7E6A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1"/>
    <w:basedOn w:val="1"/>
    <w:next w:val="1"/>
    <w:link w:val="12"/>
    <w:autoRedefine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paragraph" w:styleId="4">
    <w:name w:val="heading 2"/>
    <w:basedOn w:val="1"/>
    <w:next w:val="1"/>
    <w:autoRedefine/>
    <w:semiHidden/>
    <w:unhideWhenUsed/>
    <w:qFormat/>
    <w:uiPriority w:val="0"/>
    <w:pPr>
      <w:keepNext/>
      <w:keepLines/>
      <w:kinsoku/>
      <w:overflowPunct w:val="0"/>
      <w:topLinePunct/>
      <w:spacing w:line="360" w:lineRule="auto"/>
      <w:ind w:firstLine="0" w:firstLineChars="0"/>
      <w:contextualSpacing/>
      <w:jc w:val="left"/>
      <w:outlineLvl w:val="1"/>
    </w:pPr>
    <w:rPr>
      <w:rFonts w:ascii="宋体" w:hAnsi="宋体" w:cs="Times New Roman"/>
      <w:b/>
      <w:sz w:val="28"/>
      <w:szCs w:val="28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adjustRightInd/>
      <w:snapToGrid/>
      <w:spacing w:line="240" w:lineRule="auto"/>
      <w:ind w:left="0" w:leftChars="0" w:firstLine="0" w:firstLineChars="0"/>
      <w:jc w:val="center"/>
      <w:outlineLvl w:val="2"/>
    </w:pPr>
    <w:rPr>
      <w:rFonts w:ascii="仿宋_GB2312" w:hAnsi="仿宋_GB2312" w:cs="Times New Roman"/>
      <w:sz w:val="24"/>
      <w:szCs w:val="32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line="360" w:lineRule="auto"/>
      <w:outlineLvl w:val="3"/>
    </w:pPr>
    <w:rPr>
      <w:rFonts w:ascii="Calibri" w:hAnsi="Calibri" w:eastAsia="宋体" w:cs="Times New Roman"/>
      <w:b/>
      <w:bCs/>
      <w:kern w:val="0"/>
      <w:sz w:val="24"/>
      <w:szCs w:val="28"/>
    </w:rPr>
  </w:style>
  <w:style w:type="paragraph" w:styleId="7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kern w:val="2"/>
      <w:sz w:val="21"/>
      <w:szCs w:val="22"/>
      <w:lang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autoRedefine/>
    <w:qFormat/>
    <w:uiPriority w:val="0"/>
    <w:pPr>
      <w:ind w:firstLine="0" w:firstLineChars="0"/>
    </w:pPr>
    <w:rPr>
      <w:rFonts w:ascii="Calibri" w:hAnsi="Calibri" w:eastAsia="宋体" w:cs="Times New Roman"/>
      <w:sz w:val="24"/>
      <w:szCs w:val="22"/>
    </w:rPr>
  </w:style>
  <w:style w:type="character" w:customStyle="1" w:styleId="10">
    <w:name w:val="正文文本 Char"/>
    <w:link w:val="2"/>
    <w:autoRedefine/>
    <w:qFormat/>
    <w:uiPriority w:val="0"/>
    <w:rPr>
      <w:rFonts w:ascii="Calibri" w:hAnsi="Calibri" w:eastAsia="宋体" w:cs="Times New Roman"/>
      <w:sz w:val="24"/>
      <w:szCs w:val="22"/>
    </w:rPr>
  </w:style>
  <w:style w:type="paragraph" w:customStyle="1" w:styleId="11">
    <w:name w:val="表格"/>
    <w:basedOn w:val="1"/>
    <w:autoRedefine/>
    <w:qFormat/>
    <w:uiPriority w:val="0"/>
    <w:pPr>
      <w:kinsoku/>
      <w:overflowPunct w:val="0"/>
      <w:topLinePunct/>
      <w:spacing w:line="240" w:lineRule="auto"/>
      <w:ind w:firstLine="0" w:firstLineChars="0"/>
      <w:jc w:val="center"/>
    </w:pPr>
    <w:rPr>
      <w:rFonts w:ascii="Times New Roman" w:hAnsi="Times New Roman" w:cs="Times New Roman"/>
      <w:szCs w:val="24"/>
      <w:lang w:eastAsia="zh-CN" w:bidi="ar"/>
    </w:rPr>
  </w:style>
  <w:style w:type="character" w:customStyle="1" w:styleId="12">
    <w:name w:val="标题 1 字符"/>
    <w:basedOn w:val="9"/>
    <w:link w:val="3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table" w:customStyle="1" w:styleId="1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表+五号"/>
    <w:basedOn w:val="1"/>
    <w:autoRedefine/>
    <w:qFormat/>
    <w:uiPriority w:val="0"/>
    <w:rPr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2023-08-07T02:05:00Z</dcterms:created>
  <dc:creator>Administrator</dc:creator>
  <cp:lastModifiedBy>傲骄小粉条</cp:lastModifiedBy>
  <dcterms:modified xsi:type="dcterms:W3CDTF">2024-04-11T08:29:36Z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E156226D5CE34714878B1DAAA39EA125_12</vt:lpwstr>
  </property>
</Properties>
</file>