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1" w:line="219" w:lineRule="auto"/>
        <w:ind w:left="5872"/>
        <w:outlineLvl w:val="9"/>
        <w:rPr>
          <w:rFonts w:hint="default" w:ascii="Times New Roman" w:hAnsi="Times New Roman" w:eastAsia="黑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pacing w:val="5"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4095750</wp:posOffset>
            </wp:positionH>
            <wp:positionV relativeFrom="paragraph">
              <wp:posOffset>185420</wp:posOffset>
            </wp:positionV>
            <wp:extent cx="848995" cy="240665"/>
            <wp:effectExtent l="0" t="0" r="0" b="6350"/>
            <wp:wrapNone/>
            <wp:docPr id="21" name="图片 21" descr="马秀兰签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马秀兰签名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48995" cy="240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黑体" w:cs="Times New Roman"/>
          <w:spacing w:val="1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建设项目竣工</w:t>
      </w:r>
      <w:r>
        <w:rPr>
          <w:rFonts w:hint="default" w:ascii="Times New Roman" w:hAnsi="Times New Roman" w:eastAsia="黑体" w:cs="Times New Roman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环境保护</w:t>
      </w:r>
      <w:r>
        <w:rPr>
          <w:rFonts w:hint="default" w:ascii="Times New Roman" w:hAnsi="Times New Roman" w:eastAsia="Times New Roman" w:cs="Times New Roman"/>
          <w:b/>
          <w:bCs/>
          <w:sz w:val="22"/>
          <w:szCs w:val="22"/>
        </w:rPr>
        <w:t>“</w:t>
      </w:r>
      <w:r>
        <w:rPr>
          <w:rFonts w:hint="default" w:ascii="Times New Roman" w:hAnsi="Times New Roman" w:eastAsia="黑体" w:cs="Times New Roman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三同时</w:t>
      </w:r>
      <w:r>
        <w:rPr>
          <w:rFonts w:hint="default" w:ascii="Times New Roman" w:hAnsi="Times New Roman" w:eastAsia="Times New Roman" w:cs="Times New Roman"/>
          <w:b/>
          <w:bCs/>
          <w:sz w:val="22"/>
          <w:szCs w:val="22"/>
        </w:rPr>
        <w:t>”</w:t>
      </w:r>
      <w:r>
        <w:rPr>
          <w:rFonts w:hint="default" w:ascii="Times New Roman" w:hAnsi="Times New Roman" w:eastAsia="黑体" w:cs="Times New Roman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验收登记表</w:t>
      </w:r>
    </w:p>
    <w:p>
      <w:pPr>
        <w:spacing w:before="35" w:line="219" w:lineRule="auto"/>
        <w:ind w:left="1042"/>
        <w:rPr>
          <w:rFonts w:hint="default" w:ascii="Times New Roman" w:hAnsi="Times New Roman" w:eastAsia="宋体" w:cs="Times New Roman"/>
          <w:sz w:val="22"/>
          <w:szCs w:val="22"/>
        </w:rPr>
      </w:pPr>
      <w:r>
        <w:rPr>
          <w:rFonts w:hint="default" w:ascii="Times New Roman" w:hAnsi="Times New Roman" w:eastAsia="宋体" w:cs="Times New Roman"/>
          <w:spacing w:val="10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填表单位(盖章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)：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</w:rPr>
        <w:t xml:space="preserve">                   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填表人(签字)：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</w:rPr>
        <w:t xml:space="preserve">                               </w:t>
      </w:r>
      <w:r>
        <w:rPr>
          <w:rFonts w:hint="default" w:ascii="Times New Roman" w:hAnsi="Times New Roman" w:eastAsia="宋体" w:cs="Times New Roman"/>
          <w:spacing w:val="5"/>
          <w:sz w:val="22"/>
          <w:szCs w:val="22"/>
          <w14:textOutline w14:w="4005" w14:cap="flat" w14:cmpd="sng">
            <w14:solidFill>
              <w14:srgbClr w14:val="000000"/>
            </w14:solidFill>
            <w14:prstDash w14:val="solid"/>
            <w14:miter w14:val="0"/>
          </w14:textOutline>
        </w:rPr>
        <w:t>项目经办人(签字)：</w:t>
      </w:r>
    </w:p>
    <w:p>
      <w:pPr>
        <w:spacing w:line="51" w:lineRule="auto"/>
        <w:rPr>
          <w:rFonts w:hint="default" w:ascii="Times New Roman" w:hAnsi="Times New Roman" w:cs="Times New Roman"/>
          <w:sz w:val="2"/>
        </w:rPr>
      </w:pPr>
    </w:p>
    <w:tbl>
      <w:tblPr>
        <w:tblStyle w:val="13"/>
        <w:tblW w:w="5028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54"/>
        <w:gridCol w:w="1440"/>
        <w:gridCol w:w="273"/>
        <w:gridCol w:w="702"/>
        <w:gridCol w:w="1196"/>
        <w:gridCol w:w="949"/>
        <w:gridCol w:w="693"/>
        <w:gridCol w:w="443"/>
        <w:gridCol w:w="440"/>
        <w:gridCol w:w="881"/>
        <w:gridCol w:w="588"/>
        <w:gridCol w:w="57"/>
        <w:gridCol w:w="812"/>
        <w:gridCol w:w="1167"/>
        <w:gridCol w:w="1369"/>
        <w:gridCol w:w="196"/>
        <w:gridCol w:w="932"/>
        <w:gridCol w:w="889"/>
        <w:gridCol w:w="81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125" w:type="pct"/>
            <w:vMerge w:val="restart"/>
            <w:tcBorders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4"/>
                <w:sz w:val="18"/>
                <w:szCs w:val="18"/>
              </w:rPr>
              <w:t>建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3"/>
                <w:sz w:val="18"/>
                <w:szCs w:val="18"/>
              </w:rPr>
              <w:t>设项目</w:t>
            </w: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项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目名称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  <w:lang w:val="en-US" w:eastAsia="zh-CN"/>
              </w:rPr>
              <w:t>新疆润盛投资发展有限公司奎屯-独山子经济技术开发区</w:t>
            </w:r>
            <w:r>
              <w:rPr>
                <w:rFonts w:hint="default" w:ascii="Times New Roman" w:hAnsi="Times New Roman" w:eastAsia="宋体" w:cs="Times New Roman"/>
                <w:spacing w:val="-1"/>
                <w:sz w:val="18"/>
                <w:szCs w:val="18"/>
                <w:lang w:val="en-US" w:eastAsia="zh-CN"/>
              </w:rPr>
              <w:t>201</w:t>
            </w:r>
            <w:r>
              <w:rPr>
                <w:rFonts w:hint="eastAsia" w:ascii="Times New Roman" w:hAnsi="Times New Roman" w:eastAsia="宋体" w:cs="Times New Roman"/>
                <w:spacing w:val="-1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pacing w:val="-1"/>
                <w:sz w:val="18"/>
                <w:szCs w:val="18"/>
                <w:lang w:val="en-US" w:eastAsia="zh-CN"/>
              </w:rPr>
              <w:t>年基</w:t>
            </w: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  <w:lang w:val="en-US" w:eastAsia="zh-CN"/>
              </w:rPr>
              <w:t>础设施建设项目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项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目代码</w:t>
            </w:r>
          </w:p>
        </w:tc>
        <w:tc>
          <w:tcPr>
            <w:tcW w:w="9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建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设地点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u w:val="none"/>
                <w:lang w:val="en-US" w:eastAsia="zh-CN"/>
              </w:rPr>
              <w:t>奎屯-独山子经济技术开发区内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2"/>
                <w:sz w:val="18"/>
                <w:szCs w:val="18"/>
              </w:rPr>
              <w:t>行业类别(分类管理名录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8"/>
                <w:szCs w:val="18"/>
              </w:rPr>
              <w:t>)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val="en-US" w:eastAsia="zh-CN"/>
              </w:rPr>
              <w:t>E建筑业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建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设性质</w:t>
            </w:r>
          </w:p>
        </w:tc>
        <w:tc>
          <w:tcPr>
            <w:tcW w:w="9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8"/>
                <w:szCs w:val="18"/>
                <w:lang w:val="en-US" w:eastAsia="zh-CN"/>
              </w:rPr>
              <w:t>新建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项目厂区中心经度/纬度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Tahoma" w:cs="Times New Roman"/>
                <w:i w:val="0"/>
                <w:caps w:val="0"/>
                <w:color w:val="auto"/>
                <w:spacing w:val="0"/>
                <w:kern w:val="2"/>
                <w:sz w:val="18"/>
                <w:szCs w:val="18"/>
                <w:highlight w:val="none"/>
                <w:shd w:val="clear" w:color="auto" w:fill="FFFFFF"/>
                <w:lang w:val="en-US" w:eastAsia="zh-CN" w:bidi="ar-SA"/>
              </w:rPr>
              <w:t>E</w:t>
            </w:r>
            <w:r>
              <w:rPr>
                <w:rFonts w:hint="eastAsia" w:ascii="Times New Roman" w:hAnsi="Times New Roman" w:eastAsia="Tahoma" w:cs="Times New Roman"/>
                <w:i w:val="0"/>
                <w:caps w:val="0"/>
                <w:color w:val="auto"/>
                <w:spacing w:val="0"/>
                <w:kern w:val="2"/>
                <w:sz w:val="18"/>
                <w:szCs w:val="18"/>
                <w:highlight w:val="none"/>
                <w:shd w:val="clear" w:color="auto" w:fill="FFFFFF"/>
                <w:lang w:val="en-US" w:eastAsia="zh-CN" w:bidi="ar-SA"/>
              </w:rPr>
              <w:t>：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8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°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58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80.65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″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Tahoma" w:cs="Times New Roman"/>
                <w:i w:val="0"/>
                <w:caps w:val="0"/>
                <w:color w:val="auto"/>
                <w:spacing w:val="0"/>
                <w:kern w:val="2"/>
                <w:sz w:val="18"/>
                <w:szCs w:val="18"/>
                <w:highlight w:val="none"/>
                <w:shd w:val="clear" w:color="auto" w:fill="FFFFFF"/>
                <w:lang w:val="en-US" w:eastAsia="zh-CN" w:bidi="ar-SA"/>
              </w:rPr>
              <w:t>N</w:t>
            </w:r>
            <w:r>
              <w:rPr>
                <w:rFonts w:hint="eastAsia" w:ascii="Times New Roman" w:hAnsi="Times New Roman" w:eastAsia="Tahoma" w:cs="Times New Roman"/>
                <w:i w:val="0"/>
                <w:caps w:val="0"/>
                <w:color w:val="auto"/>
                <w:spacing w:val="0"/>
                <w:kern w:val="2"/>
                <w:sz w:val="18"/>
                <w:szCs w:val="18"/>
                <w:highlight w:val="none"/>
                <w:shd w:val="clear" w:color="auto" w:fill="FFFFFF"/>
                <w:lang w:val="en-US" w:eastAsia="zh-CN" w:bidi="ar-SA"/>
              </w:rPr>
              <w:t>：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44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°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2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′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56.23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18"/>
                <w:szCs w:val="18"/>
                <w:highlight w:val="none"/>
                <w:vertAlign w:val="baseline"/>
                <w:lang w:val="en-US" w:eastAsia="zh-CN"/>
              </w:rPr>
              <w:t>″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设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计生产能力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道路建设9.574km</w:t>
            </w:r>
            <w:r>
              <w:rPr>
                <w:rFonts w:hint="eastAsia" w:ascii="Times New Roman" w:hAnsi="Times New Roman" w:eastAsia="宋体" w:cs="Times New Roman"/>
                <w:snapToGrid w:val="0"/>
                <w:sz w:val="18"/>
                <w:szCs w:val="18"/>
                <w:lang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供排水管线建设38.3km</w:t>
            </w:r>
            <w:r>
              <w:rPr>
                <w:rFonts w:hint="eastAsia" w:ascii="Times New Roman" w:hAnsi="Times New Roman" w:eastAsia="宋体" w:cs="Times New Roman"/>
                <w:snapToGrid w:val="0"/>
                <w:sz w:val="18"/>
                <w:szCs w:val="18"/>
                <w:lang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北一区电力线路改迁4.4km</w:t>
            </w:r>
            <w:r>
              <w:rPr>
                <w:rFonts w:hint="eastAsia" w:ascii="Times New Roman" w:hAnsi="Times New Roman" w:eastAsia="宋体" w:cs="Times New Roman"/>
                <w:snapToGrid w:val="0"/>
                <w:sz w:val="18"/>
                <w:szCs w:val="18"/>
                <w:lang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对同济里小区进行改造</w:t>
            </w:r>
            <w:r>
              <w:rPr>
                <w:rFonts w:hint="eastAsia" w:ascii="Times New Roman" w:hAnsi="Times New Roman" w:eastAsia="宋体" w:cs="Times New Roman"/>
                <w:snapToGrid w:val="0"/>
                <w:sz w:val="18"/>
                <w:szCs w:val="18"/>
                <w:lang w:eastAsia="zh-CN"/>
              </w:rPr>
              <w:t>；</w:t>
            </w:r>
            <w:r>
              <w:rPr>
                <w:rFonts w:hint="default" w:ascii="Times New Roman" w:hAnsi="Times New Roman" w:eastAsia="宋体" w:cs="Times New Roman"/>
                <w:snapToGrid w:val="0"/>
                <w:sz w:val="18"/>
                <w:szCs w:val="18"/>
              </w:rPr>
              <w:t>建设中小企业创业园一期14栋标准厂房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napToGrid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5"/>
                <w:sz w:val="18"/>
                <w:szCs w:val="18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建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3"/>
                <w:sz w:val="18"/>
                <w:szCs w:val="18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设项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20"/>
                <w:sz w:val="18"/>
                <w:szCs w:val="18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目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17"/>
                <w:sz w:val="18"/>
                <w:szCs w:val="18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开工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6"/>
                <w:sz w:val="18"/>
                <w:szCs w:val="18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时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-4"/>
                <w:sz w:val="18"/>
                <w:szCs w:val="18"/>
                <w14:textOutline w14:w="4354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间</w:t>
            </w:r>
          </w:p>
        </w:tc>
        <w:tc>
          <w:tcPr>
            <w:tcW w:w="9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pacing w:val="-1"/>
                <w:sz w:val="18"/>
                <w:szCs w:val="18"/>
                <w:highlight w:val="none"/>
                <w:lang w:val="en-US" w:eastAsia="zh-CN"/>
              </w:rPr>
              <w:t>2015年6月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环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评单位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color w:val="auto"/>
                <w:sz w:val="18"/>
                <w:szCs w:val="18"/>
                <w:lang w:eastAsia="zh-CN"/>
              </w:rPr>
              <w:t>新疆净源环境咨询有限公司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环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评文件审批机关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原奎屯-独山子经济技术开发区环境保护局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8"/>
                <w:szCs w:val="18"/>
              </w:rPr>
              <w:t>审批文号</w:t>
            </w:r>
          </w:p>
        </w:tc>
        <w:tc>
          <w:tcPr>
            <w:tcW w:w="9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奎独开环函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[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17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]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  <w:lang w:val="en-US" w:eastAsia="zh-CN"/>
              </w:rPr>
              <w:t>29</w:t>
            </w: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号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环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评文件类型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8"/>
                <w:szCs w:val="18"/>
              </w:rPr>
              <w:t>报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告表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开工日期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highlight w:val="none"/>
                <w:lang w:val="en-US" w:eastAsia="zh-CN"/>
              </w:rPr>
              <w:t>/</w:t>
            </w:r>
          </w:p>
        </w:tc>
        <w:tc>
          <w:tcPr>
            <w:tcW w:w="8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竣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工日期</w:t>
            </w:r>
            <w:bookmarkStart w:id="0" w:name="_GoBack"/>
            <w:bookmarkEnd w:id="0"/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highlight w:val="none"/>
                <w:lang w:val="en-US" w:eastAsia="zh-CN"/>
              </w:rPr>
              <w:t>2023.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排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污许可证申领时间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环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保设施设计单位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8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环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保设施施工单位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本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工程排污许可证编号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验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收单位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  <w:lang w:val="en-US" w:eastAsia="zh-CN"/>
              </w:rPr>
              <w:t>新疆润盛投资发展有限公司</w:t>
            </w:r>
          </w:p>
        </w:tc>
        <w:tc>
          <w:tcPr>
            <w:tcW w:w="51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环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保设施监测单位</w:t>
            </w:r>
          </w:p>
        </w:tc>
        <w:tc>
          <w:tcPr>
            <w:tcW w:w="716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/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验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收监测时工况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6"/>
                <w:sz w:val="18"/>
                <w:szCs w:val="18"/>
              </w:rPr>
              <w:t>投资总概算(万元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4"/>
                <w:sz w:val="18"/>
                <w:szCs w:val="18"/>
              </w:rPr>
              <w:t>)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lang w:val="en-US" w:eastAsia="zh-CN"/>
              </w:rPr>
              <w:t>30228</w:t>
            </w:r>
          </w:p>
        </w:tc>
        <w:tc>
          <w:tcPr>
            <w:tcW w:w="8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3"/>
                <w:sz w:val="18"/>
                <w:szCs w:val="18"/>
              </w:rPr>
              <w:t>环保投资总概算(万元)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lang w:val="en-US" w:eastAsia="zh-CN"/>
              </w:rPr>
              <w:t>145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8"/>
                <w:szCs w:val="18"/>
              </w:rPr>
              <w:t>所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7"/>
                <w:sz w:val="18"/>
                <w:szCs w:val="18"/>
              </w:rPr>
              <w:t>占比例(%)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lang w:val="en-US" w:eastAsia="zh-CN"/>
              </w:rPr>
              <w:t>0.48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8"/>
                <w:szCs w:val="18"/>
              </w:rPr>
              <w:t>实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际总投资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30228</w:t>
            </w:r>
          </w:p>
        </w:tc>
        <w:tc>
          <w:tcPr>
            <w:tcW w:w="8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4"/>
                <w:sz w:val="18"/>
                <w:szCs w:val="18"/>
              </w:rPr>
              <w:t>实际环保投资(万元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3"/>
                <w:sz w:val="18"/>
                <w:szCs w:val="18"/>
              </w:rPr>
              <w:t>)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lang w:val="en-US" w:eastAsia="zh-CN"/>
              </w:rPr>
              <w:t>145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8"/>
                <w:szCs w:val="18"/>
              </w:rPr>
              <w:t>所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7"/>
                <w:sz w:val="18"/>
                <w:szCs w:val="18"/>
              </w:rPr>
              <w:t>占比例(%)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0.48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22"/>
                <w:sz w:val="18"/>
                <w:szCs w:val="18"/>
              </w:rPr>
              <w:t>废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7"/>
                <w:sz w:val="18"/>
                <w:szCs w:val="18"/>
              </w:rPr>
              <w:t>水治理(万元)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22"/>
                <w:sz w:val="18"/>
                <w:szCs w:val="18"/>
              </w:rPr>
              <w:t>废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7"/>
                <w:sz w:val="18"/>
                <w:szCs w:val="18"/>
              </w:rPr>
              <w:t>气治理(万元)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140</w:t>
            </w:r>
          </w:p>
        </w:tc>
        <w:tc>
          <w:tcPr>
            <w:tcW w:w="400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7"/>
                <w:sz w:val="18"/>
                <w:szCs w:val="18"/>
              </w:rPr>
              <w:t>噪声治理(万元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6"/>
                <w:sz w:val="18"/>
                <w:szCs w:val="18"/>
              </w:rPr>
              <w:t>)</w:t>
            </w:r>
          </w:p>
        </w:tc>
        <w:tc>
          <w:tcPr>
            <w:tcW w:w="15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8"/>
                <w:sz w:val="18"/>
                <w:szCs w:val="18"/>
              </w:rPr>
              <w:t>固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3"/>
                <w:sz w:val="18"/>
                <w:szCs w:val="18"/>
              </w:rPr>
              <w:t>体废物治理(万元)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6"/>
                <w:sz w:val="18"/>
                <w:szCs w:val="18"/>
              </w:rPr>
              <w:t>绿化及生态(万元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5"/>
                <w:sz w:val="18"/>
                <w:szCs w:val="18"/>
              </w:rPr>
              <w:t>)</w:t>
            </w:r>
          </w:p>
        </w:tc>
        <w:tc>
          <w:tcPr>
            <w:tcW w:w="328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25"/>
                <w:sz w:val="18"/>
                <w:szCs w:val="18"/>
              </w:rPr>
              <w:t>其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23"/>
                <w:sz w:val="18"/>
                <w:szCs w:val="18"/>
              </w:rPr>
              <w:t>他(万元)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</w:tcBorders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新增废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水处理设施能力</w:t>
            </w:r>
          </w:p>
        </w:tc>
        <w:tc>
          <w:tcPr>
            <w:tcW w:w="1557" w:type="pct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823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新增废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气处理设施能力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年平均工作时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728" w:type="pct"/>
            <w:gridSpan w:val="3"/>
            <w:tcBorders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运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营单位</w:t>
            </w:r>
          </w:p>
        </w:tc>
        <w:tc>
          <w:tcPr>
            <w:tcW w:w="1246" w:type="pct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  <w:lang w:val="en-US" w:eastAsia="zh-CN"/>
              </w:rPr>
              <w:t>新疆润盛投资发展有限公司</w:t>
            </w:r>
          </w:p>
        </w:tc>
        <w:tc>
          <w:tcPr>
            <w:tcW w:w="848" w:type="pct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7"/>
                <w:sz w:val="18"/>
                <w:szCs w:val="18"/>
              </w:rPr>
              <w:t>运营单位社会统一信用代码(或组织机构代码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3"/>
                <w:sz w:val="18"/>
                <w:szCs w:val="18"/>
              </w:rPr>
              <w:t>)</w:t>
            </w:r>
          </w:p>
        </w:tc>
        <w:tc>
          <w:tcPr>
            <w:tcW w:w="6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lang w:val="en-US"/>
              </w:rPr>
              <w:t>91654003666658335N</w:t>
            </w:r>
          </w:p>
        </w:tc>
        <w:tc>
          <w:tcPr>
            <w:tcW w:w="55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8"/>
                <w:szCs w:val="18"/>
              </w:rPr>
              <w:t>验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8"/>
                <w:szCs w:val="18"/>
              </w:rPr>
              <w:t>收时间</w:t>
            </w:r>
          </w:p>
        </w:tc>
        <w:tc>
          <w:tcPr>
            <w:tcW w:w="928" w:type="pct"/>
            <w:gridSpan w:val="3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textAlignment w:val="baseline"/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8"/>
                <w:szCs w:val="18"/>
                <w:highlight w:val="none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highlight w:val="none"/>
              </w:rPr>
              <w:t>02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highlight w:val="none"/>
              </w:rPr>
              <w:t>年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8"/>
                <w:szCs w:val="18"/>
                <w:highlight w:val="none"/>
              </w:rPr>
              <w:t>月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25" w:type="pct"/>
            <w:vMerge w:val="restart"/>
            <w:tcBorders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11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污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染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物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排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放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达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标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与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总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量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控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制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21"/>
                <w:sz w:val="15"/>
                <w:szCs w:val="15"/>
              </w:rPr>
              <w:t>(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20"/>
                <w:sz w:val="15"/>
                <w:szCs w:val="15"/>
              </w:rPr>
              <w:t>工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业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建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设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项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0"/>
                <w:sz w:val="15"/>
                <w:szCs w:val="15"/>
              </w:rPr>
              <w:t>目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9"/>
                <w:sz w:val="15"/>
                <w:szCs w:val="15"/>
              </w:rPr>
              <w:t>详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31"/>
                <w:sz w:val="15"/>
                <w:szCs w:val="15"/>
              </w:rPr>
              <w:t>填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30"/>
                <w:sz w:val="15"/>
                <w:szCs w:val="15"/>
              </w:rPr>
              <w:t>)</w:t>
            </w: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污染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物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原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有排放量(1)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本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期工程实际排放浓度(2)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本期工程允许排放浓度(3)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本期工程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</w:rPr>
              <w:t>产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生量(4)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本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期工程自身削减量(5)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本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期工程实际排放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</w:rPr>
              <w:t>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(6)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本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期工程核定排放总量(7)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</w:rPr>
              <w:t>本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期工程“以新带老”削减量(8)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全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厂实际排放总量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sz w:val="15"/>
                <w:szCs w:val="15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</w:rPr>
              <w:t>9)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全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厂核定排放总量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sz w:val="15"/>
                <w:szCs w:val="15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</w:rPr>
              <w:t>10)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sz w:val="15"/>
                <w:szCs w:val="15"/>
              </w:rPr>
              <w:t>区域平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</w:rPr>
              <w:t>衡替代削减量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(11)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1"/>
                <w:sz w:val="15"/>
                <w:szCs w:val="15"/>
              </w:rPr>
              <w:t>排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放增减量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2"/>
                <w:sz w:val="15"/>
                <w:szCs w:val="15"/>
              </w:rPr>
              <w:t>(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pacing w:val="-1"/>
                <w:sz w:val="15"/>
                <w:szCs w:val="15"/>
              </w:rPr>
              <w:t>12)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废水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化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学需氧量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5"/>
                <w:szCs w:val="15"/>
              </w:rPr>
              <w:t>氨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氮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动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植物油类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悬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浮物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5"/>
                <w:szCs w:val="15"/>
              </w:rPr>
              <w:t>二氧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化硫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烟尘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5"/>
                <w:szCs w:val="15"/>
              </w:rPr>
              <w:t>工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业粉尘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氮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氧化物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603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5"/>
                <w:szCs w:val="15"/>
              </w:rPr>
              <w:t>工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业固体废物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507" w:type="pct"/>
            <w:vMerge w:val="restart"/>
            <w:tcBorders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pacing w:val="-1"/>
                <w:sz w:val="15"/>
                <w:szCs w:val="15"/>
              </w:rPr>
              <w:t>与项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 xml:space="preserve">目有关的其他特征 </w:t>
            </w:r>
            <w:r>
              <w:rPr>
                <w:rFonts w:hint="default" w:ascii="Times New Roman" w:hAnsi="Times New Roman" w:eastAsia="宋体" w:cs="Times New Roman"/>
                <w:b/>
                <w:bCs/>
                <w:spacing w:val="1"/>
                <w:sz w:val="15"/>
                <w:szCs w:val="15"/>
              </w:rPr>
              <w:t>污染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物</w:t>
            </w:r>
          </w:p>
        </w:tc>
        <w:tc>
          <w:tcPr>
            <w:tcW w:w="9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15"/>
                <w:szCs w:val="15"/>
              </w:rPr>
              <w:t>/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507" w:type="pct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9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" w:hRule="atLeast"/>
        </w:trPr>
        <w:tc>
          <w:tcPr>
            <w:tcW w:w="125" w:type="pct"/>
            <w:vMerge w:val="continue"/>
            <w:tcBorders>
              <w:top w:val="nil"/>
              <w:lef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507" w:type="pct"/>
            <w:vMerge w:val="continue"/>
            <w:tcBorders>
              <w:top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</w:p>
        </w:tc>
        <w:tc>
          <w:tcPr>
            <w:tcW w:w="95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7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21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34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4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1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512" w:type="pct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10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482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97" w:type="pct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313" w:type="pc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  <w:tc>
          <w:tcPr>
            <w:tcW w:w="286" w:type="pct"/>
            <w:tcBorders>
              <w:right w:val="single" w:color="000000" w:sz="6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right="0" w:firstLine="0" w:firstLineChars="0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15"/>
                <w:szCs w:val="15"/>
              </w:rPr>
              <w:t>/</w:t>
            </w:r>
          </w:p>
        </w:tc>
      </w:tr>
    </w:tbl>
    <w:p>
      <w:pPr>
        <w:spacing w:before="52" w:line="197" w:lineRule="auto"/>
        <w:rPr>
          <w:rFonts w:ascii="微软雅黑" w:hAnsi="微软雅黑" w:eastAsia="微软雅黑" w:cs="微软雅黑"/>
          <w:spacing w:val="8"/>
          <w:sz w:val="12"/>
          <w:szCs w:val="12"/>
        </w:rPr>
        <w:sectPr>
          <w:pgSz w:w="16839" w:h="11907"/>
          <w:pgMar w:top="400" w:right="1846" w:bottom="400" w:left="892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  <w:r>
        <w:rPr>
          <w:rFonts w:hint="default" w:ascii="Times New Roman" w:hAnsi="Times New Roman" w:eastAsia="微软雅黑" w:cs="Times New Roman"/>
          <w:spacing w:val="16"/>
          <w:sz w:val="12"/>
          <w:szCs w:val="12"/>
        </w:rPr>
        <w:t xml:space="preserve">注： </w:t>
      </w:r>
      <w:r>
        <w:rPr>
          <w:rFonts w:hint="default" w:ascii="Times New Roman" w:hAnsi="Times New Roman" w:eastAsia="Times New Roman" w:cs="Times New Roman"/>
          <w:b/>
          <w:bCs/>
          <w:spacing w:val="16"/>
          <w:sz w:val="12"/>
          <w:szCs w:val="12"/>
        </w:rPr>
        <w:t>1</w:t>
      </w:r>
      <w:r>
        <w:rPr>
          <w:rFonts w:hint="default" w:ascii="Times New Roman" w:hAnsi="Times New Roman" w:eastAsia="微软雅黑" w:cs="Times New Roman"/>
          <w:spacing w:val="16"/>
          <w:sz w:val="12"/>
          <w:szCs w:val="12"/>
        </w:rPr>
        <w:t>、排放增减量：(</w:t>
      </w:r>
      <w:r>
        <w:rPr>
          <w:rFonts w:hint="default" w:ascii="Times New Roman" w:hAnsi="Times New Roman" w:eastAsia="Times New Roman" w:cs="Times New Roman"/>
          <w:b/>
          <w:bCs/>
          <w:spacing w:val="16"/>
          <w:sz w:val="12"/>
          <w:szCs w:val="12"/>
        </w:rPr>
        <w:t>+</w:t>
      </w:r>
      <w:r>
        <w:rPr>
          <w:rFonts w:hint="default" w:ascii="Times New Roman" w:hAnsi="Times New Roman" w:eastAsia="微软雅黑" w:cs="Times New Roman"/>
          <w:spacing w:val="16"/>
          <w:sz w:val="12"/>
          <w:szCs w:val="12"/>
        </w:rPr>
        <w:t>)</w:t>
      </w:r>
      <w:r>
        <w:rPr>
          <w:rFonts w:hint="default" w:ascii="Times New Roman" w:hAnsi="Times New Roman" w:eastAsia="微软雅黑" w:cs="Times New Roman"/>
          <w:spacing w:val="15"/>
          <w:sz w:val="12"/>
          <w:szCs w:val="12"/>
        </w:rPr>
        <w:t>表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 xml:space="preserve">示增加，(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-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 xml:space="preserve">)表示减少。 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2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、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(12)=(6)-(8)-(11)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，(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9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 xml:space="preserve">)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=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(4)-(5)-(8)-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(11)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+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 xml:space="preserve">(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1</w:t>
      </w:r>
      <w:r>
        <w:rPr>
          <w:rFonts w:hint="default" w:ascii="Times New Roman" w:hAnsi="Times New Roman" w:eastAsia="Times New Roman" w:cs="Times New Roman"/>
          <w:spacing w:val="8"/>
          <w:sz w:val="12"/>
          <w:szCs w:val="12"/>
        </w:rPr>
        <w:t xml:space="preserve"> 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 xml:space="preserve">)。  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3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、计量单位：废水排放量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——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万吨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/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年；废气排放量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——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万标立方米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/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年；工业固体废物排放量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——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万吨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/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年；水污染物排放浓度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——</w:t>
      </w:r>
      <w:r>
        <w:rPr>
          <w:rFonts w:hint="default" w:ascii="Times New Roman" w:hAnsi="Times New Roman" w:eastAsia="微软雅黑" w:cs="Times New Roman"/>
          <w:spacing w:val="8"/>
          <w:sz w:val="12"/>
          <w:szCs w:val="12"/>
        </w:rPr>
        <w:t>毫克</w:t>
      </w:r>
      <w:r>
        <w:rPr>
          <w:rFonts w:hint="default" w:ascii="Times New Roman" w:hAnsi="Times New Roman" w:eastAsia="Times New Roman" w:cs="Times New Roman"/>
          <w:b/>
          <w:bCs/>
          <w:spacing w:val="8"/>
          <w:sz w:val="12"/>
          <w:szCs w:val="12"/>
        </w:rPr>
        <w:t>/</w:t>
      </w:r>
      <w:r>
        <w:rPr>
          <w:rFonts w:ascii="微软雅黑" w:hAnsi="微软雅黑" w:eastAsia="微软雅黑" w:cs="微软雅黑"/>
          <w:spacing w:val="8"/>
          <w:sz w:val="12"/>
          <w:szCs w:val="12"/>
        </w:rPr>
        <w:t>升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1MjczNzY5NTJlMjgxYzZlZTIwNWE3NDc3YWVhMjEifQ=="/>
  </w:docVars>
  <w:rsids>
    <w:rsidRoot w:val="00000000"/>
    <w:rsid w:val="02402EC0"/>
    <w:rsid w:val="03127926"/>
    <w:rsid w:val="0597776D"/>
    <w:rsid w:val="092D348A"/>
    <w:rsid w:val="0AE93772"/>
    <w:rsid w:val="15F3195A"/>
    <w:rsid w:val="32E25792"/>
    <w:rsid w:val="480858BC"/>
    <w:rsid w:val="48494361"/>
    <w:rsid w:val="4A211CBB"/>
    <w:rsid w:val="4A563261"/>
    <w:rsid w:val="4C656166"/>
    <w:rsid w:val="52076BC9"/>
    <w:rsid w:val="53F40834"/>
    <w:rsid w:val="54B05D00"/>
    <w:rsid w:val="56261D2F"/>
    <w:rsid w:val="5D8A03AF"/>
    <w:rsid w:val="60D61108"/>
    <w:rsid w:val="63500CFE"/>
    <w:rsid w:val="6E507214"/>
    <w:rsid w:val="724B5893"/>
    <w:rsid w:val="72FD42D3"/>
    <w:rsid w:val="7722255A"/>
    <w:rsid w:val="7B6A318A"/>
    <w:rsid w:val="7BBD0713"/>
    <w:rsid w:val="7E6A2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3">
    <w:name w:val="heading 1"/>
    <w:basedOn w:val="1"/>
    <w:next w:val="1"/>
    <w:link w:val="12"/>
    <w:autoRedefine/>
    <w:qFormat/>
    <w:uiPriority w:val="0"/>
    <w:pPr>
      <w:keepNext/>
      <w:keepLines/>
      <w:spacing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  <w:lang w:eastAsia="zh-CN"/>
    </w:rPr>
  </w:style>
  <w:style w:type="paragraph" w:styleId="4">
    <w:name w:val="heading 2"/>
    <w:basedOn w:val="1"/>
    <w:next w:val="1"/>
    <w:autoRedefine/>
    <w:semiHidden/>
    <w:unhideWhenUsed/>
    <w:qFormat/>
    <w:uiPriority w:val="0"/>
    <w:pPr>
      <w:keepNext/>
      <w:keepLines/>
      <w:kinsoku/>
      <w:overflowPunct w:val="0"/>
      <w:topLinePunct/>
      <w:spacing w:line="360" w:lineRule="auto"/>
      <w:ind w:firstLine="0" w:firstLineChars="0"/>
      <w:contextualSpacing/>
      <w:jc w:val="left"/>
      <w:outlineLvl w:val="1"/>
    </w:pPr>
    <w:rPr>
      <w:rFonts w:ascii="宋体" w:hAnsi="宋体" w:cs="Times New Roman"/>
      <w:b/>
      <w:sz w:val="28"/>
      <w:szCs w:val="28"/>
    </w:rPr>
  </w:style>
  <w:style w:type="paragraph" w:styleId="5">
    <w:name w:val="heading 3"/>
    <w:basedOn w:val="1"/>
    <w:next w:val="1"/>
    <w:autoRedefine/>
    <w:semiHidden/>
    <w:unhideWhenUsed/>
    <w:qFormat/>
    <w:uiPriority w:val="0"/>
    <w:pPr>
      <w:adjustRightInd/>
      <w:snapToGrid/>
      <w:spacing w:line="240" w:lineRule="auto"/>
      <w:ind w:left="0" w:leftChars="0" w:firstLine="0" w:firstLineChars="0"/>
      <w:jc w:val="center"/>
      <w:outlineLvl w:val="2"/>
    </w:pPr>
    <w:rPr>
      <w:rFonts w:ascii="仿宋_GB2312" w:hAnsi="仿宋_GB2312" w:cs="Times New Roman"/>
      <w:sz w:val="24"/>
      <w:szCs w:val="32"/>
    </w:rPr>
  </w:style>
  <w:style w:type="paragraph" w:styleId="6">
    <w:name w:val="heading 4"/>
    <w:basedOn w:val="1"/>
    <w:next w:val="1"/>
    <w:autoRedefine/>
    <w:semiHidden/>
    <w:unhideWhenUsed/>
    <w:qFormat/>
    <w:uiPriority w:val="0"/>
    <w:pPr>
      <w:keepNext/>
      <w:keepLines/>
      <w:spacing w:line="360" w:lineRule="auto"/>
      <w:outlineLvl w:val="3"/>
    </w:pPr>
    <w:rPr>
      <w:rFonts w:ascii="Calibri" w:hAnsi="Calibri" w:eastAsia="宋体" w:cs="Times New Roman"/>
      <w:b/>
      <w:bCs/>
      <w:kern w:val="0"/>
      <w:sz w:val="24"/>
      <w:szCs w:val="28"/>
    </w:rPr>
  </w:style>
  <w:style w:type="paragraph" w:styleId="7">
    <w:name w:val="heading 5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0" w:firstLineChars="0"/>
      <w:jc w:val="center"/>
      <w:outlineLvl w:val="4"/>
    </w:pPr>
    <w:rPr>
      <w:rFonts w:ascii="Times New Roman" w:hAnsi="Times New Roman" w:eastAsia="宋体" w:cs="Times New Roman"/>
      <w:kern w:val="2"/>
      <w:sz w:val="21"/>
      <w:szCs w:val="22"/>
      <w:lang w:eastAsia="zh-CN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autoRedefine/>
    <w:qFormat/>
    <w:uiPriority w:val="0"/>
    <w:pPr>
      <w:ind w:firstLine="0" w:firstLineChars="0"/>
    </w:pPr>
    <w:rPr>
      <w:rFonts w:ascii="Calibri" w:hAnsi="Calibri" w:eastAsia="宋体" w:cs="Times New Roman"/>
      <w:sz w:val="24"/>
      <w:szCs w:val="22"/>
    </w:rPr>
  </w:style>
  <w:style w:type="character" w:customStyle="1" w:styleId="10">
    <w:name w:val="正文文本 Char"/>
    <w:link w:val="2"/>
    <w:autoRedefine/>
    <w:qFormat/>
    <w:uiPriority w:val="0"/>
    <w:rPr>
      <w:rFonts w:ascii="Calibri" w:hAnsi="Calibri" w:eastAsia="宋体" w:cs="Times New Roman"/>
      <w:sz w:val="24"/>
      <w:szCs w:val="22"/>
    </w:rPr>
  </w:style>
  <w:style w:type="paragraph" w:customStyle="1" w:styleId="11">
    <w:name w:val="表格"/>
    <w:basedOn w:val="1"/>
    <w:autoRedefine/>
    <w:qFormat/>
    <w:uiPriority w:val="0"/>
    <w:pPr>
      <w:kinsoku/>
      <w:overflowPunct w:val="0"/>
      <w:topLinePunct/>
      <w:spacing w:line="240" w:lineRule="auto"/>
      <w:ind w:firstLine="0" w:firstLineChars="0"/>
      <w:jc w:val="center"/>
    </w:pPr>
    <w:rPr>
      <w:rFonts w:ascii="Times New Roman" w:hAnsi="Times New Roman" w:cs="Times New Roman"/>
      <w:szCs w:val="24"/>
      <w:lang w:eastAsia="zh-CN" w:bidi="ar"/>
    </w:rPr>
  </w:style>
  <w:style w:type="character" w:customStyle="1" w:styleId="12">
    <w:name w:val="标题 1 字符"/>
    <w:basedOn w:val="9"/>
    <w:link w:val="3"/>
    <w:autoRedefine/>
    <w:qFormat/>
    <w:uiPriority w:val="0"/>
    <w:rPr>
      <w:rFonts w:ascii="Times New Roman" w:hAnsi="Times New Roman" w:eastAsia="宋体" w:cs="Times New Roman"/>
      <w:b/>
      <w:bCs/>
      <w:kern w:val="44"/>
      <w:sz w:val="44"/>
      <w:szCs w:val="44"/>
      <w:lang w:eastAsia="zh-CN"/>
    </w:rPr>
  </w:style>
  <w:style w:type="table" w:customStyle="1" w:styleId="13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表+五号"/>
    <w:basedOn w:val="1"/>
    <w:autoRedefine/>
    <w:qFormat/>
    <w:uiPriority w:val="0"/>
    <w:rPr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2023-08-07T02:05:00Z</dcterms:created>
  <dc:creator>Administrator</dc:creator>
  <cp:lastModifiedBy>傲骄小粉条</cp:lastModifiedBy>
  <dcterms:modified xsi:type="dcterms:W3CDTF">2024-04-11T08:28:46Z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E156226D5CE34714878B1DAAA39EA125_12</vt:lpwstr>
  </property>
</Properties>
</file>