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新疆润盛投资发展有限公司奎屯-独山子经济技术开发区</w:t>
      </w:r>
      <w:r>
        <w:rPr>
          <w:rFonts w:hint="default" w:ascii="Times New Roman" w:hAnsi="Times New Roman" w:eastAsia="微软雅黑" w:cs="Times New Roman"/>
          <w:b w:val="0"/>
          <w:bCs/>
          <w:snapToGrid/>
          <w:color w:val="000000"/>
          <w:kern w:val="0"/>
          <w:sz w:val="48"/>
          <w:szCs w:val="48"/>
          <w:lang w:val="en-US" w:eastAsia="zh-CN" w:bidi="ar-SA"/>
        </w:rPr>
        <w:t>2015年基</w:t>
      </w:r>
      <w:r>
        <w:rPr>
          <w:rFonts w:hint="eastAsia" w:ascii="Tahoma" w:hAnsi="Tahoma" w:eastAsia="微软雅黑" w:cs="Times New Roman"/>
          <w:b w:val="0"/>
          <w:bCs/>
          <w:snapToGrid/>
          <w:color w:val="000000"/>
          <w:kern w:val="0"/>
          <w:sz w:val="48"/>
          <w:szCs w:val="48"/>
          <w:lang w:val="en-US" w:eastAsia="zh-CN" w:bidi="ar-SA"/>
        </w:rPr>
        <w:t>础设施建设项目</w:t>
      </w:r>
    </w:p>
    <w:p>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新疆润盛投资发展有限公司</w:t>
      </w: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月</w:t>
      </w:r>
    </w:p>
    <w:p>
      <w:pPr>
        <w:pStyle w:val="18"/>
        <w:jc w:val="center"/>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rPr>
          <w:rFonts w:hint="eastAsia"/>
          <w:b w:val="0"/>
          <w:bCs/>
          <w:color w:val="000000"/>
          <w:sz w:val="28"/>
          <w:szCs w:val="28"/>
        </w:rPr>
      </w:pPr>
      <w:r>
        <w:rPr>
          <w:rFonts w:hint="eastAsia"/>
          <w:b w:val="0"/>
          <w:bCs/>
          <w:color w:val="000000"/>
          <w:sz w:val="28"/>
          <w:szCs w:val="28"/>
        </w:rPr>
        <w:br w:type="page"/>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新疆润盛投资发展有限公司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w:t>
      </w:r>
      <w:r>
        <w:rPr>
          <w:rFonts w:hint="eastAsia" w:ascii="仿宋_GB2312" w:hAnsi="仿宋" w:eastAsia="仿宋_GB2312" w:cs="Times New Roman"/>
          <w:b/>
          <w:color w:val="000000"/>
          <w:sz w:val="28"/>
          <w:szCs w:val="28"/>
          <w:lang w:val="en-US" w:eastAsia="zh-CN"/>
        </w:rPr>
        <w:t xml:space="preserve">          </w:t>
      </w:r>
      <w:r>
        <w:rPr>
          <w:rFonts w:hint="eastAsia" w:ascii="仿宋_GB2312" w:hAnsi="仿宋" w:eastAsia="仿宋_GB2312" w:cs="Times New Roman"/>
          <w:b/>
          <w:color w:val="000000"/>
          <w:sz w:val="28"/>
          <w:szCs w:val="28"/>
        </w:rPr>
        <w:t>（签字）</w:t>
      </w:r>
    </w:p>
    <w:p>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ascii="仿宋_GB2312" w:hAnsi="仿宋" w:eastAsia="仿宋_GB2312"/>
          <w:b/>
          <w:color w:val="000000"/>
          <w:sz w:val="28"/>
          <w:szCs w:val="28"/>
        </w:rPr>
      </w:pPr>
      <w:r>
        <w:rPr>
          <w:rFonts w:hint="eastAsia" w:ascii="仿宋_GB2312" w:hAnsi="仿宋" w:eastAsia="仿宋_GB2312"/>
          <w:b/>
          <w:color w:val="000000"/>
          <w:sz w:val="28"/>
          <w:szCs w:val="28"/>
        </w:rPr>
        <w:t>法人代表：</w:t>
      </w:r>
      <w:r>
        <w:rPr>
          <w:rFonts w:hint="eastAsia" w:ascii="仿宋_GB2312" w:hAnsi="仿宋" w:eastAsia="仿宋_GB2312"/>
          <w:b/>
          <w:color w:val="000000"/>
          <w:sz w:val="28"/>
          <w:szCs w:val="28"/>
          <w:lang w:val="en-US" w:eastAsia="zh-CN"/>
        </w:rPr>
        <w:t xml:space="preserve">            </w:t>
      </w:r>
      <w:r>
        <w:rPr>
          <w:rFonts w:hint="eastAsia" w:ascii="仿宋_GB2312" w:hAnsi="仿宋" w:eastAsia="仿宋_GB2312"/>
          <w:b/>
          <w:color w:val="000000"/>
          <w:sz w:val="28"/>
          <w:szCs w:val="28"/>
        </w:rPr>
        <w:t>（签字）</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 目 负 责 人：</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项目审核／审定人：</w:t>
      </w:r>
    </w:p>
    <w:p>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报 告 编 写 人：</w:t>
      </w:r>
    </w:p>
    <w:p>
      <w:pPr>
        <w:pStyle w:val="18"/>
        <w:jc w:val="both"/>
      </w:pPr>
    </w:p>
    <w:p>
      <w:pPr>
        <w:pStyle w:val="18"/>
      </w:pPr>
    </w:p>
    <w:p>
      <w:pPr>
        <w:pStyle w:val="18"/>
      </w:pPr>
    </w:p>
    <w:tbl>
      <w:tblPr>
        <w:tblStyle w:val="13"/>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tblPrEx>
          <w:tblCellMar>
            <w:top w:w="0" w:type="dxa"/>
            <w:left w:w="108" w:type="dxa"/>
            <w:bottom w:w="0" w:type="dxa"/>
            <w:right w:w="108" w:type="dxa"/>
          </w:tblCellMar>
        </w:tblPrEx>
        <w:trPr>
          <w:trHeight w:val="1235"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r>
              <w:rPr>
                <w:rFonts w:hint="eastAsia" w:ascii="Times New Roman" w:hAnsi="Times New Roman" w:eastAsia="仿宋_GB2312" w:cs="Times New Roman"/>
                <w:color w:val="000000"/>
                <w:sz w:val="28"/>
                <w:lang w:val="en-US" w:eastAsia="zh-CN"/>
              </w:rPr>
              <w:t>：</w:t>
            </w:r>
          </w:p>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新疆润盛投资发展有限公司</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r>
              <w:rPr>
                <w:rFonts w:hint="eastAsia" w:ascii="Times New Roman" w:hAnsi="Times New Roman" w:eastAsia="仿宋_GB2312" w:cs="Times New Roman"/>
                <w:color w:val="000000"/>
                <w:sz w:val="28"/>
                <w:lang w:val="en-US" w:eastAsia="zh-CN"/>
              </w:rPr>
              <w:t>：</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tblPrEx>
          <w:tblCellMar>
            <w:top w:w="0" w:type="dxa"/>
            <w:left w:w="108" w:type="dxa"/>
            <w:bottom w:w="0" w:type="dxa"/>
            <w:right w:w="108" w:type="dxa"/>
          </w:tblCellMar>
        </w:tblPrEx>
        <w:trPr>
          <w:trHeight w:val="687"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19990627353</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830002</w:t>
            </w:r>
          </w:p>
        </w:tc>
      </w:tr>
      <w:tr>
        <w:tblPrEx>
          <w:tblCellMar>
            <w:top w:w="0" w:type="dxa"/>
            <w:left w:w="108" w:type="dxa"/>
            <w:bottom w:w="0" w:type="dxa"/>
            <w:right w:w="108" w:type="dxa"/>
          </w:tblCellMar>
        </w:tblPrEx>
        <w:trPr>
          <w:trHeight w:val="1320"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伊犁州奎屯市喀什东路17号</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pPr>
        <w:spacing w:line="265" w:lineRule="auto"/>
        <w:rPr>
          <w:rFonts w:ascii="Arial"/>
          <w:sz w:val="21"/>
        </w:rPr>
      </w:pPr>
    </w:p>
    <w:p>
      <w:pPr>
        <w:spacing w:line="252" w:lineRule="auto"/>
        <w:rPr>
          <w:rFonts w:ascii="Arial"/>
          <w:sz w:val="21"/>
        </w:rPr>
      </w:pPr>
    </w:p>
    <w:p/>
    <w:p>
      <w:pPr>
        <w:sectPr>
          <w:headerReference r:id="rId5" w:type="default"/>
          <w:footerReference r:id="rId6" w:type="default"/>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17"/>
      </w:pPr>
    </w:p>
    <w:p/>
    <w:p>
      <w:pPr>
        <w:pStyle w:val="2"/>
      </w:pPr>
    </w:p>
    <w:p>
      <w:pPr>
        <w:pStyle w:val="12"/>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6"/>
        <w:gridCol w:w="4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67"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anchor distT="0" distB="0" distL="114300" distR="114300" simplePos="0" relativeHeight="251673600" behindDoc="0" locked="0" layoutInCell="1" allowOverlap="1">
                  <wp:simplePos x="0" y="0"/>
                  <wp:positionH relativeFrom="column">
                    <wp:posOffset>0</wp:posOffset>
                  </wp:positionH>
                  <wp:positionV relativeFrom="paragraph">
                    <wp:posOffset>19050</wp:posOffset>
                  </wp:positionV>
                  <wp:extent cx="2797810" cy="4888865"/>
                  <wp:effectExtent l="0" t="0" r="2540" b="6985"/>
                  <wp:wrapTopAndBottom/>
                  <wp:docPr id="12" name="图片 12" descr="2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15-1"/>
                          <pic:cNvPicPr>
                            <a:picLocks noChangeAspect="1"/>
                          </pic:cNvPicPr>
                        </pic:nvPicPr>
                        <pic:blipFill>
                          <a:blip r:embed="rId19"/>
                          <a:stretch>
                            <a:fillRect/>
                          </a:stretch>
                        </pic:blipFill>
                        <pic:spPr>
                          <a:xfrm>
                            <a:off x="0" y="0"/>
                            <a:ext cx="2797810" cy="4888865"/>
                          </a:xfrm>
                          <a:prstGeom prst="rect">
                            <a:avLst/>
                          </a:prstGeom>
                        </pic:spPr>
                      </pic:pic>
                    </a:graphicData>
                  </a:graphic>
                </wp:anchor>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anchor distT="0" distB="0" distL="114300" distR="114300" simplePos="0" relativeHeight="251674624" behindDoc="0" locked="0" layoutInCell="1" allowOverlap="1">
                  <wp:simplePos x="0" y="0"/>
                  <wp:positionH relativeFrom="column">
                    <wp:posOffset>8255</wp:posOffset>
                  </wp:positionH>
                  <wp:positionV relativeFrom="paragraph">
                    <wp:posOffset>28575</wp:posOffset>
                  </wp:positionV>
                  <wp:extent cx="2787650" cy="4879975"/>
                  <wp:effectExtent l="0" t="0" r="12700" b="15875"/>
                  <wp:wrapTopAndBottom/>
                  <wp:docPr id="13" name="图片 13" descr="2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15-2"/>
                          <pic:cNvPicPr>
                            <a:picLocks noChangeAspect="1"/>
                          </pic:cNvPicPr>
                        </pic:nvPicPr>
                        <pic:blipFill>
                          <a:blip r:embed="rId20"/>
                          <a:stretch>
                            <a:fillRect/>
                          </a:stretch>
                        </pic:blipFill>
                        <pic:spPr>
                          <a:xfrm>
                            <a:off x="0" y="0"/>
                            <a:ext cx="2787650" cy="487997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中小企业创业园电力线路</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中小企业创业园电力线路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anchor distT="0" distB="0" distL="114300" distR="114300" simplePos="0" relativeHeight="251670528" behindDoc="0" locked="0" layoutInCell="1" allowOverlap="1">
                  <wp:simplePos x="0" y="0"/>
                  <wp:positionH relativeFrom="column">
                    <wp:posOffset>-38100</wp:posOffset>
                  </wp:positionH>
                  <wp:positionV relativeFrom="paragraph">
                    <wp:posOffset>76200</wp:posOffset>
                  </wp:positionV>
                  <wp:extent cx="2797810" cy="1850390"/>
                  <wp:effectExtent l="0" t="0" r="2540" b="16510"/>
                  <wp:wrapTopAndBottom/>
                  <wp:docPr id="3" name="图片 3" descr="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15"/>
                          <pic:cNvPicPr>
                            <a:picLocks noChangeAspect="1"/>
                          </pic:cNvPicPr>
                        </pic:nvPicPr>
                        <pic:blipFill>
                          <a:blip r:embed="rId21"/>
                          <a:stretch>
                            <a:fillRect/>
                          </a:stretch>
                        </pic:blipFill>
                        <pic:spPr>
                          <a:xfrm>
                            <a:off x="0" y="0"/>
                            <a:ext cx="2797810" cy="1850390"/>
                          </a:xfrm>
                          <a:prstGeom prst="rect">
                            <a:avLst/>
                          </a:prstGeom>
                        </pic:spPr>
                      </pic:pic>
                    </a:graphicData>
                  </a:graphic>
                </wp:anchor>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anchor distT="0" distB="0" distL="114300" distR="114300" simplePos="0" relativeHeight="251671552" behindDoc="0" locked="0" layoutInCell="1" allowOverlap="1">
                  <wp:simplePos x="0" y="0"/>
                  <wp:positionH relativeFrom="column">
                    <wp:posOffset>-28575</wp:posOffset>
                  </wp:positionH>
                  <wp:positionV relativeFrom="paragraph">
                    <wp:posOffset>133985</wp:posOffset>
                  </wp:positionV>
                  <wp:extent cx="2797810" cy="1821180"/>
                  <wp:effectExtent l="0" t="0" r="2540" b="7620"/>
                  <wp:wrapTopAndBottom/>
                  <wp:docPr id="4" name="图片 4" descr="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15"/>
                          <pic:cNvPicPr>
                            <a:picLocks noChangeAspect="1"/>
                          </pic:cNvPicPr>
                        </pic:nvPicPr>
                        <pic:blipFill>
                          <a:blip r:embed="rId22"/>
                          <a:stretch>
                            <a:fillRect/>
                          </a:stretch>
                        </pic:blipFill>
                        <pic:spPr>
                          <a:xfrm>
                            <a:off x="0" y="0"/>
                            <a:ext cx="2797810" cy="182118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东环路</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color w:val="auto"/>
                <w:sz w:val="21"/>
                <w:szCs w:val="21"/>
                <w:vertAlign w:val="baseline"/>
                <w:lang w:val="en-US" w:eastAsia="zh-CN"/>
              </w:rPr>
            </w:pPr>
            <w:r>
              <w:rPr>
                <w:rFonts w:hint="eastAsia" w:ascii="宋体" w:hAnsi="宋体" w:eastAsia="宋体" w:cs="宋体"/>
                <w:color w:val="auto"/>
                <w:sz w:val="21"/>
                <w:szCs w:val="21"/>
                <w:vertAlign w:val="baseline"/>
                <w:lang w:val="en-US" w:eastAsia="zh-CN"/>
              </w:rPr>
              <w:t>健康路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2792095" cy="3144520"/>
                  <wp:effectExtent l="0" t="0" r="8255" b="17780"/>
                  <wp:docPr id="5" name="图片 5" descr="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15"/>
                          <pic:cNvPicPr>
                            <a:picLocks noChangeAspect="1"/>
                          </pic:cNvPicPr>
                        </pic:nvPicPr>
                        <pic:blipFill>
                          <a:blip r:embed="rId23"/>
                          <a:stretch>
                            <a:fillRect/>
                          </a:stretch>
                        </pic:blipFill>
                        <pic:spPr>
                          <a:xfrm>
                            <a:off x="0" y="0"/>
                            <a:ext cx="2792095" cy="314452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drawing>
                <wp:anchor distT="0" distB="0" distL="114300" distR="114300" simplePos="0" relativeHeight="251672576" behindDoc="0" locked="0" layoutInCell="1" allowOverlap="1">
                  <wp:simplePos x="0" y="0"/>
                  <wp:positionH relativeFrom="column">
                    <wp:posOffset>-58420</wp:posOffset>
                  </wp:positionH>
                  <wp:positionV relativeFrom="paragraph">
                    <wp:posOffset>28575</wp:posOffset>
                  </wp:positionV>
                  <wp:extent cx="2792095" cy="3115310"/>
                  <wp:effectExtent l="0" t="0" r="8255" b="8890"/>
                  <wp:wrapTopAndBottom/>
                  <wp:docPr id="10" name="图片 10" descr="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15-"/>
                          <pic:cNvPicPr>
                            <a:picLocks noChangeAspect="1"/>
                          </pic:cNvPicPr>
                        </pic:nvPicPr>
                        <pic:blipFill>
                          <a:blip r:embed="rId24"/>
                          <a:stretch>
                            <a:fillRect/>
                          </a:stretch>
                        </pic:blipFill>
                        <pic:spPr>
                          <a:xfrm>
                            <a:off x="0" y="0"/>
                            <a:ext cx="2792095" cy="311531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lang w:val="en-US" w:eastAsia="zh-CN"/>
              </w:rPr>
            </w:pPr>
            <w:r>
              <w:rPr>
                <w:rFonts w:hint="eastAsia" w:ascii="宋体" w:hAnsi="宋体" w:eastAsia="宋体" w:cs="宋体"/>
                <w:snapToGrid w:val="0"/>
                <w:sz w:val="21"/>
                <w:szCs w:val="21"/>
                <w:lang w:val="en-US" w:eastAsia="zh-CN"/>
              </w:rPr>
              <w:t>呼图壁街</w:t>
            </w:r>
            <w:r>
              <w:rPr>
                <w:rFonts w:hint="eastAsia" w:ascii="宋体" w:hAnsi="宋体" w:eastAsia="宋体" w:cs="宋体"/>
                <w:sz w:val="21"/>
                <w:szCs w:val="21"/>
                <w:vertAlign w:val="baseline"/>
                <w:lang w:val="en-US" w:eastAsia="zh-CN"/>
              </w:rPr>
              <w:t>道路现状</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vertAlign w:val="baseline"/>
                <w:lang w:eastAsia="zh-CN"/>
              </w:rPr>
            </w:pPr>
            <w:r>
              <w:rPr>
                <w:rFonts w:hint="eastAsia" w:ascii="宋体" w:hAnsi="宋体" w:eastAsia="宋体" w:cs="宋体"/>
                <w:snapToGrid w:val="0"/>
                <w:sz w:val="21"/>
                <w:szCs w:val="21"/>
                <w:lang w:val="en-US" w:eastAsia="zh-CN"/>
              </w:rPr>
              <w:t>呼图壁街</w:t>
            </w:r>
            <w:r>
              <w:rPr>
                <w:rFonts w:hint="eastAsia" w:ascii="宋体" w:hAnsi="宋体" w:eastAsia="宋体" w:cs="宋体"/>
                <w:sz w:val="21"/>
                <w:szCs w:val="21"/>
                <w:vertAlign w:val="baseline"/>
                <w:lang w:val="en-US" w:eastAsia="zh-CN"/>
              </w:rPr>
              <w:t>道路现状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anchor distT="0" distB="0" distL="114300" distR="114300" simplePos="0" relativeHeight="251675648" behindDoc="0" locked="0" layoutInCell="1" allowOverlap="1">
                  <wp:simplePos x="0" y="0"/>
                  <wp:positionH relativeFrom="column">
                    <wp:posOffset>20320</wp:posOffset>
                  </wp:positionH>
                  <wp:positionV relativeFrom="paragraph">
                    <wp:posOffset>57150</wp:posOffset>
                  </wp:positionV>
                  <wp:extent cx="2797810" cy="4210685"/>
                  <wp:effectExtent l="0" t="0" r="2540" b="18415"/>
                  <wp:wrapTopAndBottom/>
                  <wp:docPr id="14" name="图片 14" descr="ca7c4d2cec10a4105afb84ff10c56cc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a7c4d2cec10a4105afb84ff10c56cc9_"/>
                          <pic:cNvPicPr>
                            <a:picLocks noChangeAspect="1"/>
                          </pic:cNvPicPr>
                        </pic:nvPicPr>
                        <pic:blipFill>
                          <a:blip r:embed="rId25"/>
                          <a:srcRect b="15356"/>
                          <a:stretch>
                            <a:fillRect/>
                          </a:stretch>
                        </pic:blipFill>
                        <pic:spPr>
                          <a:xfrm>
                            <a:off x="0" y="0"/>
                            <a:ext cx="2797810" cy="4210685"/>
                          </a:xfrm>
                          <a:prstGeom prst="rect">
                            <a:avLst/>
                          </a:prstGeom>
                        </pic:spPr>
                      </pic:pic>
                    </a:graphicData>
                  </a:graphic>
                </wp:anchor>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anchor distT="0" distB="0" distL="114300" distR="114300" simplePos="0" relativeHeight="251676672" behindDoc="0" locked="0" layoutInCell="1" allowOverlap="1">
                  <wp:simplePos x="0" y="0"/>
                  <wp:positionH relativeFrom="column">
                    <wp:posOffset>-39370</wp:posOffset>
                  </wp:positionH>
                  <wp:positionV relativeFrom="paragraph">
                    <wp:posOffset>76200</wp:posOffset>
                  </wp:positionV>
                  <wp:extent cx="2787650" cy="4194810"/>
                  <wp:effectExtent l="0" t="0" r="12700" b="15240"/>
                  <wp:wrapTopAndBottom/>
                  <wp:docPr id="15" name="图片 15" descr="c612f46f9a195eac9fbb1e2e051fdec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612f46f9a195eac9fbb1e2e051fdec7_"/>
                          <pic:cNvPicPr>
                            <a:picLocks noChangeAspect="1"/>
                          </pic:cNvPicPr>
                        </pic:nvPicPr>
                        <pic:blipFill>
                          <a:blip r:embed="rId26"/>
                          <a:stretch>
                            <a:fillRect/>
                          </a:stretch>
                        </pic:blipFill>
                        <pic:spPr>
                          <a:xfrm>
                            <a:off x="0" y="0"/>
                            <a:ext cx="2787650" cy="4194810"/>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t>怡沁里小区改造</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t>怡沁里小区内部道路</w:t>
            </w:r>
          </w:p>
        </w:tc>
      </w:tr>
    </w:tbl>
    <w:p>
      <w:pPr>
        <w:pStyle w:val="7"/>
        <w:keepNext w:val="0"/>
        <w:keepLines w:val="0"/>
        <w:pageBreakBefore w:val="0"/>
        <w:widowControl/>
        <w:kinsoku w:val="0"/>
        <w:wordWrap/>
        <w:overflowPunct/>
        <w:topLinePunct w:val="0"/>
        <w:autoSpaceDE w:val="0"/>
        <w:autoSpaceDN w:val="0"/>
        <w:bidi w:val="0"/>
        <w:adjustRightInd w:val="0"/>
        <w:snapToGrid w:val="0"/>
        <w:spacing w:before="0" w:after="0"/>
        <w:ind w:left="0" w:leftChars="0" w:firstLine="0" w:firstLineChars="0"/>
        <w:textAlignment w:val="baseline"/>
        <w:rPr>
          <w:rFonts w:hint="eastAsia"/>
          <w:lang w:eastAsia="zh-CN"/>
        </w:rPr>
      </w:pPr>
    </w:p>
    <w:p>
      <w:pPr>
        <w:pStyle w:val="7"/>
        <w:ind w:left="0" w:leftChars="0" w:firstLine="0" w:firstLineChars="0"/>
        <w:rPr>
          <w:rFonts w:hint="eastAsia"/>
          <w:lang w:eastAsia="zh-CN"/>
        </w:rPr>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r>
        <w:fldChar w:fldCharType="end"/>
      </w:r>
    </w:p>
    <w:p>
      <w:pPr>
        <w:pStyle w:val="17"/>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
      <w:pPr>
        <w:pStyle w:val="2"/>
      </w:pPr>
    </w:p>
    <w:p>
      <w:pPr>
        <w:pStyle w:val="2"/>
      </w:pPr>
    </w:p>
    <w:p>
      <w:pPr>
        <w:pStyle w:val="2"/>
      </w:pPr>
    </w:p>
    <w:p>
      <w:pPr>
        <w:pStyle w:val="2"/>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19"/>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73"/>
        <w:gridCol w:w="1394"/>
        <w:gridCol w:w="681"/>
        <w:gridCol w:w="951"/>
        <w:gridCol w:w="945"/>
        <w:gridCol w:w="270"/>
        <w:gridCol w:w="1034"/>
        <w:gridCol w:w="111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2015年基础</w:t>
            </w:r>
            <w:r>
              <w:rPr>
                <w:rFonts w:hint="eastAsia" w:ascii="宋体" w:hAnsi="宋体" w:eastAsia="宋体" w:cs="宋体"/>
                <w:spacing w:val="-1"/>
                <w:sz w:val="24"/>
                <w:szCs w:val="24"/>
                <w:lang w:val="en-US" w:eastAsia="zh-CN"/>
              </w:rPr>
              <w:t>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新疆润盛投资发展有限公司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3026" w:type="dxa"/>
            <w:gridSpan w:val="3"/>
            <w:vAlign w:val="center"/>
          </w:tcPr>
          <w:p>
            <w:pPr>
              <w:keepNext w:val="0"/>
              <w:keepLines w:val="0"/>
              <w:pageBreakBefore w:val="0"/>
              <w:widowControl/>
              <w:kinsoku/>
              <w:wordWrap/>
              <w:overflowPunct/>
              <w:topLinePunct w:val="0"/>
              <w:autoSpaceDE/>
              <w:autoSpaceDN/>
              <w:bidi w:val="0"/>
              <w:spacing w:line="221" w:lineRule="auto"/>
              <w:ind w:left="0" w:right="0" w:firstLine="0" w:firstLineChars="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鄂军将</w:t>
            </w:r>
          </w:p>
        </w:tc>
        <w:tc>
          <w:tcPr>
            <w:tcW w:w="1215" w:type="dxa"/>
            <w:gridSpan w:val="2"/>
            <w:vAlign w:val="center"/>
          </w:tcPr>
          <w:p>
            <w:pPr>
              <w:keepNext w:val="0"/>
              <w:keepLines w:val="0"/>
              <w:pageBreakBefore w:val="0"/>
              <w:widowControl/>
              <w:kinsoku/>
              <w:wordWrap/>
              <w:overflowPunct/>
              <w:topLinePunct w:val="0"/>
              <w:autoSpaceDE/>
              <w:autoSpaceDN/>
              <w:bidi w:val="0"/>
              <w:spacing w:line="222"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149" w:type="dxa"/>
            <w:gridSpan w:val="2"/>
            <w:vAlign w:val="center"/>
          </w:tcPr>
          <w:p>
            <w:pPr>
              <w:keepNext w:val="0"/>
              <w:keepLines w:val="0"/>
              <w:pageBreakBefore w:val="0"/>
              <w:widowControl/>
              <w:kinsoku/>
              <w:wordWrap/>
              <w:overflowPunct/>
              <w:topLinePunct w:val="0"/>
              <w:autoSpaceDE/>
              <w:autoSpaceDN/>
              <w:bidi w:val="0"/>
              <w:adjustRightInd w:val="0"/>
              <w:snapToGrid w:val="0"/>
              <w:spacing w:line="221"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张文娟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390" w:type="dxa"/>
            <w:gridSpan w:val="7"/>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伊犁州奎屯市喀什东路17号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075" w:type="dxa"/>
            <w:gridSpan w:val="2"/>
            <w:vAlign w:val="center"/>
          </w:tcPr>
          <w:p>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13565572558</w:t>
            </w:r>
          </w:p>
        </w:tc>
        <w:tc>
          <w:tcPr>
            <w:tcW w:w="951"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15" w:type="dxa"/>
            <w:gridSpan w:val="2"/>
            <w:vAlign w:val="center"/>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03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eastAsia" w:ascii="Times New Roman" w:hAnsi="Times New Roman" w:eastAsia="宋体" w:cs="Times New Roman"/>
                <w:spacing w:val="-2"/>
                <w:sz w:val="24"/>
                <w:szCs w:val="24"/>
                <w:highlight w:val="none"/>
                <w:lang w:val="en-US" w:eastAsia="zh-CN"/>
              </w:rPr>
              <w:t>32200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390" w:type="dxa"/>
            <w:gridSpan w:val="7"/>
            <w:vAlign w:val="center"/>
          </w:tcPr>
          <w:p>
            <w:pPr>
              <w:keepNext w:val="0"/>
              <w:keepLines w:val="0"/>
              <w:pageBreakBefore w:val="0"/>
              <w:widowControl/>
              <w:suppressLineNumbers w:val="0"/>
              <w:kinsoku/>
              <w:wordWrap/>
              <w:overflowPunct/>
              <w:topLinePunct w:val="0"/>
              <w:autoSpaceDE/>
              <w:autoSpaceDN/>
              <w:bidi w:val="0"/>
              <w:ind w:left="0" w:right="0" w:firstLine="0" w:firstLineChars="0"/>
              <w:jc w:val="center"/>
              <w:rPr>
                <w:rFonts w:hint="default" w:ascii="Times New Roman" w:hAnsi="Times New Roman" w:eastAsia="宋体" w:cs="Times New Roman"/>
                <w:sz w:val="24"/>
                <w:szCs w:val="24"/>
                <w:lang w:val="en-US"/>
              </w:rPr>
            </w:pPr>
            <w:r>
              <w:rPr>
                <w:rFonts w:hint="eastAsia" w:ascii="Times New Roman" w:hAnsi="Times New Roman" w:eastAsia="宋体" w:cs="Times New Roman"/>
                <w:color w:val="auto"/>
                <w:sz w:val="24"/>
                <w:szCs w:val="24"/>
                <w:u w:val="none"/>
                <w:lang w:val="en-US" w:eastAsia="zh-CN"/>
              </w:rPr>
              <w:t>奎屯-独山子经济技术开发区内</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207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896"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2419"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color w:val="000000"/>
                <w:sz w:val="24"/>
                <w:szCs w:val="24"/>
                <w:lang w:val="en-US" w:eastAsia="zh-CN"/>
              </w:rPr>
              <w:t>E4852管道工程建筑</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2015年</w:t>
            </w:r>
            <w:r>
              <w:rPr>
                <w:rFonts w:hint="eastAsia" w:ascii="宋体" w:hAnsi="宋体" w:eastAsia="宋体" w:cs="宋体"/>
                <w:spacing w:val="-1"/>
                <w:sz w:val="24"/>
                <w:szCs w:val="24"/>
                <w:lang w:val="en-US" w:eastAsia="zh-CN"/>
              </w:rPr>
              <w:t>基础设施建设项目</w:t>
            </w:r>
            <w:r>
              <w:rPr>
                <w:rFonts w:hint="default" w:ascii="Times New Roman" w:hAnsi="Times New Roman" w:eastAsia="宋体" w:cs="Times New Roman"/>
                <w:sz w:val="24"/>
                <w:szCs w:val="24"/>
              </w:rPr>
              <w:t>环境影响报告表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olor w:val="auto"/>
                <w:sz w:val="24"/>
                <w:szCs w:val="24"/>
                <w:lang w:eastAsia="zh-CN"/>
              </w:rPr>
              <w:t>新疆净源环境咨询有限公司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2"/>
                <w:szCs w:val="22"/>
                <w:lang w:val="en-US" w:eastAsia="zh-CN"/>
              </w:rPr>
            </w:pPr>
            <w:r>
              <w:rPr>
                <w:rFonts w:hint="eastAsia" w:ascii="Times New Roman" w:hAnsi="Times New Roman" w:eastAsia="宋体" w:cs="Times New Roman"/>
                <w:sz w:val="22"/>
                <w:szCs w:val="22"/>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原奎屯-独山子经济技术开发区环境保护局</w:t>
            </w:r>
          </w:p>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奎独开环函[2017]29号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32123</w:t>
            </w:r>
          </w:p>
        </w:tc>
        <w:tc>
          <w:tcPr>
            <w:tcW w:w="1632" w:type="dxa"/>
            <w:gridSpan w:val="2"/>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1096</w:t>
            </w:r>
          </w:p>
        </w:tc>
        <w:tc>
          <w:tcPr>
            <w:tcW w:w="1034" w:type="dxa"/>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3.41%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32123</w:t>
            </w:r>
          </w:p>
        </w:tc>
        <w:tc>
          <w:tcPr>
            <w:tcW w:w="1632" w:type="dxa"/>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1096</w:t>
            </w:r>
          </w:p>
        </w:tc>
        <w:tc>
          <w:tcPr>
            <w:tcW w:w="1034" w:type="dxa"/>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3.41%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3026" w:type="dxa"/>
            <w:gridSpan w:val="3"/>
            <w:vAlign w:val="center"/>
          </w:tcPr>
          <w:p>
            <w:pPr>
              <w:keepNext w:val="0"/>
              <w:keepLines w:val="0"/>
              <w:pageBreakBefore w:val="0"/>
              <w:widowControl w:val="0"/>
              <w:kinsoku/>
              <w:wordWrap/>
              <w:overflowPunct/>
              <w:topLinePunct w:val="0"/>
              <w:bidi w:val="0"/>
              <w:adjustRightInd/>
              <w:snapToGrid/>
              <w:spacing w:line="240" w:lineRule="auto"/>
              <w:ind w:firstLine="0" w:firstLineChars="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w:t>
            </w:r>
            <w:r>
              <w:rPr>
                <w:rFonts w:hint="eastAsia" w:ascii="Times New Roman" w:hAnsi="Times New Roman" w:eastAsia="宋体" w:cs="Times New Roman"/>
                <w:snapToGrid w:val="0"/>
                <w:sz w:val="24"/>
                <w:szCs w:val="24"/>
                <w:lang w:val="en-US" w:eastAsia="zh-CN"/>
              </w:rPr>
              <w:t>等</w:t>
            </w:r>
            <w:r>
              <w:rPr>
                <w:rFonts w:hint="default" w:ascii="Times New Roman" w:hAnsi="Times New Roman" w:eastAsia="宋体" w:cs="Times New Roman"/>
                <w:snapToGrid w:val="0"/>
                <w:sz w:val="24"/>
                <w:szCs w:val="24"/>
              </w:rPr>
              <w:t>。</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0000FF"/>
                <w:sz w:val="24"/>
                <w:szCs w:val="24"/>
              </w:rPr>
            </w:pPr>
            <w:r>
              <w:rPr>
                <w:rFonts w:hint="default" w:ascii="Times New Roman" w:hAnsi="Times New Roman" w:eastAsia="宋体" w:cs="Times New Roman"/>
                <w:color w:val="0000FF"/>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color w:val="0000FF"/>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color w:val="0000FF"/>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color w:val="0000FF"/>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color w:val="0000FF"/>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color w:val="0000FF"/>
                <w:spacing w:val="-4"/>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pStyle w:val="7"/>
              <w:keepNext w:val="0"/>
              <w:keepLines w:val="0"/>
              <w:pageBreakBefore w:val="0"/>
              <w:widowControl/>
              <w:kinsoku/>
              <w:wordWrap/>
              <w:overflowPunct/>
              <w:topLinePunct w:val="0"/>
              <w:autoSpaceDE/>
              <w:autoSpaceDN/>
              <w:bidi w:val="0"/>
              <w:adjustRightInd w:val="0"/>
              <w:snapToGrid w:val="0"/>
              <w:spacing w:after="0" w:line="240" w:lineRule="auto"/>
              <w:ind w:left="0" w:leftChars="0" w:right="0" w:firstLine="0" w:firstLineChars="0"/>
              <w:jc w:val="center"/>
              <w:textAlignment w:val="baseline"/>
              <w:rPr>
                <w:rFonts w:hint="default" w:eastAsia="宋体"/>
                <w:color w:val="auto"/>
                <w:lang w:val="en-US" w:eastAsia="zh-CN"/>
              </w:rPr>
            </w:pPr>
            <w:r>
              <w:rPr>
                <w:rFonts w:hint="default" w:ascii="Times New Roman" w:hAnsi="Times New Roman" w:eastAsia="Times New Roman" w:cs="Times New Roman"/>
                <w:color w:val="auto"/>
                <w:spacing w:val="-1"/>
                <w:sz w:val="24"/>
                <w:szCs w:val="24"/>
                <w:highlight w:val="none"/>
              </w:rPr>
              <w:t>20</w:t>
            </w:r>
            <w:r>
              <w:rPr>
                <w:rFonts w:hint="eastAsia" w:ascii="Times New Roman" w:hAnsi="Times New Roman" w:eastAsia="宋体" w:cs="Times New Roman"/>
                <w:color w:val="auto"/>
                <w:spacing w:val="-1"/>
                <w:sz w:val="24"/>
                <w:szCs w:val="24"/>
                <w:highlight w:val="none"/>
                <w:lang w:val="en-US" w:eastAsia="zh-CN"/>
              </w:rPr>
              <w:t>15</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6</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3026" w:type="dxa"/>
            <w:gridSpan w:val="3"/>
            <w:vAlign w:val="center"/>
          </w:tcPr>
          <w:p>
            <w:pPr>
              <w:keepNext w:val="0"/>
              <w:keepLines w:val="0"/>
              <w:pageBreakBefore w:val="0"/>
              <w:widowControl w:val="0"/>
              <w:kinsoku/>
              <w:wordWrap/>
              <w:overflowPunct/>
              <w:topLinePunct w:val="0"/>
              <w:bidi w:val="0"/>
              <w:adjustRightInd/>
              <w:snapToGrid/>
              <w:spacing w:line="240" w:lineRule="auto"/>
              <w:ind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w:t>
            </w:r>
            <w:r>
              <w:rPr>
                <w:rFonts w:hint="eastAsia" w:ascii="Times New Roman" w:hAnsi="Times New Roman" w:eastAsia="宋体" w:cs="Times New Roman"/>
                <w:snapToGrid w:val="0"/>
                <w:sz w:val="24"/>
                <w:szCs w:val="24"/>
                <w:lang w:val="en-US" w:eastAsia="zh-CN"/>
              </w:rPr>
              <w:t>等</w:t>
            </w:r>
            <w:r>
              <w:rPr>
                <w:rFonts w:hint="default" w:ascii="Times New Roman" w:hAnsi="Times New Roman" w:eastAsia="宋体" w:cs="Times New Roman"/>
                <w:snapToGrid w:val="0"/>
                <w:sz w:val="24"/>
                <w:szCs w:val="24"/>
              </w:rPr>
              <w:t>。</w:t>
            </w:r>
          </w:p>
        </w:tc>
        <w:tc>
          <w:tcPr>
            <w:tcW w:w="1215"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0000FF"/>
                <w:sz w:val="24"/>
                <w:szCs w:val="24"/>
              </w:rPr>
            </w:pPr>
            <w:r>
              <w:rPr>
                <w:rFonts w:hint="default" w:ascii="Times New Roman" w:hAnsi="Times New Roman" w:eastAsia="宋体" w:cs="Times New Roman"/>
                <w:color w:val="0000FF"/>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color w:val="0000FF"/>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color w:val="0000FF"/>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color w:val="0000FF"/>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color w:val="0000FF"/>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auto"/>
                <w:sz w:val="24"/>
                <w:szCs w:val="24"/>
                <w:highlight w:val="yellow"/>
                <w:lang w:val="en-US" w:eastAsia="zh-CN"/>
              </w:rPr>
            </w:pPr>
            <w:r>
              <w:rPr>
                <w:rFonts w:hint="default" w:ascii="Times New Roman" w:hAnsi="Times New Roman" w:eastAsia="Times New Roman" w:cs="Times New Roman"/>
                <w:color w:val="auto"/>
                <w:spacing w:val="-1"/>
                <w:sz w:val="24"/>
                <w:szCs w:val="24"/>
                <w:highlight w:val="none"/>
              </w:rPr>
              <w:t>202</w:t>
            </w:r>
            <w:r>
              <w:rPr>
                <w:rFonts w:hint="eastAsia" w:ascii="Times New Roman" w:hAnsi="Times New Roman" w:eastAsia="宋体" w:cs="Times New Roman"/>
                <w:color w:val="auto"/>
                <w:spacing w:val="-1"/>
                <w:sz w:val="24"/>
                <w:szCs w:val="24"/>
                <w:highlight w:val="none"/>
                <w:lang w:val="en-US" w:eastAsia="zh-CN"/>
              </w:rPr>
              <w:t>3</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9</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573" w:type="dxa"/>
            <w:vAlign w:val="center"/>
          </w:tcPr>
          <w:p>
            <w:pPr>
              <w:keepNext w:val="0"/>
              <w:keepLines w:val="0"/>
              <w:pageBreakBefore w:val="0"/>
              <w:widowControl/>
              <w:kinsoku/>
              <w:wordWrap/>
              <w:overflowPunct/>
              <w:topLinePunct w:val="0"/>
              <w:autoSpaceDE/>
              <w:autoSpaceDN/>
              <w:bidi w:val="0"/>
              <w:spacing w:line="219"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eastAsia" w:ascii="Times New Roman" w:hAnsi="Times New Roman" w:eastAsia="宋体" w:cs="Times New Roman"/>
                <w:spacing w:val="6"/>
                <w:sz w:val="24"/>
                <w:szCs w:val="24"/>
                <w:lang w:val="en-US" w:eastAsia="zh-CN"/>
              </w:rPr>
              <w:t>17</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7</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2015年</w:t>
            </w:r>
            <w:r>
              <w:rPr>
                <w:rFonts w:hint="eastAsia" w:ascii="宋体" w:hAnsi="宋体" w:eastAsia="宋体" w:cs="宋体"/>
                <w:spacing w:val="-1"/>
                <w:sz w:val="24"/>
                <w:szCs w:val="24"/>
                <w:lang w:val="en-US" w:eastAsia="zh-CN"/>
              </w:rPr>
              <w:t>基础设施建设项目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w:t>
            </w:r>
            <w:r>
              <w:rPr>
                <w:rFonts w:hint="eastAsia" w:ascii="Times New Roman" w:hAnsi="Times New Roman" w:eastAsia="宋体" w:cs="Times New Roman"/>
                <w:spacing w:val="-3"/>
                <w:sz w:val="24"/>
                <w:szCs w:val="24"/>
                <w:highlight w:val="none"/>
                <w:lang w:val="en-US" w:eastAsia="zh-CN"/>
              </w:rPr>
              <w:t>17</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7</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18</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原奎屯-独山子经济技术开发区环境保护局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w:t>
            </w:r>
            <w:r>
              <w:rPr>
                <w:rFonts w:hint="default" w:ascii="Times New Roman" w:hAnsi="Times New Roman" w:eastAsia="宋体" w:cs="Times New Roman"/>
                <w:spacing w:val="-1"/>
                <w:sz w:val="24"/>
                <w:szCs w:val="24"/>
                <w:lang w:val="en-US" w:eastAsia="zh-CN"/>
              </w:rPr>
              <w:t>区2015年基</w:t>
            </w:r>
            <w:r>
              <w:rPr>
                <w:rFonts w:hint="eastAsia" w:ascii="宋体" w:hAnsi="宋体" w:eastAsia="宋体" w:cs="宋体"/>
                <w:spacing w:val="-1"/>
                <w:sz w:val="24"/>
                <w:szCs w:val="24"/>
                <w:lang w:val="en-US" w:eastAsia="zh-CN"/>
              </w:rPr>
              <w:t>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Times New Roman" w:hAnsi="Times New Roman" w:eastAsia="宋体" w:cs="Times New Roman"/>
                <w:sz w:val="24"/>
                <w:szCs w:val="24"/>
                <w:lang w:val="en-US" w:eastAsia="zh-CN"/>
              </w:rPr>
              <w:t>奎独开环函[2017]29号</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pacing w:val="-3"/>
                <w:sz w:val="24"/>
                <w:szCs w:val="24"/>
                <w:lang w:val="en-US" w:eastAsia="zh-CN"/>
              </w:rPr>
              <w:t>；</w:t>
            </w:r>
          </w:p>
          <w:p>
            <w:pPr>
              <w:keepNext w:val="0"/>
              <w:keepLines w:val="0"/>
              <w:pageBreakBefore w:val="0"/>
              <w:widowControl/>
              <w:kinsoku/>
              <w:wordWrap/>
              <w:overflowPunct/>
              <w:topLinePunct w:val="0"/>
              <w:autoSpaceDE/>
              <w:autoSpaceDN/>
              <w:bidi w:val="0"/>
              <w:adjustRightInd/>
              <w:snapToGrid/>
              <w:spacing w:after="0" w:line="360" w:lineRule="auto"/>
              <w:ind w:left="0" w:leftChars="0" w:right="0" w:firstLine="0" w:firstLineChars="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highlight w:val="none"/>
                <w:lang w:eastAsia="zh-CN"/>
              </w:rPr>
              <w:t>本项目</w:t>
            </w:r>
            <w:r>
              <w:rPr>
                <w:rFonts w:hint="eastAsia" w:ascii="Times New Roman" w:hAnsi="Times New Roman" w:eastAsia="宋体" w:cs="Times New Roman"/>
                <w:spacing w:val="-1"/>
                <w:sz w:val="24"/>
                <w:szCs w:val="24"/>
                <w:highlight w:val="none"/>
                <w:lang w:val="en-US" w:eastAsia="zh-CN"/>
              </w:rPr>
              <w:t>于</w:t>
            </w:r>
            <w:r>
              <w:rPr>
                <w:rFonts w:hint="default" w:ascii="Times New Roman" w:hAnsi="Times New Roman" w:eastAsia="宋体" w:cs="Times New Roman"/>
                <w:spacing w:val="6"/>
                <w:sz w:val="24"/>
                <w:szCs w:val="24"/>
                <w:highlight w:val="none"/>
                <w:lang w:eastAsia="zh-CN"/>
              </w:rPr>
              <w:t>202</w:t>
            </w:r>
            <w:r>
              <w:rPr>
                <w:rFonts w:hint="eastAsia" w:ascii="Times New Roman" w:hAnsi="Times New Roman" w:eastAsia="宋体" w:cs="Times New Roman"/>
                <w:spacing w:val="6"/>
                <w:sz w:val="24"/>
                <w:szCs w:val="24"/>
                <w:highlight w:val="none"/>
                <w:lang w:val="en-US" w:eastAsia="zh-CN"/>
              </w:rPr>
              <w:t>3</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9</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新疆润盛投资发展有限公司</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新疆润盛投资发展有限公司奎屯-独山子经济技术开发</w:t>
            </w:r>
            <w:r>
              <w:rPr>
                <w:rFonts w:hint="default" w:ascii="Times New Roman" w:hAnsi="Times New Roman" w:eastAsia="宋体" w:cs="Times New Roman"/>
                <w:spacing w:val="-1"/>
                <w:sz w:val="24"/>
                <w:szCs w:val="24"/>
                <w:lang w:val="en-US" w:eastAsia="zh-CN"/>
              </w:rPr>
              <w:t>区2015年</w:t>
            </w:r>
            <w:r>
              <w:rPr>
                <w:rFonts w:hint="eastAsia" w:ascii="宋体" w:hAnsi="宋体" w:eastAsia="宋体" w:cs="宋体"/>
                <w:spacing w:val="-1"/>
                <w:sz w:val="24"/>
                <w:szCs w:val="24"/>
                <w:lang w:val="en-US" w:eastAsia="zh-CN"/>
              </w:rPr>
              <w:t>基础设施建设项目</w:t>
            </w:r>
            <w:r>
              <w:rPr>
                <w:rFonts w:hint="default" w:ascii="Times New Roman" w:hAnsi="Times New Roman" w:eastAsia="宋体" w:cs="Times New Roman"/>
                <w:spacing w:val="6"/>
                <w:sz w:val="24"/>
                <w:szCs w:val="24"/>
                <w:lang w:eastAsia="zh-CN"/>
              </w:rPr>
              <w:t>竣工环境保护验收调查报告表》。</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7" w:type="default"/>
          <w:pgSz w:w="11907" w:h="16839"/>
          <w:pgMar w:top="1803" w:right="1440" w:bottom="1633" w:left="1440" w:header="992" w:footer="991" w:gutter="0"/>
          <w:pgBorders>
            <w:top w:val="none" w:sz="0" w:space="0"/>
            <w:left w:val="none" w:sz="0" w:space="0"/>
            <w:bottom w:val="none" w:sz="0" w:space="0"/>
            <w:right w:val="none" w:sz="0" w:space="0"/>
          </w:pgBorders>
          <w:pgNumType w:fmt="decimal" w:start="1"/>
          <w:cols w:space="720" w:num="1"/>
        </w:sectPr>
      </w:pPr>
    </w:p>
    <w:p>
      <w:pPr>
        <w:pStyle w:val="3"/>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19"/>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9" w:hRule="atLeast"/>
        </w:trPr>
        <w:tc>
          <w:tcPr>
            <w:tcW w:w="568" w:type="dxa"/>
            <w:textDirection w:val="tbRlV"/>
            <w:vAlign w:val="top"/>
          </w:tcPr>
          <w:p>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新疆润盛投资发展有限公司奎屯-独山子经济技术开</w:t>
            </w:r>
            <w:r>
              <w:rPr>
                <w:rFonts w:hint="default" w:ascii="Times New Roman" w:hAnsi="Times New Roman" w:eastAsia="宋体" w:cs="Times New Roman"/>
                <w:spacing w:val="-1"/>
                <w:sz w:val="24"/>
                <w:szCs w:val="24"/>
                <w:lang w:val="en-US" w:eastAsia="zh-CN"/>
              </w:rPr>
              <w:t>发区2015</w:t>
            </w:r>
            <w:r>
              <w:rPr>
                <w:rFonts w:hint="eastAsia" w:ascii="宋体" w:hAnsi="宋体" w:eastAsia="宋体" w:cs="宋体"/>
                <w:spacing w:val="-1"/>
                <w:sz w:val="24"/>
                <w:szCs w:val="24"/>
                <w:lang w:val="en-US" w:eastAsia="zh-CN"/>
              </w:rPr>
              <w:t>年基础设施建设项目</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pacing w:val="-11"/>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eastAsia="宋体"/>
                <w:lang w:val="en-US" w:eastAsia="zh-CN"/>
              </w:rPr>
            </w:pPr>
            <w:r>
              <w:rPr>
                <w:rFonts w:hint="default"/>
                <w:sz w:val="24"/>
                <w:szCs w:val="24"/>
              </w:rPr>
              <w:t>（5）坚持对工程建设前期、建设期、运营期环境影响进行全过程分析</w:t>
            </w:r>
            <w:r>
              <w:rPr>
                <w:rFonts w:hint="eastAsia"/>
                <w:sz w:val="24"/>
                <w:szCs w:val="24"/>
                <w:lang w:eastAsia="zh-CN"/>
              </w:rPr>
              <w:t>的</w:t>
            </w:r>
            <w:r>
              <w:rPr>
                <w:rFonts w:hint="eastAsia"/>
                <w:sz w:val="24"/>
                <w:szCs w:val="24"/>
                <w:lang w:val="en-US" w:eastAsia="zh-CN"/>
              </w:rPr>
              <w:t>原则。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pPr>
              <w:keepNext w:val="0"/>
              <w:keepLines w:val="0"/>
              <w:pageBreakBefore w:val="0"/>
              <w:widowControl/>
              <w:kinsoku/>
              <w:wordWrap/>
              <w:overflowPunct w:val="0"/>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pPr>
        <w:pStyle w:val="3"/>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19"/>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1"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新疆润盛投资发展有限公司奎屯-独山子经济技术开</w:t>
            </w:r>
            <w:r>
              <w:rPr>
                <w:rFonts w:hint="default" w:ascii="Times New Roman" w:hAnsi="Times New Roman" w:eastAsia="宋体" w:cs="Times New Roman"/>
                <w:spacing w:val="-1"/>
                <w:sz w:val="24"/>
                <w:szCs w:val="24"/>
                <w:lang w:val="en-US" w:eastAsia="zh-CN"/>
              </w:rPr>
              <w:t>发区2015年基础设施建</w:t>
            </w:r>
            <w:r>
              <w:rPr>
                <w:rFonts w:hint="eastAsia" w:ascii="宋体" w:hAnsi="宋体" w:eastAsia="宋体" w:cs="宋体"/>
                <w:spacing w:val="-1"/>
                <w:sz w:val="24"/>
                <w:szCs w:val="24"/>
                <w:lang w:val="en-US" w:eastAsia="zh-CN"/>
              </w:rPr>
              <w:t>设项目</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）生态环境：道路及管线工程两侧各</w:t>
            </w:r>
            <w:r>
              <w:rPr>
                <w:rFonts w:hint="default" w:ascii="Times New Roman" w:hAnsi="Times New Roman" w:eastAsia="宋体" w:cs="Times New Roman"/>
                <w:snapToGrid w:val="0"/>
                <w:color w:val="000000"/>
                <w:kern w:val="0"/>
                <w:sz w:val="24"/>
                <w:szCs w:val="24"/>
                <w:lang w:val="en-US" w:eastAsia="zh-CN" w:bidi="ar"/>
              </w:rPr>
              <w:t>300m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w:t>
            </w:r>
            <w:r>
              <w:rPr>
                <w:rFonts w:hint="eastAsia" w:ascii="宋体" w:hAnsi="宋体" w:eastAsia="宋体" w:cs="宋体"/>
                <w:snapToGrid w:val="0"/>
                <w:color w:val="000000"/>
                <w:kern w:val="0"/>
                <w:sz w:val="24"/>
                <w:szCs w:val="24"/>
                <w:lang w:val="en-US" w:eastAsia="zh-CN" w:bidi="ar"/>
              </w:rPr>
              <w:t>）水环境：本项目施工期、运营期废水；</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w:t>
            </w:r>
            <w:r>
              <w:rPr>
                <w:rFonts w:hint="eastAsia" w:ascii="宋体" w:hAnsi="宋体" w:eastAsia="宋体" w:cs="宋体"/>
                <w:snapToGrid w:val="0"/>
                <w:color w:val="000000"/>
                <w:kern w:val="0"/>
                <w:sz w:val="24"/>
                <w:szCs w:val="24"/>
                <w:lang w:val="en-US" w:eastAsia="zh-CN" w:bidi="ar"/>
              </w:rPr>
              <w:t>）声环境：道路及管线工程两侧各</w:t>
            </w:r>
            <w:r>
              <w:rPr>
                <w:rFonts w:hint="default" w:ascii="Times New Roman" w:hAnsi="Times New Roman" w:eastAsia="宋体" w:cs="Times New Roman"/>
                <w:snapToGrid w:val="0"/>
                <w:color w:val="000000"/>
                <w:kern w:val="0"/>
                <w:sz w:val="24"/>
                <w:szCs w:val="24"/>
                <w:lang w:val="en-US" w:eastAsia="zh-CN" w:bidi="ar"/>
              </w:rPr>
              <w:t>200m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w:t>
            </w:r>
            <w:r>
              <w:rPr>
                <w:rFonts w:hint="eastAsia" w:ascii="宋体" w:hAnsi="宋体" w:eastAsia="宋体" w:cs="宋体"/>
                <w:snapToGrid w:val="0"/>
                <w:color w:val="000000"/>
                <w:kern w:val="0"/>
                <w:sz w:val="24"/>
                <w:szCs w:val="24"/>
                <w:lang w:val="en-US" w:eastAsia="zh-CN" w:bidi="ar"/>
              </w:rPr>
              <w:t>）环境空气：道路及管线工程两侧各</w:t>
            </w:r>
            <w:r>
              <w:rPr>
                <w:rFonts w:hint="default" w:ascii="Times New Roman" w:hAnsi="Times New Roman" w:eastAsia="宋体" w:cs="Times New Roman"/>
                <w:snapToGrid w:val="0"/>
                <w:color w:val="000000"/>
                <w:kern w:val="0"/>
                <w:sz w:val="24"/>
                <w:szCs w:val="24"/>
                <w:lang w:val="en-US" w:eastAsia="zh-CN" w:bidi="ar"/>
              </w:rPr>
              <w:t>500m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rFonts w:hint="default" w:ascii="Times New Roman" w:hAnsi="Times New Roman" w:eastAsia="宋体" w:cs="Times New Roman"/>
                <w:sz w:val="21"/>
                <w:szCs w:val="21"/>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）社会环境：本项目涉及的行政区域。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周围基础设施的施工过程中工程占地类型、实际情况，临时占地的恢复情况，取料场、弃渣场的恢复与防护情况。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w:t>
            </w:r>
            <w:r>
              <w:rPr>
                <w:rFonts w:hint="eastAsia" w:ascii="Times New Roman" w:hAnsi="Times New Roman" w:eastAsia="宋体" w:cs="Times New Roman"/>
                <w:spacing w:val="7"/>
                <w:sz w:val="24"/>
                <w:szCs w:val="24"/>
                <w:lang w:val="en-US" w:eastAsia="zh-CN"/>
              </w:rPr>
              <w:t>运营期</w:t>
            </w:r>
            <w:r>
              <w:rPr>
                <w:rFonts w:hint="default" w:ascii="Times New Roman" w:hAnsi="Times New Roman" w:eastAsia="宋体" w:cs="Times New Roman"/>
                <w:spacing w:val="7"/>
                <w:sz w:val="24"/>
                <w:szCs w:val="24"/>
              </w:rPr>
              <w:t>污水排放情况及去向。</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51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eastAsia" w:ascii="Times New Roman" w:hAnsi="Times New Roman" w:eastAsia="宋体" w:cs="Times New Roman"/>
                <w:spacing w:val="8"/>
                <w:sz w:val="24"/>
                <w:szCs w:val="24"/>
                <w:lang w:val="en-US" w:eastAsia="zh-CN"/>
              </w:rPr>
              <w:t>社会影响</w:t>
            </w:r>
            <w:r>
              <w:rPr>
                <w:rFonts w:hint="default" w:ascii="Times New Roman" w:hAnsi="Times New Roman" w:eastAsia="宋体" w:cs="Times New Roman"/>
                <w:spacing w:val="4"/>
                <w:sz w:val="24"/>
                <w:szCs w:val="24"/>
              </w:rPr>
              <w:t>：</w:t>
            </w:r>
            <w:r>
              <w:rPr>
                <w:rFonts w:hint="eastAsia" w:ascii="宋体" w:hAnsi="宋体" w:eastAsia="宋体" w:cs="宋体"/>
                <w:snapToGrid w:val="0"/>
                <w:color w:val="000000"/>
                <w:kern w:val="0"/>
                <w:sz w:val="24"/>
                <w:szCs w:val="24"/>
                <w:lang w:val="en-US" w:eastAsia="zh-CN" w:bidi="ar"/>
              </w:rPr>
              <w:t>施工期和运营期对周围居民的影响。</w:t>
            </w:r>
          </w:p>
        </w:tc>
      </w:tr>
    </w:tbl>
    <w:p>
      <w:pPr>
        <w:spacing w:line="74" w:lineRule="exact"/>
        <w:rPr>
          <w:rFonts w:hint="default" w:ascii="Times New Roman" w:hAnsi="Times New Roman" w:cs="Times New Roman"/>
        </w:rPr>
      </w:pPr>
    </w:p>
    <w:tbl>
      <w:tblPr>
        <w:tblStyle w:val="19"/>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0"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sz w:val="24"/>
                <w:szCs w:val="24"/>
              </w:rPr>
            </w:pPr>
            <w:r>
              <w:rPr>
                <w:rFonts w:hint="eastAsia" w:ascii="Times New Roman" w:hAnsi="Times New Roman" w:eastAsia="宋体" w:cs="Times New Roman"/>
                <w:color w:val="000000"/>
                <w:kern w:val="0"/>
                <w:sz w:val="24"/>
                <w:szCs w:val="24"/>
                <w:lang w:val="en-US" w:eastAsia="zh-CN" w:bidi="ar"/>
              </w:rPr>
              <w:t>本项目</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根据项目所处地理位置、施工期和运营期排污特征，确定本环评的主要环境保护目标为</w:t>
            </w:r>
            <w:r>
              <w:rPr>
                <w:rFonts w:hint="eastAsia" w:ascii="Times New Roman" w:hAnsi="Times New Roman" w:cs="Times New Roman"/>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(1)保护项目区所在的区域环境空气质量，不因本项目实施而降低空气质量级别，大气污染物排放执行《环境空气质量标准》(GB3095-2012)规定的二级标准。</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(2)保证项目所在区域水环境不受影响，保证不因项目建设而污染本区域地下水环境。环境地下水达到《地下水质量标准》(GB/T14848-93)中Ⅲ类标准，确保污水通过密闭管道排入市政管线。</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(3)保护建设区域的声环境。确保噪声控制在《声环境质量标准》(GB3096-2008)的2类、3类和4a类区标准，不降低厂界周围声环境质量。</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(4)确保项目所产生的固体废弃物均得到妥善处置。</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eastAsia"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本项目内容包含小区基础设施建设项目，本身就是一个敏感目标，根据项目周围环境质量状况，确定主要保护目标如下表</w:t>
            </w:r>
            <w:r>
              <w:rPr>
                <w:rFonts w:hint="eastAsia" w:ascii="Times New Roman" w:hAnsi="Times New Roman" w:cs="Times New Roman"/>
                <w:sz w:val="24"/>
                <w:szCs w:val="24"/>
                <w:lang w:val="en-US" w:eastAsia="zh-CN"/>
              </w:rPr>
              <w:t>：</w:t>
            </w:r>
          </w:p>
          <w:p>
            <w:pPr>
              <w:pStyle w:val="2"/>
              <w:keepNext w:val="0"/>
              <w:keepLines w:val="0"/>
              <w:pageBreakBefore w:val="0"/>
              <w:widowControl/>
              <w:kinsoku/>
              <w:wordWrap/>
              <w:overflowPunct/>
              <w:topLinePunct w:val="0"/>
              <w:autoSpaceDE/>
              <w:autoSpaceDN/>
              <w:bidi w:val="0"/>
              <w:adjustRightInd w:val="0"/>
              <w:snapToGrid w:val="0"/>
              <w:spacing w:line="240" w:lineRule="auto"/>
              <w:jc w:val="center"/>
              <w:textAlignment w:val="baseline"/>
              <w:rPr>
                <w:rFonts w:hint="default"/>
                <w:b/>
                <w:bCs/>
                <w:sz w:val="21"/>
                <w:szCs w:val="21"/>
                <w:lang w:val="en-US" w:eastAsia="zh-CN"/>
              </w:rPr>
            </w:pPr>
            <w:r>
              <w:rPr>
                <w:rFonts w:hint="eastAsia" w:cs="Times New Roman"/>
                <w:b/>
                <w:bCs/>
                <w:sz w:val="21"/>
                <w:szCs w:val="21"/>
                <w:lang w:val="en-US" w:eastAsia="zh-CN"/>
              </w:rPr>
              <w:t>表3-1  主要环境保护目标</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0"/>
              <w:gridCol w:w="887"/>
              <w:gridCol w:w="1333"/>
              <w:gridCol w:w="1577"/>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default" w:ascii="Times New Roman" w:hAnsi="Times New Roman" w:cs="Times New Roman"/>
                      <w:b/>
                      <w:bCs/>
                      <w:sz w:val="21"/>
                      <w:szCs w:val="21"/>
                      <w:vertAlign w:val="baseline"/>
                      <w:lang w:val="en-US" w:eastAsia="zh-CN"/>
                    </w:rPr>
                    <w:t>名称</w:t>
                  </w:r>
                </w:p>
              </w:tc>
              <w:tc>
                <w:tcPr>
                  <w:tcW w:w="531"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default" w:ascii="Times New Roman" w:hAnsi="Times New Roman" w:cs="Times New Roman"/>
                      <w:b/>
                      <w:bCs/>
                      <w:sz w:val="21"/>
                      <w:szCs w:val="21"/>
                      <w:vertAlign w:val="baseline"/>
                      <w:lang w:val="en-US" w:eastAsia="zh-CN"/>
                    </w:rPr>
                    <w:t>方位</w:t>
                  </w:r>
                </w:p>
              </w:tc>
              <w:tc>
                <w:tcPr>
                  <w:tcW w:w="79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default" w:ascii="Times New Roman" w:hAnsi="Times New Roman" w:cs="Times New Roman"/>
                      <w:b/>
                      <w:bCs/>
                      <w:sz w:val="21"/>
                      <w:szCs w:val="21"/>
                      <w:vertAlign w:val="baseline"/>
                      <w:lang w:val="en-US" w:eastAsia="zh-CN"/>
                    </w:rPr>
                    <w:t>距离（m）</w:t>
                  </w:r>
                </w:p>
              </w:tc>
              <w:tc>
                <w:tcPr>
                  <w:tcW w:w="944"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default" w:ascii="Times New Roman" w:hAnsi="Times New Roman" w:cs="Times New Roman"/>
                      <w:b/>
                      <w:bCs/>
                      <w:sz w:val="21"/>
                      <w:szCs w:val="21"/>
                      <w:vertAlign w:val="baseline"/>
                      <w:lang w:val="en-US" w:eastAsia="zh-CN"/>
                    </w:rPr>
                    <w:t>保护目标</w:t>
                  </w:r>
                </w:p>
              </w:tc>
              <w:tc>
                <w:tcPr>
                  <w:tcW w:w="191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default" w:ascii="Times New Roman" w:hAnsi="Times New Roman" w:cs="Times New Roman"/>
                      <w:b/>
                      <w:bCs/>
                      <w:sz w:val="21"/>
                      <w:szCs w:val="21"/>
                      <w:vertAlign w:val="baseline"/>
                      <w:lang w:val="en-US" w:eastAsia="zh-CN"/>
                    </w:rPr>
                    <w:t>保护级别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eastAsia="宋体" w:cs="Times New Roman"/>
                      <w:snapToGrid w:val="0"/>
                      <w:sz w:val="21"/>
                      <w:szCs w:val="21"/>
                    </w:rPr>
                    <w:t>怡沁里小区</w:t>
                  </w:r>
                </w:p>
              </w:tc>
              <w:tc>
                <w:tcPr>
                  <w:tcW w:w="531"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两侧</w:t>
                  </w:r>
                </w:p>
              </w:tc>
              <w:tc>
                <w:tcPr>
                  <w:tcW w:w="79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w:t>
                  </w:r>
                </w:p>
              </w:tc>
              <w:tc>
                <w:tcPr>
                  <w:tcW w:w="944"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居民</w:t>
                  </w:r>
                </w:p>
              </w:tc>
              <w:tc>
                <w:tcPr>
                  <w:tcW w:w="1918" w:type="pct"/>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《环境空气质量标准》(GB3095-2012)二级标准</w:t>
                  </w:r>
                </w:p>
                <w:p>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《声环境质量标准》(GB3096-2008)的2类和4a类区标准</w:t>
                  </w:r>
                </w:p>
              </w:tc>
            </w:tr>
          </w:tbl>
          <w:p>
            <w:pPr>
              <w:pStyle w:val="2"/>
              <w:rPr>
                <w:rFonts w:hint="default" w:ascii="Times New Roman" w:hAnsi="Times New Roman" w:cs="Times New Roman"/>
                <w:sz w:val="24"/>
                <w:szCs w:val="24"/>
                <w:lang w:val="en-US" w:eastAsia="zh-CN"/>
              </w:rPr>
            </w:pPr>
          </w:p>
          <w:p>
            <w:pPr>
              <w:pStyle w:val="2"/>
              <w:rPr>
                <w:rFonts w:hint="default" w:ascii="Times New Roman" w:hAnsi="Times New Roman" w:cs="Times New Roman"/>
                <w:sz w:val="24"/>
                <w:szCs w:val="24"/>
                <w:lang w:val="en-US"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pPr>
        <w:rPr>
          <w:rFonts w:hint="default" w:ascii="Times New Roman" w:hAnsi="Times New Roman" w:cs="Times New Roman"/>
          <w:sz w:val="21"/>
        </w:rPr>
      </w:pPr>
    </w:p>
    <w:p>
      <w:pPr>
        <w:rPr>
          <w:rFonts w:hint="default" w:ascii="Times New Roman" w:hAnsi="Times New Roman" w:cs="Times New Roman"/>
        </w:rPr>
        <w:sectPr>
          <w:footerReference r:id="rId8"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19"/>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5"/>
        <w:gridCol w:w="731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88" w:hRule="atLeast"/>
        </w:trPr>
        <w:tc>
          <w:tcPr>
            <w:tcW w:w="1755" w:type="dxa"/>
            <w:vAlign w:val="center"/>
          </w:tcPr>
          <w:p>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4"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pPr>
              <w:keepNext w:val="0"/>
              <w:keepLines w:val="0"/>
              <w:pageBreakBefore w:val="0"/>
              <w:widowControl/>
              <w:numPr>
                <w:ilvl w:val="0"/>
                <w:numId w:val="1"/>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6"/>
              <w:gridCol w:w="1839"/>
              <w:gridCol w:w="1827"/>
              <w:gridCol w:w="2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032" w:type="pct"/>
                  <w:noWrap w:val="0"/>
                  <w:vAlign w:val="center"/>
                </w:tcPr>
                <w:p>
                  <w:pPr>
                    <w:keepNext w:val="0"/>
                    <w:keepLines w:val="0"/>
                    <w:widowControl/>
                    <w:suppressLineNumbers w:val="0"/>
                    <w:spacing w:before="0" w:beforeAutospacing="0" w:after="0" w:afterAutospacing="0" w:line="0" w:lineRule="atLeast"/>
                    <w:ind w:left="0" w:right="0"/>
                    <w:jc w:val="both"/>
                    <w:rPr>
                      <w:rFonts w:hint="default" w:ascii="Times New Roman" w:hAnsi="Times New Roman" w:cs="Times New Roman"/>
                      <w:b/>
                      <w:bCs/>
                    </w:rPr>
                  </w:pPr>
                  <w:r>
                    <w:rPr>
                      <w:rFonts w:hint="default" w:ascii="Times New Roman" w:hAnsi="Times New Roman" w:cs="Times New Roman"/>
                      <w:b/>
                      <w:bCs/>
                    </w:rPr>
                    <w:t>污染物名称</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平均时间</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浓度限值μg/m</w:t>
                  </w:r>
                  <w:r>
                    <w:rPr>
                      <w:rFonts w:hint="default" w:ascii="Times New Roman" w:hAnsi="Times New Roman" w:cs="Times New Roman"/>
                      <w:b/>
                      <w:bCs/>
                      <w:vertAlign w:val="superscript"/>
                    </w:rPr>
                    <w:t>3</w:t>
                  </w:r>
                </w:p>
              </w:tc>
              <w:tc>
                <w:tcPr>
                  <w:tcW w:w="1454"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SO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500</w:t>
                  </w:r>
                </w:p>
              </w:tc>
              <w:tc>
                <w:tcPr>
                  <w:tcW w:w="1454"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《环境空气质量标准》（GB3095-2012）二级标准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NO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80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40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PM</w:t>
                  </w:r>
                  <w:r>
                    <w:rPr>
                      <w:rFonts w:hint="default" w:ascii="Times New Roman" w:hAnsi="Times New Roman" w:cs="Times New Roman"/>
                      <w:vertAlign w:val="subscript"/>
                    </w:rPr>
                    <w:t>10</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24小时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w:t>
                  </w:r>
                  <w:r>
                    <w:rPr>
                      <w:rFonts w:hint="default" w:ascii="Times New Roman" w:hAnsi="Times New Roman" w:cs="Times New Roman"/>
                      <w:lang w:val="en-US" w:eastAsia="zh-CN"/>
                    </w:rPr>
                    <w:t>平均</w:t>
                  </w:r>
                  <w:r>
                    <w:rPr>
                      <w:rFonts w:hint="default" w:ascii="Times New Roman" w:hAnsi="Times New Roman" w:cs="Times New Roman"/>
                    </w:rPr>
                    <w:t>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70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rPr>
                    <w:t>PM</w:t>
                  </w:r>
                  <w:r>
                    <w:rPr>
                      <w:rFonts w:hint="default" w:ascii="Times New Roman" w:hAnsi="Times New Roman" w:cs="Times New Roman"/>
                      <w:vertAlign w:val="subscript"/>
                      <w:lang w:val="en-US" w:eastAsia="zh-CN"/>
                    </w:rPr>
                    <w:t>2.5</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75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CO</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4000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10000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O</w:t>
                  </w:r>
                  <w:r>
                    <w:rPr>
                      <w:rFonts w:hint="default" w:ascii="Times New Roman" w:hAnsi="Times New Roman" w:cs="Times New Roman"/>
                      <w:vertAlign w:val="subscript"/>
                      <w:lang w:val="en-US" w:eastAsia="zh-CN"/>
                    </w:rPr>
                    <w:t>3</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日最大8小时平均值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w:t>
            </w:r>
            <w:r>
              <w:rPr>
                <w:rFonts w:hint="eastAsia" w:ascii="Times New Roman" w:hAnsi="Times New Roman" w:cs="Times New Roman"/>
                <w:sz w:val="24"/>
                <w:szCs w:val="24"/>
                <w:lang w:val="en-US" w:eastAsia="zh-CN"/>
              </w:rPr>
              <w:t>2类，3类和4a</w:t>
            </w:r>
            <w:r>
              <w:rPr>
                <w:rFonts w:hint="default" w:ascii="Times New Roman" w:hAnsi="Times New Roman" w:cs="Times New Roman"/>
                <w:sz w:val="24"/>
                <w:szCs w:val="24"/>
                <w:lang w:val="en-US" w:eastAsia="zh-CN"/>
              </w:rPr>
              <w:t>类标准要求。</w:t>
            </w:r>
          </w:p>
          <w:p>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2416"/>
              <w:gridCol w:w="26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49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60</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eastAsia" w:ascii="Times New Roman" w:hAnsi="Times New Roman" w:cs="Times New Roman"/>
                      <w:lang w:val="en-US" w:eastAsia="zh-CN"/>
                    </w:rPr>
                    <w:t>65</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4a类</w:t>
                  </w:r>
                </w:p>
              </w:tc>
              <w:tc>
                <w:tcPr>
                  <w:tcW w:w="2416" w:type="dxa"/>
                  <w:noWrap w:val="0"/>
                  <w:vAlign w:val="center"/>
                </w:tcPr>
                <w:p>
                  <w:pPr>
                    <w:keepNext w:val="0"/>
                    <w:keepLines w:val="0"/>
                    <w:widowControl/>
                    <w:suppressLineNumbers w:val="0"/>
                    <w:spacing w:before="0" w:beforeAutospacing="0" w:after="0" w:afterAutospacing="0" w:line="0" w:lineRule="atLeast"/>
                    <w:ind w:left="0" w:leftChars="0" w:right="0" w:rightChars="0"/>
                    <w:jc w:val="center"/>
                    <w:rPr>
                      <w:rFonts w:hint="eastAsia" w:ascii="Times New Roman" w:hAnsi="Times New Roman" w:cs="Times New Roman"/>
                      <w:lang w:val="en-US" w:eastAsia="zh-CN"/>
                    </w:rPr>
                  </w:pPr>
                  <w:r>
                    <w:rPr>
                      <w:rFonts w:hint="eastAsia" w:ascii="Times New Roman" w:hAnsi="Times New Roman" w:cs="Times New Roman"/>
                      <w:lang w:val="en-US" w:eastAsia="zh-CN"/>
                    </w:rPr>
                    <w:t>7</w:t>
                  </w:r>
                  <w:r>
                    <w:rPr>
                      <w:rFonts w:hint="default" w:ascii="Times New Roman" w:hAnsi="Times New Roman" w:cs="Times New Roman"/>
                      <w:lang w:val="en-US" w:eastAsia="zh-CN"/>
                    </w:rPr>
                    <w:t>0</w:t>
                  </w:r>
                </w:p>
              </w:tc>
              <w:tc>
                <w:tcPr>
                  <w:tcW w:w="2699" w:type="dxa"/>
                  <w:noWrap w:val="0"/>
                  <w:vAlign w:val="center"/>
                </w:tcPr>
                <w:p>
                  <w:pPr>
                    <w:keepNext w:val="0"/>
                    <w:keepLines w:val="0"/>
                    <w:widowControl/>
                    <w:suppressLineNumbers w:val="0"/>
                    <w:spacing w:before="0" w:beforeAutospacing="0" w:after="0" w:afterAutospacing="0" w:line="0" w:lineRule="atLeast"/>
                    <w:ind w:left="0" w:leftChars="0" w:right="0" w:rightChars="0"/>
                    <w:jc w:val="center"/>
                    <w:rPr>
                      <w:rFonts w:hint="default" w:ascii="Times New Roman" w:hAnsi="Times New Roman" w:cs="Times New Roman"/>
                    </w:rPr>
                  </w:pPr>
                  <w:r>
                    <w:rPr>
                      <w:rFonts w:hint="default" w:ascii="Times New Roman" w:hAnsi="Times New Roman" w:cs="Times New Roman"/>
                    </w:rPr>
                    <w:t>5</w:t>
                  </w:r>
                  <w:r>
                    <w:rPr>
                      <w:rFonts w:hint="eastAsia" w:ascii="Times New Roman" w:hAnsi="Times New Roman" w:eastAsia="宋体" w:cs="Times New Roman"/>
                      <w:lang w:val="en-US" w:eastAsia="zh-CN"/>
                    </w:rPr>
                    <w:t>5</w:t>
                  </w: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w:t>
            </w:r>
            <w:r>
              <w:rPr>
                <w:rFonts w:hint="eastAsia" w:ascii="Times New Roman" w:hAnsi="Times New Roman" w:cs="Times New Roman"/>
                <w:sz w:val="24"/>
                <w:szCs w:val="24"/>
                <w:lang w:val="en-US" w:eastAsia="zh-CN"/>
              </w:rPr>
              <w:t>地下水</w:t>
            </w:r>
            <w:r>
              <w:rPr>
                <w:rFonts w:hint="default" w:ascii="Times New Roman" w:hAnsi="Times New Roman" w:cs="Times New Roman"/>
                <w:sz w:val="24"/>
                <w:szCs w:val="24"/>
                <w:lang w:val="en-US" w:eastAsia="zh-CN"/>
              </w:rPr>
              <w:t>质量标准》(GB</w:t>
            </w:r>
            <w:r>
              <w:rPr>
                <w:rFonts w:hint="eastAsia" w:ascii="Times New Roman" w:hAnsi="Times New Roman" w:cs="Times New Roman"/>
                <w:sz w:val="24"/>
                <w:szCs w:val="24"/>
                <w:lang w:val="en-US" w:eastAsia="zh-CN"/>
              </w:rPr>
              <w:t>/T14848</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93</w:t>
            </w:r>
            <w:r>
              <w:rPr>
                <w:rFonts w:hint="default" w:ascii="Times New Roman" w:hAnsi="Times New Roman" w:cs="Times New Roman"/>
                <w:sz w:val="24"/>
                <w:szCs w:val="24"/>
                <w:lang w:val="en-US" w:eastAsia="zh-CN"/>
              </w:rPr>
              <w:t>)中</w:t>
            </w:r>
            <w:r>
              <w:rPr>
                <w:rFonts w:hint="default" w:ascii="Times New Roman" w:hAnsi="Times New Roman" w:eastAsia="宋体" w:cs="Times New Roman"/>
                <w:sz w:val="24"/>
                <w:szCs w:val="24"/>
                <w:lang w:val="en-US" w:eastAsia="zh-CN"/>
              </w:rPr>
              <w:t>Ⅲ</w:t>
            </w:r>
            <w:r>
              <w:rPr>
                <w:rFonts w:hint="default" w:ascii="Times New Roman" w:hAnsi="Times New Roman" w:cs="Times New Roman"/>
                <w:sz w:val="24"/>
                <w:szCs w:val="24"/>
                <w:lang w:val="en-US" w:eastAsia="zh-CN"/>
              </w:rPr>
              <w:t>类标准要求。</w:t>
            </w:r>
          </w:p>
          <w:p>
            <w:pPr>
              <w:rPr>
                <w:rFonts w:hint="default" w:ascii="Times New Roman" w:hAnsi="Times New Roman" w:cs="Times New Roma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5" w:type="dxa"/>
            <w:vAlign w:val="center"/>
          </w:tcPr>
          <w:p>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4" w:type="dxa"/>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1.《大气污染物综合排放标准》(GB16297-1996)中二级标准</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2.《污水综合排放标准》(GB8978-1996)中三级标准</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3.《工业企业厂界环境噪声排放标准》(GB12523-2011)</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4.《一般工业固体废物贮存</w:t>
            </w:r>
            <w:r>
              <w:rPr>
                <w:rFonts w:hint="eastAsia" w:ascii="Times New Roman" w:hAnsi="Times New Roman" w:eastAsia="宋体" w:cs="Times New Roman"/>
                <w:sz w:val="24"/>
                <w:szCs w:val="24"/>
                <w:lang w:val="en-US" w:eastAsia="zh-CN"/>
              </w:rPr>
              <w:t>和填埋</w:t>
            </w:r>
            <w:r>
              <w:rPr>
                <w:rFonts w:hint="default" w:ascii="Times New Roman" w:hAnsi="Times New Roman" w:eastAsia="Times New Roman" w:cs="Times New Roman"/>
                <w:sz w:val="24"/>
                <w:szCs w:val="24"/>
              </w:rPr>
              <w:t>污染控制标准》(GB18599-20</w:t>
            </w:r>
            <w:r>
              <w:rPr>
                <w:rFonts w:hint="eastAsia" w:ascii="Times New Roman" w:hAnsi="Times New Roman" w:eastAsia="宋体" w:cs="Times New Roman"/>
                <w:sz w:val="24"/>
                <w:szCs w:val="24"/>
                <w:lang w:val="en-US" w:eastAsia="zh-CN"/>
              </w:rPr>
              <w:t>20</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5.《</w:t>
            </w:r>
            <w:r>
              <w:rPr>
                <w:rFonts w:hint="eastAsia" w:ascii="Times New Roman" w:hAnsi="Times New Roman" w:eastAsia="宋体" w:cs="Times New Roman"/>
                <w:sz w:val="24"/>
                <w:szCs w:val="24"/>
                <w:lang w:val="en-US" w:eastAsia="zh-CN"/>
              </w:rPr>
              <w:t>工业企业厂界</w:t>
            </w:r>
            <w:r>
              <w:rPr>
                <w:rFonts w:hint="default" w:ascii="Times New Roman" w:hAnsi="Times New Roman" w:eastAsia="Times New Roman" w:cs="Times New Roman"/>
                <w:sz w:val="24"/>
                <w:szCs w:val="24"/>
              </w:rPr>
              <w:t>环境噪声排放标准》(GB</w:t>
            </w:r>
            <w:r>
              <w:rPr>
                <w:rFonts w:hint="eastAsia" w:ascii="Times New Roman" w:hAnsi="Times New Roman" w:eastAsia="宋体" w:cs="Times New Roman"/>
                <w:sz w:val="24"/>
                <w:szCs w:val="24"/>
                <w:lang w:val="en-US" w:eastAsia="zh-CN"/>
              </w:rPr>
              <w:t>12348</w:t>
            </w:r>
            <w:r>
              <w:rPr>
                <w:rFonts w:hint="default" w:ascii="Times New Roman" w:hAnsi="Times New Roman" w:eastAsia="Times New Roman" w:cs="Times New Roman"/>
                <w:sz w:val="24"/>
                <w:szCs w:val="24"/>
              </w:rPr>
              <w:t>-2008)</w:t>
            </w:r>
            <w:r>
              <w:rPr>
                <w:rFonts w:hint="eastAsia" w:ascii="Times New Roman" w:hAnsi="Times New Roman" w:eastAsia="宋体" w:cs="Times New Roman"/>
                <w:sz w:val="24"/>
                <w:szCs w:val="24"/>
                <w:lang w:eastAsia="zh-CN"/>
              </w:rPr>
              <w:t>的</w:t>
            </w:r>
            <w:r>
              <w:rPr>
                <w:rFonts w:hint="eastAsia" w:ascii="Times New Roman" w:hAnsi="Times New Roman" w:cs="Times New Roman"/>
                <w:sz w:val="24"/>
                <w:szCs w:val="24"/>
                <w:lang w:val="en-US" w:eastAsia="zh-CN"/>
              </w:rPr>
              <w:t>2类，3类、4a</w:t>
            </w:r>
            <w:r>
              <w:rPr>
                <w:rFonts w:hint="default" w:ascii="Times New Roman" w:hAnsi="Times New Roman" w:cs="Times New Roman"/>
                <w:sz w:val="24"/>
                <w:szCs w:val="24"/>
                <w:lang w:val="en-US" w:eastAsia="zh-CN"/>
              </w:rPr>
              <w:t>类标准</w:t>
            </w: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5" w:type="dxa"/>
            <w:vAlign w:val="center"/>
          </w:tcPr>
          <w:p>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4" w:type="dxa"/>
            <w:vAlign w:val="center"/>
          </w:tcPr>
          <w:p>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5" w:type="dxa"/>
            <w:vAlign w:val="center"/>
          </w:tcPr>
          <w:p>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）《建设项目竣工环境保护验收技术规范 水利水电》（HJ 464-2009）；</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5" w:type="dxa"/>
            <w:vAlign w:val="center"/>
          </w:tcPr>
          <w:p>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）关于印发《新疆维吾尔自治区环境影响评价管理中建设项目重大变动界定程序规定》的通知(新环环评发[2019]140号)；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13</w:t>
            </w:r>
            <w:r>
              <w:rPr>
                <w:rFonts w:hint="default" w:ascii="Times New Roman" w:hAnsi="Times New Roman" w:eastAsia="宋体" w:cs="Times New Roman"/>
                <w:spacing w:val="8"/>
                <w:sz w:val="24"/>
                <w:szCs w:val="24"/>
                <w:lang w:eastAsia="zh-CN"/>
              </w:rPr>
              <w:t>）20</w:t>
            </w:r>
            <w:r>
              <w:rPr>
                <w:rFonts w:hint="eastAsia" w:ascii="Times New Roman" w:hAnsi="Times New Roman" w:eastAsia="宋体" w:cs="Times New Roman"/>
                <w:spacing w:val="8"/>
                <w:sz w:val="24"/>
                <w:szCs w:val="24"/>
                <w:lang w:val="en-US" w:eastAsia="zh-CN"/>
              </w:rPr>
              <w:t>17</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新疆润盛投资发展有限公司奎屯-独山子经济技术开发区2015年基础设施建设项目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14</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w:t>
            </w:r>
            <w:r>
              <w:rPr>
                <w:rFonts w:hint="eastAsia" w:ascii="Times New Roman" w:hAnsi="Times New Roman" w:eastAsia="宋体" w:cs="Times New Roman"/>
                <w:spacing w:val="2"/>
                <w:sz w:val="24"/>
                <w:szCs w:val="24"/>
                <w:highlight w:val="none"/>
                <w:lang w:val="en-US" w:eastAsia="zh-CN"/>
              </w:rPr>
              <w:t>17</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7</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18</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原奎屯-独山子经济技术开发区环境保护局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新疆润盛投资发展有限公司奎屯-独山子经济技术开发区2015年基础设施建设项目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新疆润盛投资发展有限公司奎屯-独山子经济技术开发区2015年基础设施建设项目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Times New Roman" w:hAnsi="Times New Roman" w:eastAsia="宋体" w:cs="Times New Roman"/>
                <w:color w:val="auto"/>
                <w:sz w:val="24"/>
                <w:szCs w:val="24"/>
                <w:lang w:val="en-US" w:eastAsia="zh-CN"/>
              </w:rPr>
              <w:t>奎独开环函[2017]29号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15</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新疆润盛投资发展有限公司奎屯-独山子经济技术开发区2015年基础设施建设项目</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9"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19"/>
        <w:tblW w:w="91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162"/>
        <w:gridCol w:w="694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80" w:hRule="atLeast"/>
          <w:jc w:val="center"/>
        </w:trPr>
        <w:tc>
          <w:tcPr>
            <w:tcW w:w="2134" w:type="dxa"/>
            <w:vAlign w:val="center"/>
          </w:tcPr>
          <w:p>
            <w:pPr>
              <w:keepNext w:val="0"/>
              <w:keepLines w:val="0"/>
              <w:pageBreakBefore w:val="0"/>
              <w:widowControl/>
              <w:kinsoku/>
              <w:wordWrap/>
              <w:overflowPunct/>
              <w:topLinePunct w:val="0"/>
              <w:autoSpaceDE/>
              <w:autoSpaceDN/>
              <w:bidi w:val="0"/>
              <w:adjustRightInd/>
              <w:snapToGrid/>
              <w:spacing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6970" w:type="dxa"/>
            <w:vAlign w:val="center"/>
          </w:tcPr>
          <w:p>
            <w:pPr>
              <w:keepNext w:val="0"/>
              <w:keepLines w:val="0"/>
              <w:pageBreakBefore w:val="0"/>
              <w:widowControl/>
              <w:kinsoku/>
              <w:wordWrap/>
              <w:overflowPunct/>
              <w:topLinePunct w:val="0"/>
              <w:autoSpaceDE/>
              <w:autoSpaceDN/>
              <w:bidi w:val="0"/>
              <w:adjustRightInd/>
              <w:snapToGrid/>
              <w:spacing w:line="360" w:lineRule="auto"/>
              <w:ind w:firstLine="504" w:firstLineChars="200"/>
              <w:jc w:val="both"/>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新疆润盛投资发展有限公司奎屯-独山子经济技术开发区2015年基础设施建设项目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jc w:val="center"/>
        </w:trPr>
        <w:tc>
          <w:tcPr>
            <w:tcW w:w="2134" w:type="dxa"/>
            <w:vAlign w:val="center"/>
          </w:tcPr>
          <w:p>
            <w:pPr>
              <w:keepNext w:val="0"/>
              <w:keepLines w:val="0"/>
              <w:pageBreakBefore w:val="0"/>
              <w:widowControl/>
              <w:kinsoku/>
              <w:wordWrap/>
              <w:overflowPunct/>
              <w:topLinePunct w:val="0"/>
              <w:autoSpaceDE/>
              <w:autoSpaceDN/>
              <w:bidi w:val="0"/>
              <w:adjustRightInd/>
              <w:snapToGrid/>
              <w:spacing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6970" w:type="dxa"/>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b w:val="0"/>
                <w:bCs/>
                <w:color w:val="auto"/>
                <w:kern w:val="0"/>
                <w:sz w:val="24"/>
                <w:szCs w:val="24"/>
                <w:vertAlign w:val="baseline"/>
                <w:lang w:val="en-US" w:eastAsia="zh-CN" w:bidi="ar"/>
              </w:rPr>
            </w:pPr>
            <w:r>
              <w:rPr>
                <w:rFonts w:hint="default" w:ascii="Times New Roman" w:hAnsi="Times New Roman" w:eastAsia="宋体" w:cs="Times New Roman"/>
                <w:b w:val="0"/>
                <w:bCs/>
                <w:color w:val="auto"/>
                <w:kern w:val="0"/>
                <w:sz w:val="24"/>
                <w:szCs w:val="24"/>
                <w:vertAlign w:val="baseline"/>
                <w:lang w:val="en-US" w:eastAsia="zh-CN" w:bidi="ar"/>
              </w:rPr>
              <w:t>建设地点</w:t>
            </w:r>
            <w:r>
              <w:rPr>
                <w:rFonts w:hint="eastAsia" w:ascii="Times New Roman" w:hAnsi="Times New Roman" w:eastAsia="宋体" w:cs="Times New Roman"/>
                <w:b w:val="0"/>
                <w:bCs/>
                <w:color w:val="auto"/>
                <w:kern w:val="0"/>
                <w:sz w:val="24"/>
                <w:szCs w:val="24"/>
                <w:vertAlign w:val="baseline"/>
                <w:lang w:val="en-US" w:eastAsia="zh-CN" w:bidi="ar"/>
              </w:rPr>
              <w:t>：奎屯-独山子经济技术开发区范围内</w:t>
            </w:r>
            <w:r>
              <w:rPr>
                <w:rFonts w:hint="default" w:ascii="Times New Roman" w:hAnsi="Times New Roman" w:eastAsia="宋体" w:cs="Times New Roman"/>
                <w:b w:val="0"/>
                <w:bCs/>
                <w:color w:val="auto"/>
                <w:kern w:val="0"/>
                <w:sz w:val="24"/>
                <w:szCs w:val="24"/>
                <w:vertAlign w:val="baseline"/>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9104" w:type="dxa"/>
            <w:gridSpan w:val="2"/>
            <w:vAlign w:val="top"/>
          </w:tcPr>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建设内容及规模</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napToGrid w:val="0"/>
                <w:sz w:val="24"/>
                <w:szCs w:val="24"/>
              </w:rPr>
            </w:pP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kinsoku/>
              <w:wordWrap/>
              <w:overflowPunct/>
              <w:topLinePunct w:val="0"/>
              <w:autoSpaceDE/>
              <w:autoSpaceDN/>
              <w:bidi w:val="0"/>
              <w:adjustRightInd/>
              <w:snapToGrid/>
              <w:spacing w:line="360" w:lineRule="auto"/>
              <w:ind w:left="0" w:firstLine="4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工</w:t>
            </w:r>
            <w:r>
              <w:rPr>
                <w:rFonts w:hint="default" w:ascii="Times New Roman" w:hAnsi="Times New Roman" w:eastAsia="宋体" w:cs="Times New Roman"/>
                <w:spacing w:val="-8"/>
                <w:sz w:val="24"/>
                <w:szCs w:val="24"/>
              </w:rPr>
              <w:t>程</w:t>
            </w:r>
            <w:r>
              <w:rPr>
                <w:rFonts w:hint="default" w:ascii="Times New Roman" w:hAnsi="Times New Roman" w:eastAsia="宋体" w:cs="Times New Roman"/>
                <w:spacing w:val="-5"/>
                <w:sz w:val="24"/>
                <w:szCs w:val="24"/>
              </w:rPr>
              <w:t>建设内容见表</w:t>
            </w:r>
            <w:r>
              <w:rPr>
                <w:rFonts w:hint="default" w:ascii="Times New Roman" w:hAnsi="Times New Roman" w:eastAsia="宋体" w:cs="Times New Roman"/>
                <w:spacing w:val="-5"/>
                <w:sz w:val="24"/>
                <w:szCs w:val="24"/>
                <w:lang w:val="en-US" w:eastAsia="zh-CN"/>
              </w:rPr>
              <w:t>5</w:t>
            </w:r>
            <w:r>
              <w:rPr>
                <w:rFonts w:hint="default" w:ascii="Times New Roman" w:hAnsi="Times New Roman" w:eastAsia="Times New Roman" w:cs="Times New Roman"/>
                <w:spacing w:val="-5"/>
                <w:sz w:val="24"/>
                <w:szCs w:val="24"/>
              </w:rPr>
              <w:t>-1</w:t>
            </w:r>
            <w:r>
              <w:rPr>
                <w:rFonts w:hint="default" w:ascii="Times New Roman" w:hAnsi="Times New Roman" w:eastAsia="宋体" w:cs="Times New Roman"/>
                <w:spacing w:val="-5"/>
                <w:sz w:val="24"/>
                <w:szCs w:val="24"/>
              </w:rPr>
              <w:t>。</w:t>
            </w:r>
          </w:p>
          <w:p>
            <w:pPr>
              <w:keepNext w:val="0"/>
              <w:keepLines w:val="0"/>
              <w:pageBreakBefore w:val="0"/>
              <w:widowControl/>
              <w:kinsoku/>
              <w:wordWrap/>
              <w:overflowPunct/>
              <w:topLinePunct w:val="0"/>
              <w:autoSpaceDE/>
              <w:autoSpaceDN/>
              <w:bidi w:val="0"/>
              <w:adjustRightInd/>
              <w:snapToGrid/>
              <w:jc w:val="center"/>
              <w:textAlignment w:val="baseline"/>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z w:val="21"/>
                <w:szCs w:val="21"/>
                <w:highlight w:val="none"/>
                <w:lang w:val="en-US" w:eastAsia="zh-CN"/>
              </w:rPr>
              <w:t>5</w:t>
            </w:r>
            <w:r>
              <w:rPr>
                <w:rFonts w:hint="default" w:ascii="Times New Roman" w:hAnsi="Times New Roman" w:eastAsia="Times New Roman" w:cs="Times New Roman"/>
                <w:b/>
                <w:bCs/>
                <w:sz w:val="21"/>
                <w:szCs w:val="21"/>
                <w:highlight w:val="none"/>
              </w:rPr>
              <w:t>-</w:t>
            </w:r>
            <w:r>
              <w:rPr>
                <w:rFonts w:hint="eastAsia" w:ascii="Times New Roman" w:hAnsi="Times New Roman" w:eastAsia="宋体" w:cs="Times New Roman"/>
                <w:b/>
                <w:bCs/>
                <w:sz w:val="21"/>
                <w:szCs w:val="21"/>
                <w:highlight w:val="none"/>
                <w:lang w:val="en-US" w:eastAsia="zh-CN"/>
              </w:rPr>
              <w:t>1</w:t>
            </w:r>
            <w:r>
              <w:rPr>
                <w:rFonts w:hint="default" w:ascii="Times New Roman" w:hAnsi="Times New Roman" w:eastAsia="Times New Roman" w:cs="Times New Roman"/>
                <w:sz w:val="21"/>
                <w:szCs w:val="21"/>
                <w:highlight w:val="none"/>
              </w:rPr>
              <w:t xml:space="preserve">  </w:t>
            </w: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工程建设内容</w:t>
            </w:r>
          </w:p>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3"/>
              <w:gridCol w:w="1983"/>
              <w:gridCol w:w="1258"/>
              <w:gridCol w:w="2913"/>
              <w:gridCol w:w="1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48" w:type="pct"/>
                  <w:gridSpan w:val="4"/>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环评设计建设</w:t>
                  </w:r>
                </w:p>
              </w:tc>
              <w:tc>
                <w:tcPr>
                  <w:tcW w:w="951"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实际建情况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4048" w:type="pct"/>
                  <w:gridSpan w:val="4"/>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道路建设10km</w:t>
                  </w:r>
                </w:p>
              </w:tc>
              <w:tc>
                <w:tcPr>
                  <w:tcW w:w="951" w:type="pct"/>
                  <w:vMerge w:val="continue"/>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662"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项目类别</w:t>
                  </w:r>
                </w:p>
              </w:tc>
              <w:tc>
                <w:tcPr>
                  <w:tcW w:w="1091"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项目名称</w:t>
                  </w:r>
                </w:p>
              </w:tc>
              <w:tc>
                <w:tcPr>
                  <w:tcW w:w="692"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所在区域</w:t>
                  </w:r>
                </w:p>
              </w:tc>
              <w:tc>
                <w:tcPr>
                  <w:tcW w:w="1602"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建设内容</w:t>
                  </w:r>
                </w:p>
              </w:tc>
              <w:tc>
                <w:tcPr>
                  <w:tcW w:w="951" w:type="pct"/>
                  <w:vMerge w:val="continue"/>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道路</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南环路道路改造及附属配套工程</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南环路4670m道路白改黑，更换路沿石，两侧路肩铺装；</w:t>
                  </w:r>
                </w:p>
              </w:tc>
              <w:tc>
                <w:tcPr>
                  <w:tcW w:w="951"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呼图壁街道路改造及附属配套工程</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呼图壁街道路改造1467m,更换路沿石，两侧路肩铺装；</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健康路道路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健康路南北向道路长400m及绿化亮化工程，宽16m；</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纵五路道路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南区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纵五路道路长350m及绿化亮化工程，宽16m；</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瑞康路道路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瑞康路(东翔路-佰郑集团)道路及绿化亮化工程；</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东翔路道路扩宽</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东区工业园</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东期路辅道加宽长1600m,(16m原有道路西例加14m宽道路)；</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662"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供</w:t>
                  </w:r>
                  <w:r>
                    <w:rPr>
                      <w:rFonts w:hint="default" w:ascii="Times New Roman" w:hAnsi="Times New Roman" w:eastAsia="宋体" w:cs="Times New Roman"/>
                      <w:color w:val="auto"/>
                      <w:sz w:val="21"/>
                      <w:szCs w:val="21"/>
                      <w:vertAlign w:val="baseline"/>
                      <w:lang w:val="en-US" w:eastAsia="zh-CN"/>
                    </w:rPr>
                    <w:t>排水管线</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配套企业排水</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怕欣棉业区域内排水管线；</w:t>
                  </w:r>
                </w:p>
              </w:tc>
              <w:tc>
                <w:tcPr>
                  <w:tcW w:w="951"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水厂至兴业路供水线</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水厂至兴业路供水线路4公里，DN500,600；</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成事路排水管线</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水厂至兴业路供水线路4公里DN500、600；</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公安局配套工程</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公安局道路、供排水、及供热管网工程；</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lang w:val="en-US" w:eastAsia="zh-CN"/>
                    </w:rPr>
                    <w:t>供热工程</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管网工程</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napToGrid w:val="0"/>
                      <w:color w:val="auto"/>
                      <w:kern w:val="0"/>
                      <w:sz w:val="21"/>
                      <w:szCs w:val="21"/>
                      <w:lang w:val="en-US" w:eastAsia="zh-CN" w:bidi="ar"/>
                    </w:rPr>
                    <w:t>至中小企业创业园、公安局管网：</w:t>
                  </w:r>
                </w:p>
              </w:tc>
              <w:tc>
                <w:tcPr>
                  <w:tcW w:w="951"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换热站工程</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换热站工程3座；</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南区蒸汽管线</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南区至纵五路新建企业蒸汽管线1514m；</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蒸汽管线</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蒸汽管线至高温水换热站管线700m；</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绿化</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阿克苏路绿化改造</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对沿阿克苏路路林床进行改造，更换部分苗木</w:t>
                  </w:r>
                </w:p>
              </w:tc>
              <w:tc>
                <w:tcPr>
                  <w:tcW w:w="951" w:type="pct"/>
                  <w:vMerge w:val="restart"/>
                  <w:vAlign w:val="center"/>
                </w:tcPr>
                <w:p>
                  <w:pPr>
                    <w:keepNext w:val="0"/>
                    <w:keepLines w:val="0"/>
                    <w:widowControl w:val="0"/>
                    <w:suppressLineNumbers w:val="0"/>
                    <w:spacing w:before="0" w:beforeAutospacing="0" w:after="0" w:afterAutospacing="0"/>
                    <w:ind w:left="0" w:right="0"/>
                    <w:jc w:val="center"/>
                    <w:rPr>
                      <w:rFonts w:hint="default"/>
                      <w:color w:val="auto"/>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兴业路绿化</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兴业路道路两侧绿化带8m×2，土方、滴灌，苗木及种植；</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东翔路绿化</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东翔路绿化土方、滴灌、苗木及种植；</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东工业园水厂绿化</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东工业园水厂绿化；</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62"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亮化路灯</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呼图壁街路灯更换</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呼图壁街路灯拆除就更换路灯60盏；</w:t>
                  </w:r>
                </w:p>
              </w:tc>
              <w:tc>
                <w:tcPr>
                  <w:tcW w:w="951"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color w:val="auto"/>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迎宾大道一兴业路路口红绿灯更换</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北一区迎宾大道—兴业路路口红绿灯设置；</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东翔路路灯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东翔路安装路灯78盏：</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北一区增设红绿灯、黄闪灯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部分路口加装红绿灯(阿克苏路一处，喀什路一处，兴业路、哈密街路口加装黄闪灯；</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黄闪灯设置</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东工业园安装黄闪灯3处，北一区一处；</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东工业园水厂亮化</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东工业园区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水厂亮化工程；</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兴业路路灯</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兴业路安装路灯164盏；</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662"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电力线路架设</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水厂、华盛热力双回路电源设置</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南区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建设水厂双同路电源，供热站双回路电源；</w:t>
                  </w:r>
                </w:p>
              </w:tc>
              <w:tc>
                <w:tcPr>
                  <w:tcW w:w="951"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color w:val="auto"/>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662"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中小企业创业园外网高压电</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中小企业创业园外网高压电；</w:t>
                  </w:r>
                </w:p>
              </w:tc>
              <w:tc>
                <w:tcPr>
                  <w:tcW w:w="951"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66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小区改造</w:t>
                  </w:r>
                </w:p>
              </w:tc>
              <w:tc>
                <w:tcPr>
                  <w:tcW w:w="109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snapToGrid w:val="0"/>
                      <w:color w:val="auto"/>
                      <w:kern w:val="0"/>
                      <w:sz w:val="21"/>
                      <w:szCs w:val="21"/>
                      <w:lang w:val="en-US" w:eastAsia="zh-CN" w:bidi="ar"/>
                    </w:rPr>
                    <w:t>怡沁里小区改造</w:t>
                  </w:r>
                </w:p>
              </w:tc>
              <w:tc>
                <w:tcPr>
                  <w:tcW w:w="69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北一区</w:t>
                  </w:r>
                </w:p>
              </w:tc>
              <w:tc>
                <w:tcPr>
                  <w:tcW w:w="160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snapToGrid w:val="0"/>
                      <w:color w:val="auto"/>
                      <w:kern w:val="0"/>
                      <w:sz w:val="21"/>
                      <w:szCs w:val="21"/>
                      <w:lang w:val="en-US" w:eastAsia="zh-CN" w:bidi="ar"/>
                    </w:rPr>
                    <w:t>对小区内供排水、供热主管网、道路进行改造，小区新增门卫室、路灯、园林小路等配套设施，对楼前供水、排水、供热管线进行更换，违建拆除。</w:t>
                  </w:r>
                </w:p>
              </w:tc>
              <w:tc>
                <w:tcPr>
                  <w:tcW w:w="95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与环评一致</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b/>
                <w:bCs/>
                <w:color w:val="auto"/>
                <w:sz w:val="28"/>
                <w:szCs w:val="28"/>
                <w:lang w:val="en-US" w:eastAsia="zh-CN"/>
              </w:rPr>
              <w:t>5</w:t>
            </w:r>
            <w:r>
              <w:rPr>
                <w:rFonts w:hint="default" w:ascii="Times New Roman" w:hAnsi="Times New Roman" w:eastAsia="Times New Roman" w:cs="Times New Roman"/>
                <w:b/>
                <w:bCs/>
                <w:color w:val="auto"/>
                <w:sz w:val="28"/>
                <w:szCs w:val="28"/>
              </w:rPr>
              <w:t>.2</w:t>
            </w:r>
            <w:r>
              <w:rPr>
                <w:rFonts w:hint="default" w:ascii="Times New Roman" w:hAnsi="Times New Roman" w:eastAsia="宋体" w:cs="Times New Roman"/>
                <w:b/>
                <w:bCs/>
                <w:color w:val="auto"/>
                <w:sz w:val="28"/>
                <w:szCs w:val="28"/>
                <w:lang w:val="en-US" w:eastAsia="zh-CN"/>
              </w:rPr>
              <w:t xml:space="preserve"> </w:t>
            </w:r>
            <w:r>
              <w:rPr>
                <w:rFonts w:hint="eastAsia" w:ascii="Times New Roman" w:hAnsi="Times New Roman" w:eastAsia="宋体" w:cs="Times New Roman"/>
                <w:color w:val="auto"/>
                <w:sz w:val="28"/>
                <w:szCs w:val="28"/>
                <w:lang w:val="en-US" w:eastAsia="zh-CN"/>
                <w14:textOutline w14:w="5094" w14:cap="flat" w14:cmpd="sng">
                  <w14:solidFill>
                    <w14:srgbClr w14:val="000000"/>
                  </w14:solidFill>
                  <w14:prstDash w14:val="solid"/>
                  <w14:miter w14:val="0"/>
                </w14:textOutline>
              </w:rPr>
              <w:t>公用及辅助设施</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（1）供电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经开区电网作为奎屯区域电网的一部分，其电源主要来自两方面，一是外部电源供给，主要是东部的玛纳斯电厂和西部</w:t>
            </w:r>
            <w:r>
              <w:rPr>
                <w:rFonts w:hint="default" w:ascii="Times New Roman" w:hAnsi="Times New Roman" w:eastAsia="宋体" w:cs="Times New Roman"/>
                <w:snapToGrid w:val="0"/>
                <w:color w:val="000000"/>
                <w:kern w:val="0"/>
                <w:sz w:val="24"/>
                <w:szCs w:val="24"/>
                <w:lang w:val="en-US" w:eastAsia="zh-CN" w:bidi="ar"/>
              </w:rPr>
              <w:t>新建的750kV变电</w:t>
            </w:r>
            <w:r>
              <w:rPr>
                <w:rFonts w:hint="eastAsia" w:ascii="宋体" w:hAnsi="宋体" w:eastAsia="宋体" w:cs="宋体"/>
                <w:snapToGrid w:val="0"/>
                <w:color w:val="000000"/>
                <w:kern w:val="0"/>
                <w:sz w:val="24"/>
                <w:szCs w:val="24"/>
                <w:lang w:val="en-US" w:eastAsia="zh-CN" w:bidi="ar"/>
              </w:rPr>
              <w:t>站；另一方面依赖自身内部电厂的出力，主要为宝塔电厂及锦江热电和华盛热电。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宋体" w:hAnsi="宋体" w:eastAsia="宋体" w:cs="宋体"/>
                <w:snapToGrid w:val="0"/>
                <w:color w:val="000000"/>
                <w:kern w:val="0"/>
                <w:sz w:val="24"/>
                <w:szCs w:val="24"/>
                <w:lang w:val="en-US" w:eastAsia="zh-CN" w:bidi="ar"/>
              </w:rPr>
              <w:t>项目用电由市政供电系统供给，电力供应充足。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kern w:val="0"/>
                <w:sz w:val="24"/>
                <w:szCs w:val="24"/>
                <w:lang w:val="en-US" w:eastAsia="zh-CN" w:bidi="ar"/>
              </w:rPr>
              <w:t>（2）供暖</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北一区分为3个供热片区。其中，综合配套区及火车站两个片区，分别由现状供热站经改造后的燃气锅炉集中供热。北一区东部工业用地为1个供热片区，规划由锦江热电集中供热。现状锦江热电厂近期保留，远期随城市建设用地调整，向东部搬迁扩建，规划搬迁至喀什路与黑龙江路交叉口，占地28.73h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规模为2台9.8MPa、460t/h的高温高压蒸汽锅炉。</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本项目所需供热单位采用园区集中供热，热源有保证</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（3）给排水</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本项目主要用水单位为怡沁里小区及配套绿化工程。目前北一区生活用水充分利用现有管网，覆盖区内所有地区，新建管网主管道沿喀什东路、黄河路等道路铺设，管径DN</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00～DN600毫米。工业用水管网主管道沿南环东路、阿克苏东路、哈密街、牡丹江路、部善街、115省道等道路铺设，管径DN600～DN1200毫米。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根据《奎屯-独山子经济技术开发区总体规划(2012-2030)》</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经开区北一区工业废水排放至奎屯市东区污水处理厂处理。奎屯市东区污水处理厂位于奎屯市东郊公路以北，玛依涛路以西，巴志托朗格路以东的地块内。规模为6万m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default" w:ascii="Times New Roman" w:hAnsi="Times New Roman" w:eastAsia="宋体" w:cs="Times New Roman"/>
                <w:snapToGrid w:val="0"/>
                <w:color w:val="000000"/>
                <w:kern w:val="0"/>
                <w:sz w:val="24"/>
                <w:szCs w:val="24"/>
                <w:lang w:val="en-US" w:eastAsia="zh-CN" w:bidi="ar"/>
              </w:rPr>
              <w:t>/d，处理工艺为水解+A/O工艺，出水水质可以满足《城镇污水处理厂污染物排放标准》(GB18918-2002)中的一级B标准。</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本项目主要废水为怡沁里小区产生的生活污水，废水可直接排入园区下水管网排至奎屯市东区污水处理厂处理。</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（4）供暖</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北一区分为3个供热片区。其中，综合配套区及火车站两个片区，分别由现状供热站经改造后的燃气锅炉集中供热。北一区东部工业用地为1个供热片区，规划由锦江热电集中供热。现状锦江热电厂近期保留，远期随城市建设用地调整，向东部搬迁扩建，规划搬迁至喀什路与黑龙江路交叉口，占地28.73h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,规模为2台9.8MPa、460t/h的高温高压蒸汽锅炉。</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本项目所需供热单位采用园区集中供热，热源有保证。</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eastAsia="宋体" w:cs="Times New Roman"/>
                <w:snapToGrid w:val="0"/>
                <w:color w:val="000000"/>
                <w:kern w:val="0"/>
                <w:sz w:val="24"/>
                <w:szCs w:val="24"/>
                <w:lang w:val="en-US" w:eastAsia="zh-CN" w:bidi="ar"/>
              </w:rPr>
              <w:t>（5）</w:t>
            </w:r>
            <w:r>
              <w:rPr>
                <w:rFonts w:hint="default" w:ascii="Times New Roman" w:hAnsi="Times New Roman" w:eastAsia="宋体" w:cs="Times New Roman"/>
                <w:snapToGrid w:val="0"/>
                <w:color w:val="000000"/>
                <w:kern w:val="0"/>
                <w:sz w:val="24"/>
                <w:szCs w:val="24"/>
                <w:lang w:val="en-US" w:eastAsia="zh-CN" w:bidi="ar"/>
              </w:rPr>
              <w:t>固废处置</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依据《奎屯-独山子经济技术开发区总体规划(2012-2030)》和《奎屯-独山子经济技术开发区环卫专项规划(2012-2030)》</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在开干齐乡中部东边界新</w:t>
            </w:r>
            <w:r>
              <w:rPr>
                <w:rFonts w:hint="eastAsia" w:ascii="宋体" w:hAnsi="宋体" w:eastAsia="宋体" w:cs="宋体"/>
                <w:snapToGrid w:val="0"/>
                <w:color w:val="000000"/>
                <w:kern w:val="0"/>
                <w:sz w:val="24"/>
                <w:szCs w:val="24"/>
                <w:lang w:val="en-US" w:eastAsia="zh-CN" w:bidi="ar"/>
              </w:rPr>
              <w:t>建“奎-独-乌”区域</w:t>
            </w:r>
            <w:r>
              <w:rPr>
                <w:rFonts w:hint="default" w:ascii="Times New Roman" w:hAnsi="Times New Roman" w:eastAsia="宋体" w:cs="Times New Roman"/>
                <w:snapToGrid w:val="0"/>
                <w:color w:val="000000"/>
                <w:kern w:val="0"/>
                <w:sz w:val="24"/>
                <w:szCs w:val="24"/>
                <w:lang w:val="en-US" w:eastAsia="zh-CN" w:bidi="ar"/>
              </w:rPr>
              <w:t>性固体废物处理中心，配套建设各类固体废物处理处置设施，包括生活垃圾焚烧厂及其配套建设的焚烧残渣卫生填埋场，一般工业固体废物贮存、处置场，医疗等特种垃圾处理中心和危险废物处理处置中心。</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经开区北一区居</w:t>
            </w:r>
            <w:r>
              <w:rPr>
                <w:rFonts w:hint="eastAsia" w:ascii="宋体" w:hAnsi="宋体" w:eastAsia="宋体" w:cs="宋体"/>
                <w:snapToGrid w:val="0"/>
                <w:color w:val="000000"/>
                <w:kern w:val="0"/>
                <w:sz w:val="24"/>
                <w:szCs w:val="24"/>
                <w:lang w:val="en-US" w:eastAsia="zh-CN" w:bidi="ar"/>
              </w:rPr>
              <w:t>住片区(集宿用地)和沙湾街居住片区(商品房)的生活垃圾纳入</w:t>
            </w:r>
            <w:r>
              <w:rPr>
                <w:rFonts w:hint="default" w:ascii="Times New Roman" w:hAnsi="Times New Roman" w:eastAsia="宋体" w:cs="Times New Roman"/>
                <w:snapToGrid w:val="0"/>
                <w:color w:val="000000"/>
                <w:kern w:val="0"/>
                <w:sz w:val="24"/>
                <w:szCs w:val="24"/>
                <w:lang w:val="en-US" w:eastAsia="zh-CN" w:bidi="ar"/>
              </w:rPr>
              <w:t>奎屯中心城区生活垃圾收运系统统一收运。</w:t>
            </w:r>
          </w:p>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w:t>
            </w:r>
            <w:r>
              <w:rPr>
                <w:rFonts w:hint="eastAsia" w:ascii="Times New Roman" w:hAnsi="Times New Roman" w:eastAsia="宋体" w:cs="Times New Roman"/>
                <w:b/>
                <w:bCs/>
                <w:sz w:val="28"/>
                <w:szCs w:val="28"/>
                <w:lang w:val="en-US" w:eastAsia="zh-CN"/>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不涉及</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重大变更。</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详见表5-2。</w:t>
            </w:r>
          </w:p>
          <w:p>
            <w:pPr>
              <w:keepNext w:val="0"/>
              <w:keepLines w:val="0"/>
              <w:pageBreakBefore w:val="0"/>
              <w:widowControl/>
              <w:kinsoku/>
              <w:wordWrap/>
              <w:overflowPunct/>
              <w:topLinePunct w:val="0"/>
              <w:autoSpaceDE/>
              <w:autoSpaceDN/>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default" w:ascii="Times New Roman" w:hAnsi="Times New Roman" w:eastAsia="Times New Roman" w:cs="Times New Roman"/>
                <w:b/>
                <w:bCs/>
                <w:spacing w:val="6"/>
                <w:sz w:val="21"/>
                <w:szCs w:val="21"/>
              </w:rPr>
              <w:t>-</w:t>
            </w:r>
            <w:r>
              <w:rPr>
                <w:rFonts w:hint="default" w:ascii="Times New Roman" w:hAnsi="Times New Roman" w:eastAsia="宋体" w:cs="Times New Roman"/>
                <w:b/>
                <w:bCs/>
                <w:spacing w:val="6"/>
                <w:sz w:val="21"/>
                <w:szCs w:val="21"/>
                <w:lang w:val="en-US" w:eastAsia="zh-CN"/>
              </w:rPr>
              <w:t>2</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pPr>
              <w:keepNext w:val="0"/>
              <w:keepLines w:val="0"/>
              <w:pageBreakBefore w:val="0"/>
              <w:widowControl/>
              <w:kinsoku/>
              <w:wordWrap/>
              <w:overflowPunct/>
              <w:topLinePunct w:val="0"/>
              <w:autoSpaceDE/>
              <w:autoSpaceDN/>
              <w:bidi w:val="0"/>
              <w:adjustRightInd/>
              <w:snapToGrid/>
              <w:spacing w:line="240" w:lineRule="auto"/>
              <w:textAlignment w:val="baseline"/>
              <w:rPr>
                <w:rFonts w:hint="default" w:ascii="Times New Roman" w:hAnsi="Times New Roman" w:cs="Times New Roman"/>
                <w:sz w:val="2"/>
              </w:rPr>
            </w:pPr>
          </w:p>
          <w:tbl>
            <w:tblPr>
              <w:tblStyle w:val="19"/>
              <w:tblW w:w="909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8"/>
              <w:gridCol w:w="6444"/>
              <w:gridCol w:w="18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31" w:hRule="atLeast"/>
                <w:jc w:val="center"/>
              </w:trPr>
              <w:tc>
                <w:tcPr>
                  <w:tcW w:w="3997" w:type="pct"/>
                  <w:gridSpan w:val="2"/>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c>
                <w:tcPr>
                  <w:tcW w:w="1002" w:type="pct"/>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5" w:type="pct"/>
                  <w:vMerge w:val="restar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5" w:type="pct"/>
                  <w:vMerge w:val="restart"/>
                  <w:tcBorders>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5" w:type="pct"/>
                  <w:vMerge w:val="continue"/>
                  <w:tcBorders>
                    <w:top w:val="nil"/>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top w:val="nil"/>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b/>
                <w:bCs/>
                <w:sz w:val="28"/>
                <w:szCs w:val="28"/>
                <w:highlight w:val="none"/>
                <w:lang w:val="en-US" w:eastAsia="zh-CN"/>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.5</w:t>
            </w:r>
            <w:r>
              <w:rPr>
                <w:rFonts w:hint="default" w:ascii="Times New Roman" w:hAnsi="Times New Roman" w:eastAsia="宋体" w:cs="Times New Roman"/>
                <w:b/>
                <w:bCs/>
                <w:sz w:val="28"/>
                <w:szCs w:val="28"/>
                <w:highlight w:val="none"/>
                <w:lang w:val="en-US" w:eastAsia="zh-CN"/>
              </w:rPr>
              <w:t xml:space="preserve"> </w:t>
            </w:r>
            <w:r>
              <w:rPr>
                <w:rFonts w:hint="eastAsia" w:ascii="Times New Roman" w:hAnsi="Times New Roman" w:eastAsia="宋体" w:cs="Times New Roman"/>
                <w:b/>
                <w:bCs/>
                <w:sz w:val="28"/>
                <w:szCs w:val="28"/>
                <w:highlight w:val="none"/>
                <w:lang w:val="en-US" w:eastAsia="zh-CN"/>
              </w:rPr>
              <w:t>主要建设方案</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宋体" w:hAnsi="宋体" w:eastAsia="宋体" w:cs="宋体"/>
                <w:snapToGrid w:val="0"/>
                <w:color w:val="000000"/>
                <w:kern w:val="0"/>
                <w:sz w:val="24"/>
                <w:szCs w:val="24"/>
                <w:lang w:val="en-US" w:eastAsia="zh-CN" w:bidi="ar"/>
              </w:rPr>
            </w:pPr>
            <w:r>
              <w:rPr>
                <w:rFonts w:hint="eastAsia" w:ascii="Times New Roman" w:hAnsi="Times New Roman" w:eastAsia="宋体" w:cs="Times New Roman"/>
                <w:snapToGrid/>
                <w:color w:val="auto"/>
                <w:kern w:val="2"/>
                <w:sz w:val="24"/>
                <w:szCs w:val="24"/>
                <w:lang w:val="en-US" w:eastAsia="zh-CN" w:bidi="ar"/>
              </w:rPr>
              <w:t>5.5.1</w:t>
            </w:r>
            <w:r>
              <w:rPr>
                <w:rFonts w:hint="eastAsia" w:ascii="宋体" w:hAnsi="宋体" w:eastAsia="宋体" w:cs="宋体"/>
                <w:snapToGrid w:val="0"/>
                <w:color w:val="000000"/>
                <w:kern w:val="0"/>
                <w:sz w:val="24"/>
                <w:szCs w:val="24"/>
                <w:lang w:val="en-US" w:eastAsia="zh-CN" w:bidi="ar"/>
              </w:rPr>
              <w:t>道路绿化、亮化工程(包括改造工程)</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绿化系统布局原则：结合道路和沟渠等线状沿线绿化空间，打造点、线、面相结合、有机联系的绿地开敞空间网络。引导各类防护绿地、公园绿地相互串联，形成绿带相连、绿化成网的整体绿地空间格局。依据奎屯当地气候条件道路树选择景观效果好的树种，栽植各种花灌木和草坪，植物配置注重季节与色彩变化，使每条道路绿化都各具特色。</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lang w:val="en-US"/>
              </w:rPr>
            </w:pPr>
            <w:r>
              <w:rPr>
                <w:rFonts w:hint="default" w:ascii="Times New Roman" w:hAnsi="Times New Roman" w:eastAsia="宋体" w:cs="Times New Roman"/>
                <w:snapToGrid w:val="0"/>
                <w:color w:val="000000"/>
                <w:kern w:val="0"/>
                <w:sz w:val="24"/>
                <w:szCs w:val="24"/>
                <w:lang w:val="en-US" w:eastAsia="zh-CN" w:bidi="ar"/>
              </w:rPr>
              <w:t>道路中间为16.0m宽的机动车道，两侧依次为2×4.0m宽的绿化带，2×20.0m宽的防护林带，道路绿化率为60％。如下图：</w:t>
            </w:r>
          </w:p>
          <w:p>
            <w:pPr>
              <w:keepNext w:val="0"/>
              <w:keepLines w:val="0"/>
              <w:pageBreakBefore w:val="0"/>
              <w:widowControl/>
              <w:kinsoku/>
              <w:wordWrap/>
              <w:overflowPunct/>
              <w:topLinePunct w:val="0"/>
              <w:autoSpaceDE/>
              <w:autoSpaceDN/>
              <w:bidi w:val="0"/>
              <w:adjustRightInd/>
              <w:snapToGrid/>
              <w:spacing w:line="240" w:lineRule="auto"/>
              <w:jc w:val="center"/>
              <w:textAlignment w:val="baseline"/>
            </w:pPr>
            <w:r>
              <w:drawing>
                <wp:inline distT="0" distB="0" distL="114300" distR="114300">
                  <wp:extent cx="5238750" cy="1504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5238750" cy="150495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240" w:lineRule="auto"/>
              <w:jc w:val="center"/>
              <w:textAlignment w:val="baseline"/>
              <w:rPr>
                <w:rFonts w:hint="default" w:eastAsia="宋体"/>
                <w:b/>
                <w:bCs/>
                <w:sz w:val="24"/>
                <w:szCs w:val="24"/>
                <w:lang w:val="en-US" w:eastAsia="zh-CN"/>
              </w:rPr>
            </w:pPr>
            <w:r>
              <w:rPr>
                <w:rFonts w:hint="default" w:ascii="Times New Roman" w:hAnsi="Times New Roman" w:eastAsia="宋体" w:cs="Times New Roman"/>
                <w:b/>
                <w:bCs/>
                <w:spacing w:val="18"/>
                <w:sz w:val="24"/>
                <w:szCs w:val="24"/>
                <w:lang w:val="en-US" w:eastAsia="zh-CN"/>
              </w:rPr>
              <w:t xml:space="preserve">图5.1  </w:t>
            </w:r>
            <w:r>
              <w:rPr>
                <w:rFonts w:hint="eastAsia" w:ascii="Times New Roman" w:hAnsi="Times New Roman" w:eastAsia="宋体" w:cs="Times New Roman"/>
                <w:b/>
                <w:bCs/>
                <w:spacing w:val="18"/>
                <w:sz w:val="24"/>
                <w:szCs w:val="24"/>
                <w:lang w:val="en-US" w:eastAsia="zh-CN"/>
              </w:rPr>
              <w:t>绿化布置</w:t>
            </w:r>
            <w:r>
              <w:rPr>
                <w:rFonts w:hint="eastAsia" w:eastAsia="宋体"/>
                <w:b/>
                <w:bCs/>
                <w:sz w:val="24"/>
                <w:szCs w:val="24"/>
                <w:lang w:val="en-US" w:eastAsia="zh-CN"/>
              </w:rPr>
              <w:t>图</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外侧防护林：根据道路级别和周边不同用地性质，以及绿地防护功能，确定绿化设计内容和形式，主要采用乔木及小乔木规则种植为主。设计乔木“品”字型种植，种植间距为3m×4m；</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绿化分车带：根据道路级别和周边不同用地性质，确定绿化设计内容，采用乔灌花草相结合，以乔木为主干树种，辅以适当的花灌木，灌木根据所选种类和造景效果分密植和散植，地被植物主要为草坪或者花卉。同时两侧各种植一排水蜡绿篱，宽度1米，起到隔离行人的目的。最终达到四季有景的景观效果。</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lang w:val="en-US"/>
              </w:rPr>
            </w:pPr>
            <w:r>
              <w:rPr>
                <w:rFonts w:hint="default" w:ascii="Times New Roman" w:hAnsi="Times New Roman" w:eastAsia="宋体" w:cs="Times New Roman"/>
                <w:snapToGrid w:val="0"/>
                <w:color w:val="000000"/>
                <w:kern w:val="0"/>
                <w:sz w:val="24"/>
                <w:szCs w:val="24"/>
                <w:lang w:val="en-US" w:eastAsia="zh-CN" w:bidi="ar"/>
              </w:rPr>
              <w:t>道路亮化工程：道路照明光源主干路采用NG250W+NG150高压钠灯；次干路采用NG250W+NG150高压钠灯，灯杆高度为8～10m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灯具均选用截光型。路主干路、次干路均采用双侧对称布置，采用常规照明方式，灯具配光类型为截光型，路灯安装高度为8～10m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路灯安装间距为30m,灯具的悬挑长度为0.6～1.5m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仰角&lt;50°。</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z w:val="24"/>
                <w:szCs w:val="24"/>
                <w:lang w:val="en-US" w:eastAsia="zh-CN"/>
              </w:rPr>
              <w:t>5.5.2</w:t>
            </w:r>
            <w:r>
              <w:rPr>
                <w:rFonts w:hint="default" w:ascii="Times New Roman" w:hAnsi="Times New Roman" w:eastAsia="宋体" w:cs="Times New Roman"/>
                <w:snapToGrid w:val="0"/>
                <w:color w:val="000000"/>
                <w:kern w:val="0"/>
                <w:sz w:val="24"/>
                <w:szCs w:val="24"/>
                <w:lang w:val="en-US" w:eastAsia="zh-CN" w:bidi="ar"/>
              </w:rPr>
              <w:t>道路、供、排水、供热、管线工程</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道路改造：南环路、呼图壁街、健康路、纵五路、瑞康路、阿克苏路、东翔街道路改造后道路等级为次干路，红线宽度40m，道路中间为12.0m宽的机动车道，两侧依次为2×2.0m宽的设施带，2×6.0m宽的绿化带，2×6.0m宽的人行道，道路绿化率为30％。12m宽的机动车道设置为双向两车道，机非混行，路缘带为0.25m宽，车行道分为3.5m×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非机动车道为2.25m×2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如下图：</w:t>
            </w:r>
          </w:p>
          <w:p>
            <w:pPr>
              <w:keepNext w:val="0"/>
              <w:keepLines w:val="0"/>
              <w:pageBreakBefore w:val="0"/>
              <w:widowControl/>
              <w:suppressLineNumbers w:val="0"/>
              <w:kinsoku w:val="0"/>
              <w:wordWrap/>
              <w:overflowPunct/>
              <w:topLinePunct w:val="0"/>
              <w:autoSpaceDE/>
              <w:autoSpaceDN/>
              <w:bidi w:val="0"/>
              <w:adjustRightInd w:val="0"/>
              <w:snapToGrid w:val="0"/>
              <w:jc w:val="center"/>
              <w:textAlignment w:val="baseline"/>
              <w:rPr>
                <w:rFonts w:hint="default" w:eastAsia="宋体"/>
                <w:lang w:val="en-US" w:eastAsia="zh-CN"/>
              </w:rPr>
            </w:pPr>
            <w:r>
              <w:drawing>
                <wp:inline distT="0" distB="0" distL="114300" distR="114300">
                  <wp:extent cx="4667250" cy="32289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tretch>
                            <a:fillRect/>
                          </a:stretch>
                        </pic:blipFill>
                        <pic:spPr>
                          <a:xfrm>
                            <a:off x="0" y="0"/>
                            <a:ext cx="4667250" cy="3228975"/>
                          </a:xfrm>
                          <a:prstGeom prst="rect">
                            <a:avLst/>
                          </a:prstGeom>
                          <a:noFill/>
                          <a:ln>
                            <a:noFill/>
                          </a:ln>
                        </pic:spPr>
                      </pic:pic>
                    </a:graphicData>
                  </a:graphic>
                </wp:inline>
              </w:drawing>
            </w:r>
          </w:p>
          <w:p>
            <w:pPr>
              <w:pStyle w:val="2"/>
              <w:jc w:val="center"/>
              <w:rPr>
                <w:rFonts w:hint="default" w:eastAsia="宋体"/>
                <w:b/>
                <w:bCs/>
                <w:sz w:val="24"/>
                <w:szCs w:val="24"/>
                <w:lang w:val="en-US" w:eastAsia="zh-CN"/>
              </w:rPr>
            </w:pPr>
            <w:r>
              <w:rPr>
                <w:rFonts w:hint="default" w:ascii="Times New Roman" w:hAnsi="Times New Roman" w:eastAsia="宋体" w:cs="Times New Roman"/>
                <w:b/>
                <w:bCs/>
                <w:spacing w:val="18"/>
                <w:sz w:val="24"/>
                <w:szCs w:val="24"/>
                <w:lang w:val="en-US" w:eastAsia="zh-CN"/>
              </w:rPr>
              <w:t>图5.</w:t>
            </w:r>
            <w:r>
              <w:rPr>
                <w:rFonts w:hint="eastAsia" w:ascii="Times New Roman" w:hAnsi="Times New Roman" w:eastAsia="宋体" w:cs="Times New Roman"/>
                <w:b/>
                <w:bCs/>
                <w:spacing w:val="18"/>
                <w:sz w:val="24"/>
                <w:szCs w:val="24"/>
                <w:lang w:val="en-US" w:eastAsia="zh-CN"/>
              </w:rPr>
              <w:t xml:space="preserve">2 </w:t>
            </w:r>
            <w:r>
              <w:rPr>
                <w:rFonts w:hint="default" w:ascii="Times New Roman" w:hAnsi="Times New Roman" w:eastAsia="宋体" w:cs="Times New Roman"/>
                <w:b/>
                <w:bCs/>
                <w:spacing w:val="18"/>
                <w:sz w:val="24"/>
                <w:szCs w:val="24"/>
                <w:lang w:val="en-US" w:eastAsia="zh-CN"/>
              </w:rPr>
              <w:t xml:space="preserve">   </w:t>
            </w:r>
            <w:r>
              <w:rPr>
                <w:rFonts w:hint="eastAsia" w:eastAsia="宋体" w:cs="Times New Roman"/>
                <w:b/>
                <w:bCs/>
                <w:spacing w:val="18"/>
                <w:sz w:val="24"/>
                <w:szCs w:val="24"/>
                <w:lang w:val="en-US" w:eastAsia="zh-CN"/>
              </w:rPr>
              <w:t>道路平面布置</w:t>
            </w:r>
            <w:r>
              <w:rPr>
                <w:rFonts w:hint="eastAsia" w:eastAsia="宋体"/>
                <w:b/>
                <w:bCs/>
                <w:sz w:val="24"/>
                <w:szCs w:val="24"/>
                <w:lang w:val="en-US" w:eastAsia="zh-CN"/>
              </w:rPr>
              <w:t>图</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道路路面结构自上至下依次自上至下依次为3.5cm厚细粒式沥青混凝土上面层(AC-13C)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4.5cm厚中粒式沥青混凝土上面层(AC-16C)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20cm4％水泥稳定砂砾基层，35cm天然砂砾底基层。</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排水管网：排水干管布置在道路人行道下。东西走向的排水干管布置在道路的南侧。南北走向的排水干管布置在道路的西侧。对于一般地基(f≥100KPa)，采用100mm粗砂基础；对软土地基或有地下水地基，采用下层200mm碎石垫层上层100mm砂垫层基础。</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供水管网：管网布置在总体规划的要求下，充分考虑城区地形特点，尽量考虑供水用户的方便接入以及城区其它管线布置的道路断面情况，本工程设计供水管线均布置于道路两侧人行道下，管道平均覆土1.6m，南北走向管道铺设于道路东侧，东西走向管道铺设于道路北侧。管道基础均采用砂垫层基础，厚度不小于20cm，砂垫层的密实度不小于95％。</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供热管网：管网布置在总体规划的要求下，充分考虑城区地形特点，尽量考虑供水用户的方便接入以及城区其它管线布置的道路断面情况。本工程管道采用以下基础形式：无地下水的地区管道采用135°砂垫层基础，砂垫层厚100mm；有地下水的地区管道采用135°砂垫层基础，砂垫层厚100mm,下铺200mm厚砂砾石。管道连接采用焊接，管道与需拆卸的阀门及设备连接时用法兰连接。</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z w:val="24"/>
                <w:szCs w:val="24"/>
                <w:lang w:val="en-US" w:eastAsia="zh-CN"/>
              </w:rPr>
              <w:t>5.5.3</w:t>
            </w:r>
            <w:r>
              <w:rPr>
                <w:rFonts w:hint="default" w:ascii="Times New Roman" w:hAnsi="Times New Roman" w:eastAsia="宋体" w:cs="Times New Roman"/>
                <w:snapToGrid w:val="0"/>
                <w:color w:val="000000"/>
                <w:kern w:val="0"/>
                <w:sz w:val="24"/>
                <w:szCs w:val="24"/>
                <w:lang w:val="en-US" w:eastAsia="zh-CN" w:bidi="ar"/>
              </w:rPr>
              <w:t>恰沁里小区改造</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对小区内供排水、供热主管网、道路进行改造，小区新增门卫室、路灯、园林小路等配套设施，对楼前供水、排水、供热管线进行更换，违建拆除。</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5.3.4电力线路</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lang w:val="en-US" w:eastAsia="zh-CN"/>
              </w:rPr>
            </w:pPr>
            <w:r>
              <w:rPr>
                <w:rFonts w:hint="default" w:ascii="Times New Roman" w:hAnsi="Times New Roman" w:eastAsia="宋体" w:cs="Times New Roman"/>
                <w:snapToGrid w:val="0"/>
                <w:color w:val="000000"/>
                <w:kern w:val="0"/>
                <w:sz w:val="24"/>
                <w:szCs w:val="24"/>
                <w:lang w:val="en-US" w:eastAsia="zh-CN" w:bidi="ar"/>
              </w:rPr>
              <w:t>建设水厂、华盛热力、小企业创业园外网双回路电源，接奎屯市政供电线路，为水厂、热力公司、小企业创业园供电。</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奎屯-独山子经济技术开发区</w:t>
            </w:r>
            <w:r>
              <w:rPr>
                <w:rFonts w:hint="default"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建设规模：</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根据环评报告表，本项目总投资</w:t>
            </w:r>
            <w:r>
              <w:rPr>
                <w:rFonts w:hint="eastAsia" w:ascii="Times New Roman" w:hAnsi="Times New Roman" w:eastAsia="宋体" w:cs="Times New Roman"/>
                <w:spacing w:val="18"/>
                <w:sz w:val="24"/>
                <w:szCs w:val="24"/>
                <w:lang w:val="en-US" w:eastAsia="zh-CN"/>
              </w:rPr>
              <w:t>32123</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1096</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3.41%</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32123</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1096</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3.41%</w:t>
            </w:r>
            <w:r>
              <w:rPr>
                <w:rFonts w:hint="default" w:ascii="Times New Roman" w:hAnsi="Times New Roman" w:eastAsia="宋体" w:cs="Times New Roman"/>
                <w:spacing w:val="18"/>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4"/>
                <w:szCs w:val="24"/>
                <w:lang w:val="en-US" w:eastAsia="zh-CN"/>
              </w:rPr>
              <w:t>项目环保投资主要用于水土保持、废水、废气、噪声治理、固废处置等环保措施。</w:t>
            </w:r>
          </w:p>
        </w:tc>
      </w:tr>
    </w:tbl>
    <w:p>
      <w:pPr>
        <w:rPr>
          <w:rFonts w:hint="default" w:ascii="Times New Roman" w:hAnsi="Times New Roman" w:cs="Times New Roman"/>
        </w:rPr>
        <w:sectPr>
          <w:footerReference r:id="rId10"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10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04" w:hRule="atLeast"/>
        </w:trPr>
        <w:tc>
          <w:tcPr>
            <w:tcW w:w="9104" w:type="dxa"/>
            <w:vAlign w:val="top"/>
          </w:tcPr>
          <w:p>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3"/>
                <w:sz w:val="24"/>
                <w:szCs w:val="24"/>
                <w:lang w:val="en-US" w:eastAsia="zh-CN"/>
              </w:rPr>
              <w:t>1）</w:t>
            </w:r>
            <w:r>
              <w:rPr>
                <w:rFonts w:hint="default" w:ascii="Times New Roman" w:hAnsi="Times New Roman" w:eastAsia="宋体" w:cs="Times New Roman"/>
                <w:spacing w:val="2"/>
                <w:sz w:val="24"/>
                <w:szCs w:val="24"/>
              </w:rPr>
              <w:t>水环境影响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rPr>
            </w:pPr>
            <w:r>
              <w:rPr>
                <w:rFonts w:hint="default" w:ascii="Times New Roman" w:hAnsi="Times New Roman" w:eastAsia="宋体" w:cs="Times New Roman"/>
                <w:color w:val="auto"/>
                <w:sz w:val="24"/>
                <w:shd w:val="clear" w:color="auto" w:fill="auto"/>
              </w:rPr>
              <w:t>施工场地废水主要为</w:t>
            </w:r>
            <w:r>
              <w:rPr>
                <w:rFonts w:hint="default" w:ascii="Times New Roman" w:hAnsi="Times New Roman" w:eastAsia="宋体" w:cs="Times New Roman"/>
                <w:color w:val="auto"/>
                <w:sz w:val="24"/>
                <w:shd w:val="clear" w:color="auto" w:fill="auto"/>
                <w:lang w:val="en-US" w:eastAsia="zh-CN"/>
              </w:rPr>
              <w:t>砂石料冲洗废水、施工场地冲洗废水、运输车辆冲洗废水等。</w:t>
            </w:r>
          </w:p>
          <w:p>
            <w:pPr>
              <w:pStyle w:val="22"/>
              <w:keepNext w:val="0"/>
              <w:keepLines w:val="0"/>
              <w:pageBreakBefore w:val="0"/>
              <w:widowControl/>
              <w:kinsoku/>
              <w:wordWrap/>
              <w:overflowPunct/>
              <w:topLinePunct w:val="0"/>
              <w:autoSpaceDE/>
              <w:autoSpaceDN/>
              <w:bidi w:val="0"/>
              <w:adjustRightInd/>
              <w:snapToGrid/>
              <w:spacing w:line="360" w:lineRule="auto"/>
              <w:ind w:left="0" w:leftChars="0" w:right="0" w:rightChars="0" w:firstLine="552" w:firstLineChars="200"/>
              <w:jc w:val="both"/>
              <w:textAlignment w:val="auto"/>
              <w:outlineLvl w:val="9"/>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主要采取如下治理措施：本项目施工场地废水</w:t>
            </w:r>
            <w:r>
              <w:rPr>
                <w:rFonts w:hint="default" w:ascii="Times New Roman" w:hAnsi="Times New Roman" w:cs="Times New Roman"/>
                <w:color w:val="000000"/>
                <w:sz w:val="24"/>
                <w:szCs w:val="22"/>
              </w:rPr>
              <w:t>要为砂石料冲洗水及车辆机械冲洗水等。</w:t>
            </w:r>
            <w:r>
              <w:rPr>
                <w:rFonts w:hint="default" w:ascii="Times New Roman" w:hAnsi="Times New Roman" w:eastAsia="宋体" w:cs="Times New Roman"/>
                <w:color w:val="000000"/>
                <w:sz w:val="24"/>
                <w:szCs w:val="22"/>
                <w:lang w:val="en-US" w:eastAsia="zh-CN"/>
              </w:rPr>
              <w:t>施工废水由沉淀池收集，经沉淀除渣等处理后回用施工生产和洒水降尘，不外排</w:t>
            </w:r>
            <w:r>
              <w:rPr>
                <w:rFonts w:hint="default" w:ascii="Times New Roman" w:hAnsi="Times New Roman" w:eastAsia="宋体" w:cs="Times New Roman"/>
                <w:color w:val="000000"/>
                <w:sz w:val="24"/>
                <w:szCs w:val="24"/>
                <w:lang w:val="en-US" w:eastAsia="zh-CN"/>
              </w:rPr>
              <w:t>。</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居住当地民房，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生活废水依托</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当地现有的</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排水设施</w:t>
            </w:r>
            <w:r>
              <w:rPr>
                <w:rFonts w:hint="default" w:ascii="Times New Roman" w:hAnsi="Times New Roman" w:eastAsia="宋体" w:cs="Times New Roman"/>
                <w:color w:val="000000"/>
                <w:sz w:val="24"/>
                <w:szCs w:val="24"/>
                <w:lang w:val="en-US" w:eastAsia="zh-CN"/>
              </w:rPr>
              <w:t>。施工废水和生活污水严禁排向渠道和水</w:t>
            </w:r>
            <w:r>
              <w:rPr>
                <w:rFonts w:hint="eastAsia" w:ascii="Times New Roman" w:hAnsi="Times New Roman" w:eastAsia="宋体" w:cs="Times New Roman"/>
                <w:color w:val="000000"/>
                <w:sz w:val="24"/>
                <w:szCs w:val="24"/>
                <w:lang w:val="en-US" w:eastAsia="zh-CN"/>
              </w:rPr>
              <w:t>体</w:t>
            </w:r>
            <w:r>
              <w:rPr>
                <w:rFonts w:hint="default" w:ascii="Times New Roman" w:hAnsi="Times New Roman" w:eastAsia="宋体" w:cs="Times New Roman"/>
                <w:color w:val="000000"/>
                <w:sz w:val="24"/>
                <w:szCs w:val="22"/>
                <w:lang w:val="en-US" w:eastAsia="zh-CN"/>
              </w:rPr>
              <w:t>。</w:t>
            </w:r>
            <w:r>
              <w:rPr>
                <w:rFonts w:hint="default" w:ascii="Times New Roman" w:hAnsi="Times New Roman" w:eastAsia="宋体" w:cs="Times New Roman"/>
                <w:spacing w:val="18"/>
                <w:sz w:val="24"/>
                <w:szCs w:val="24"/>
                <w:lang w:val="en-US" w:eastAsia="zh-CN"/>
              </w:rPr>
              <w:t>经采取上述措施后，可有效避免施工期废水对周围环境及保护目标造成影响。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施工期对大气环境影响最大的是施工扬尘、机械废气。</w:t>
            </w:r>
          </w:p>
          <w:p>
            <w:pPr>
              <w:keepNext w:val="0"/>
              <w:keepLines w:val="0"/>
              <w:pageBreakBefore w:val="0"/>
              <w:widowControl w:val="0"/>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552"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spacing w:val="18"/>
                <w:sz w:val="24"/>
                <w:szCs w:val="24"/>
                <w:lang w:val="en-US" w:eastAsia="zh-CN"/>
              </w:rPr>
              <w:t>主要采取如下治理措施：</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color w:val="auto"/>
                <w:sz w:val="24"/>
                <w:lang w:val="en-US" w:eastAsia="zh-CN"/>
              </w:rPr>
              <w:t>1</w:t>
            </w:r>
            <w:r>
              <w:rPr>
                <w:rFonts w:hint="default" w:ascii="Times New Roman" w:hAnsi="Times New Roman" w:eastAsia="宋体" w:cs="Times New Roman"/>
                <w:color w:val="auto"/>
                <w:sz w:val="24"/>
                <w:lang w:eastAsia="zh-CN"/>
              </w:rPr>
              <w:t>）合理设计材料运输路线，运输道路、施工现场定时洒水，每天至少两次（上、下班），在经过人员密集地区加强洒水密度和强度。</w:t>
            </w:r>
          </w:p>
          <w:p>
            <w:pPr>
              <w:keepNext w:val="0"/>
              <w:keepLines w:val="0"/>
              <w:pageBreakBefore w:val="0"/>
              <w:widowControl w:val="0"/>
              <w:numPr>
                <w:ilvl w:val="0"/>
                <w:numId w:val="2"/>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lang w:eastAsia="zh-CN"/>
              </w:rPr>
              <w:t>运送散装含尘物料的车辆，用蓬布苫盖。</w:t>
            </w:r>
          </w:p>
          <w:p>
            <w:pPr>
              <w:keepNext w:val="0"/>
              <w:keepLines w:val="0"/>
              <w:pageBreakBefore w:val="0"/>
              <w:widowControl w:val="0"/>
              <w:numPr>
                <w:ilvl w:val="0"/>
                <w:numId w:val="0"/>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lang w:eastAsia="zh-CN"/>
              </w:rPr>
              <w:t>施工作业相关要求如下：①施工工地四周应当设置不低于</w:t>
            </w:r>
            <w:r>
              <w:rPr>
                <w:rFonts w:hint="default" w:ascii="Times New Roman" w:hAnsi="Times New Roman" w:eastAsia="宋体" w:cs="Times New Roman"/>
                <w:color w:val="auto"/>
                <w:sz w:val="24"/>
                <w:lang w:val="en-US" w:eastAsia="zh-CN"/>
              </w:rPr>
              <w:t>2.5</w:t>
            </w:r>
            <w:r>
              <w:rPr>
                <w:rFonts w:hint="default" w:ascii="Times New Roman" w:hAnsi="Times New Roman" w:eastAsia="宋体" w:cs="Times New Roman"/>
                <w:color w:val="auto"/>
                <w:sz w:val="24"/>
                <w:lang w:eastAsia="zh-CN"/>
              </w:rPr>
              <w:t>m的硬质密闭围挡，施工作业层外侧必须使用密目安全网进行封闭；②施工工地出口处应当设置冲洗设施以及配套的排水、泥浆沉淀设施，运输车辆驶出施工现场前应当将槽帮和车轮冲洗干净；③施工工地应当硬化并保持清洁；④施工工地内的散装物料、渣土和建筑垃圾应当遮盖或者在库房内存放，不在施工工地外堆放；运送过程采用密闭方式运输；⑤在易产生扬尘污染的施工过程中采取洒水或者喷淋等降尘措施；⑥地下管线施工开挖工程完工后应当在五日内完成土方回填，并恢复原状；⑦风速达到五级以上停止拆除建筑物、构筑物；⑧装卸、储存、堆放砂石、灰土等易产生扬尘的物质，采取喷淋、围挡、遮盖、密闭等有效防止扬尘的措施；运输时，使用密闭装置，防止运输过程中发生遗撒或者泄漏。</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val="en-US" w:eastAsia="zh-CN"/>
              </w:rPr>
              <w:t>噪声环境影响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施工噪声主要分为机械噪声、施工作业噪声和施工车辆噪声。</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为减小施工期噪声对周围环境的影响，采取如下措施：高噪声的施工作业尽量安排在昼间进行，禁止夜间施工；工程施工设备较多，施工单位应尽量采用低噪声的施工机械，减少同时作业的高噪施工机械数量，尽可能减轻声源叠加影响；同时在施工过程中应由专人对设备进行定期保养和维护，并负责对现场工作人员进行培训，严格按操作规范使用各类机械；根据周围环境条件，尽量将产噪设备布置在远离敏感点的位置，增加噪声源与敏感区域的距离，可一定程度上控制施工场界噪声贡献值；认真组织施工安排，控制施工噪声源强，使施工机械处于良好状态，减轻施工噪声对工程区域声环境质量的影响，力争做到施工噪声不扰民；运输车辆经过村民区时应适当减速，禁止使用高音喇叭；施工应周密计划，抓紧施工，并设置临时行车路线，设专人疏导交通，防止车辆阻塞，同时减轻施工期交通噪声污染加重的程度；通过避免夜间施工，修建围墙，高噪声源远离敏感点布置，加强施工管理等噪声防护措施后，噪声对周围环境的影响可减少到最低。</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4）</w:t>
            </w:r>
            <w:r>
              <w:rPr>
                <w:rFonts w:hint="default" w:ascii="Times New Roman" w:hAnsi="Times New Roman" w:eastAsia="宋体" w:cs="Times New Roman"/>
                <w:spacing w:val="18"/>
                <w:sz w:val="24"/>
                <w:szCs w:val="24"/>
                <w:lang w:val="en-US" w:eastAsia="zh-CN"/>
              </w:rPr>
              <w:t>固体废弃物影响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auto"/>
                <w:sz w:val="24"/>
                <w:szCs w:val="24"/>
                <w:lang w:val="zh-CN" w:eastAsia="zh-CN" w:bidi="zh-CN"/>
              </w:rPr>
            </w:pPr>
            <w:r>
              <w:rPr>
                <w:rFonts w:hint="default" w:ascii="Times New Roman" w:hAnsi="Times New Roman" w:eastAsia="宋体" w:cs="Times New Roman"/>
                <w:color w:val="auto"/>
                <w:sz w:val="24"/>
                <w:szCs w:val="24"/>
                <w:lang w:val="zh-CN" w:eastAsia="zh-CN" w:bidi="zh-CN"/>
              </w:rPr>
              <w:t>项目施工期固体废物主要来源于废弃土方、建筑垃圾和施工人员生活垃圾。</w:t>
            </w:r>
          </w:p>
          <w:p>
            <w:pPr>
              <w:adjustRightInd w:val="0"/>
              <w:snapToGrid w:val="0"/>
              <w:spacing w:line="360" w:lineRule="auto"/>
              <w:ind w:firstLine="552" w:firstLineChars="200"/>
              <w:jc w:val="left"/>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采取如下措施：</w:t>
            </w:r>
            <w:r>
              <w:rPr>
                <w:rFonts w:hint="default" w:ascii="Times New Roman" w:hAnsi="Times New Roman" w:eastAsia="宋体" w:cs="Times New Roman"/>
                <w:color w:val="auto"/>
                <w:sz w:val="24"/>
                <w:szCs w:val="22"/>
              </w:rPr>
              <w:t>施工时，弃土堆砌在</w:t>
            </w:r>
            <w:r>
              <w:rPr>
                <w:rFonts w:hint="eastAsia" w:ascii="Times New Roman" w:hAnsi="Times New Roman" w:eastAsia="宋体" w:cs="Times New Roman"/>
                <w:color w:val="auto"/>
                <w:sz w:val="24"/>
                <w:szCs w:val="22"/>
                <w:lang w:val="en-US" w:eastAsia="zh-CN"/>
              </w:rPr>
              <w:t>河道</w:t>
            </w:r>
            <w:r>
              <w:rPr>
                <w:rFonts w:hint="default" w:ascii="Times New Roman" w:hAnsi="Times New Roman" w:eastAsia="宋体" w:cs="Times New Roman"/>
                <w:color w:val="auto"/>
                <w:sz w:val="24"/>
                <w:szCs w:val="22"/>
              </w:rPr>
              <w:t>两侧；施工完成后，将</w:t>
            </w:r>
            <w:r>
              <w:rPr>
                <w:rFonts w:hint="default" w:ascii="Times New Roman" w:hAnsi="Times New Roman" w:eastAsia="宋体" w:cs="Times New Roman"/>
                <w:color w:val="auto"/>
                <w:sz w:val="24"/>
                <w:szCs w:val="22"/>
                <w:lang w:val="en-US" w:eastAsia="zh-CN"/>
              </w:rPr>
              <w:t>弃土方全部堆于河道凹坑内或就近摊平</w:t>
            </w:r>
            <w:r>
              <w:rPr>
                <w:rFonts w:hint="default" w:ascii="Times New Roman" w:hAnsi="Times New Roman" w:eastAsia="宋体" w:cs="Times New Roman"/>
                <w:color w:val="auto"/>
                <w:sz w:val="24"/>
                <w:szCs w:val="22"/>
              </w:rPr>
              <w:t>，自然恢复植被。</w:t>
            </w:r>
            <w:r>
              <w:rPr>
                <w:rFonts w:hint="default" w:ascii="Times New Roman" w:hAnsi="Times New Roman" w:eastAsia="宋体" w:cs="Times New Roman"/>
                <w:color w:val="auto"/>
                <w:sz w:val="24"/>
                <w:szCs w:val="24"/>
                <w:lang w:val="zh-CN" w:eastAsia="zh-CN" w:bidi="zh-CN"/>
              </w:rPr>
              <w:t>建筑垃圾主要</w:t>
            </w:r>
            <w:r>
              <w:rPr>
                <w:rFonts w:hint="default" w:ascii="Times New Roman" w:hAnsi="Times New Roman" w:eastAsia="宋体" w:cs="Times New Roman"/>
                <w:color w:val="auto"/>
                <w:spacing w:val="-8"/>
                <w:sz w:val="24"/>
                <w:szCs w:val="24"/>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4"/>
                <w:szCs w:val="24"/>
                <w:lang w:val="zh-CN" w:eastAsia="zh-CN" w:bidi="zh-CN"/>
              </w:rPr>
              <w:t>生活垃圾集中收集后由环卫部门统一处理；主</w:t>
            </w:r>
            <w:r>
              <w:rPr>
                <w:rFonts w:hint="default" w:ascii="Times New Roman" w:hAnsi="Times New Roman" w:eastAsia="宋体" w:cs="Times New Roman"/>
                <w:color w:val="auto"/>
                <w:spacing w:val="-6"/>
                <w:sz w:val="24"/>
                <w:szCs w:val="24"/>
                <w:lang w:val="zh-CN" w:eastAsia="zh-CN" w:bidi="zh-CN"/>
              </w:rPr>
              <w:t>体工程和临时占地开挖表土进行集中堆放，施工结束后，再用以临时占地的生态</w:t>
            </w:r>
            <w:r>
              <w:rPr>
                <w:rFonts w:hint="default" w:ascii="Times New Roman" w:hAnsi="Times New Roman" w:eastAsia="宋体" w:cs="Times New Roman"/>
                <w:color w:val="auto"/>
                <w:sz w:val="24"/>
                <w:szCs w:val="24"/>
                <w:lang w:val="zh-CN" w:eastAsia="zh-CN" w:bidi="zh-CN"/>
              </w:rPr>
              <w:t>恢复覆土或道路配套绿化。</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5）生态环境影响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本项目施工期临时用地主要为临时生产生活区、施工便道等，临时用地的使用将会使原有地表植被遭到破坏。因施工作业影响而引起的这些土地的地表植被破坏，这种影响是暂时的，可以通过后期水土保持措施进行恢复。施工期由于材料运输、机械碾压及施工人员践踏，使施工作业区周围土地的部分植被被破坏。施工期结束后也应及时进行生态恢复工作，尽量使临时工程占用区域恢复原貌。</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552"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spacing w:val="18"/>
                <w:sz w:val="24"/>
                <w:szCs w:val="24"/>
                <w:lang w:val="en-US" w:eastAsia="zh-CN"/>
              </w:rPr>
              <w:t>采取措施：</w:t>
            </w:r>
            <w:r>
              <w:rPr>
                <w:rFonts w:hint="default" w:ascii="Times New Roman" w:hAnsi="Times New Roman" w:eastAsia="宋体" w:cs="Times New Roman"/>
                <w:color w:val="auto"/>
                <w:sz w:val="24"/>
                <w:szCs w:val="24"/>
              </w:rPr>
              <w:t>加强宣传教育，在施工开始前，开展《中华人民共和国野生动物保护法》、《中华人民共和国野生植物保护条例》等相关法律法规的教育，让施工人员明确知道生物多样性是受国家法律保护的，破坏生物多样性将要承担相应的法律责任。教育施工人员，遵守国家和地方的法律及相关规定，禁止随意破坏植被和猎捕野生动物，自觉保护好评价区内的各种动物、植物和自然景观。</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auto"/>
                <w:sz w:val="24"/>
                <w:szCs w:val="24"/>
              </w:rPr>
              <w:t>在工地及周边设立爱护动物和自然植被的宣传牌</w:t>
            </w:r>
            <w:r>
              <w:rPr>
                <w:rFonts w:hint="default" w:ascii="Times New Roman" w:hAnsi="Times New Roman" w:cs="Times New Roman"/>
                <w:color w:val="auto"/>
                <w:sz w:val="24"/>
                <w:szCs w:val="24"/>
                <w:lang w:eastAsia="zh-CN"/>
              </w:rPr>
              <w:t>，</w:t>
            </w:r>
            <w:r>
              <w:rPr>
                <w:rFonts w:hint="default" w:ascii="Times New Roman" w:hAnsi="Times New Roman" w:eastAsia="宋体" w:cs="Times New Roman"/>
                <w:color w:val="auto"/>
                <w:sz w:val="24"/>
                <w:szCs w:val="24"/>
              </w:rPr>
              <w:t>对项目工作人员和施工人员开展生态保护措施方面的短期培训工作，通过培训详细介绍如何最大限度减少自然植被的丧失；及时开展植被恢复；以及施工作业中对于环境保护的一些注意事项等。</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6）施工</w:t>
            </w:r>
            <w:r>
              <w:rPr>
                <w:rFonts w:hint="eastAsia" w:ascii="Times New Roman" w:hAnsi="Times New Roman" w:eastAsia="宋体" w:cs="Times New Roman"/>
                <w:sz w:val="24"/>
                <w:szCs w:val="24"/>
                <w:lang w:val="en-US" w:eastAsia="zh-CN"/>
              </w:rPr>
              <w:t>管理</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划定施工范围，严禁施工人员和器械超出施工区域。通报所有施工人员活动规则并在施工营地、</w:t>
            </w:r>
            <w:r>
              <w:rPr>
                <w:rFonts w:hint="default" w:ascii="Times New Roman" w:hAnsi="Times New Roman" w:cs="Times New Roman"/>
                <w:color w:val="auto"/>
                <w:sz w:val="24"/>
                <w:szCs w:val="24"/>
                <w:lang w:val="en-US" w:eastAsia="zh-CN"/>
              </w:rPr>
              <w:t>管道</w:t>
            </w:r>
            <w:r>
              <w:rPr>
                <w:rFonts w:hint="default" w:ascii="Times New Roman" w:hAnsi="Times New Roman" w:cs="Times New Roman"/>
                <w:color w:val="auto"/>
                <w:sz w:val="24"/>
                <w:szCs w:val="24"/>
                <w:lang w:eastAsia="zh-CN"/>
              </w:rPr>
              <w:t>道</w:t>
            </w:r>
            <w:r>
              <w:rPr>
                <w:rFonts w:hint="default" w:ascii="Times New Roman" w:hAnsi="Times New Roman" w:eastAsia="宋体" w:cs="Times New Roman"/>
                <w:color w:val="auto"/>
                <w:sz w:val="24"/>
                <w:szCs w:val="24"/>
              </w:rPr>
              <w:t>沿线等设置警示标牌，任何施工人员不得越过红线施工或任意活动，以减小施工活动对</w:t>
            </w:r>
            <w:r>
              <w:rPr>
                <w:rFonts w:hint="default" w:ascii="Times New Roman" w:hAnsi="Times New Roman" w:cs="Times New Roman"/>
                <w:color w:val="auto"/>
                <w:sz w:val="24"/>
                <w:szCs w:val="24"/>
                <w:lang w:eastAsia="zh-CN"/>
              </w:rPr>
              <w:t>区域</w:t>
            </w:r>
            <w:r>
              <w:rPr>
                <w:rFonts w:hint="default" w:ascii="Times New Roman" w:hAnsi="Times New Roman" w:eastAsia="宋体" w:cs="Times New Roman"/>
                <w:color w:val="auto"/>
                <w:sz w:val="24"/>
                <w:szCs w:val="24"/>
              </w:rPr>
              <w:t>周围植被和动物栖息地的影响。对擅自越过施工禁入区红线的施工人员进行严肃处理和教育，对进入禁入区造成损失的追究施工单位及施工人员相应责任。施工中要作到分段施工，随挖、随运、随铺、随压，不留疏松地面，提高工程施工效率，尽可能缩短施工工期。</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加强施工期材料的管理，妥善放置，及时清理。施工产生的建筑废料要尽量回收，严禁乱堆乱放。施工期间应加强防火宣传教育，做好施工人员生产用火的火源管理，严禁一切野外用火，杜绝火灾发生。</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7）</w:t>
            </w:r>
            <w:r>
              <w:rPr>
                <w:rFonts w:hint="eastAsia" w:ascii="Times New Roman" w:hAnsi="Times New Roman" w:eastAsia="宋体" w:cs="Times New Roman"/>
                <w:sz w:val="24"/>
                <w:szCs w:val="24"/>
                <w:lang w:val="en-US" w:eastAsia="zh-CN"/>
              </w:rPr>
              <w:t>植被保护</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严格</w:t>
            </w:r>
            <w:r>
              <w:rPr>
                <w:rFonts w:hint="default" w:ascii="Times New Roman" w:hAnsi="Times New Roman" w:cs="Times New Roman"/>
                <w:color w:val="auto"/>
                <w:sz w:val="24"/>
                <w:szCs w:val="24"/>
                <w:lang w:eastAsia="zh-CN"/>
              </w:rPr>
              <w:t>用地</w:t>
            </w:r>
            <w:r>
              <w:rPr>
                <w:rFonts w:hint="default" w:ascii="Times New Roman" w:hAnsi="Times New Roman" w:eastAsia="宋体" w:cs="Times New Roman"/>
                <w:color w:val="auto"/>
                <w:sz w:val="24"/>
                <w:szCs w:val="24"/>
              </w:rPr>
              <w:t>管理，杜绝未批先占、少批多占。临时用地尽量少占地，不破坏</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。工程建设过程中在施工范围红线内尽量保留</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，减小生物量损失。</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临时占用地，应尽可能地减少对植被破坏，施工营地周围的植被要最大限度地保留。在荒漠戈壁路段构筑工程等施工完成后，应及时对施工中破坏、扰动的地面进行砂砾石覆盖，减少水土流失的发生。</w:t>
            </w:r>
          </w:p>
          <w:p>
            <w:pPr>
              <w:keepNext w:val="0"/>
              <w:keepLines w:val="0"/>
              <w:pageBreakBefore w:val="0"/>
              <w:widowControl w:val="0"/>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bCs w:val="0"/>
                <w:color w:val="auto"/>
                <w:sz w:val="24"/>
                <w:lang w:val="en-US" w:eastAsia="zh-CN"/>
              </w:rPr>
            </w:pPr>
            <w:r>
              <w:rPr>
                <w:rFonts w:hint="default" w:ascii="Times New Roman" w:hAnsi="Times New Roman" w:eastAsia="宋体" w:cs="Times New Roman"/>
                <w:color w:val="auto"/>
                <w:sz w:val="24"/>
                <w:szCs w:val="24"/>
              </w:rPr>
              <w:t>保存永久占地和临时占地的熟化土，为植被恢复提供良好的土壤。对建设中</w:t>
            </w:r>
            <w:r>
              <w:rPr>
                <w:rFonts w:hint="eastAsia" w:ascii="Times New Roman" w:hAnsi="Times New Roman" w:cs="Times New Roman"/>
                <w:color w:val="auto"/>
                <w:sz w:val="24"/>
                <w:szCs w:val="24"/>
                <w:lang w:val="en-US" w:eastAsia="zh-CN"/>
              </w:rPr>
              <w:t>临时</w:t>
            </w:r>
            <w:r>
              <w:rPr>
                <w:rFonts w:hint="default" w:ascii="Times New Roman" w:hAnsi="Times New Roman" w:eastAsia="宋体" w:cs="Times New Roman"/>
                <w:color w:val="auto"/>
                <w:sz w:val="24"/>
                <w:szCs w:val="24"/>
              </w:rPr>
              <w:t>占用草地部分的表层土予以收集保存，以便施工结束后复垦或选择当地适宜植物及时恢复绿化。取土时要合理规范，避免将来坍塌导致自然景观的再破坏；取土后要整形、与周围景观协调。弃土要及时堆放整齐，完工时，生物防护采用乡土植物种类。</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（2）运营期环境影响</w:t>
            </w:r>
          </w:p>
          <w:p>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552" w:firstLineChars="200"/>
              <w:jc w:val="left"/>
              <w:textAlignment w:val="baseline"/>
              <w:rPr>
                <w:rFonts w:hint="default" w:ascii="宋体" w:hAnsi="宋体" w:eastAsia="宋体" w:cs="宋体"/>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①道</w:t>
            </w:r>
            <w:r>
              <w:rPr>
                <w:rFonts w:hint="eastAsia" w:ascii="宋体" w:hAnsi="宋体" w:eastAsia="宋体" w:cs="宋体"/>
                <w:spacing w:val="18"/>
                <w:sz w:val="24"/>
                <w:szCs w:val="24"/>
                <w:highlight w:val="none"/>
                <w:lang w:val="en-US" w:eastAsia="zh-CN"/>
              </w:rPr>
              <w:t>路污染源分析</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项目投入运营后产生的污染物主要为道路行驶车辆尾气及车辆噪声。除此之外，运营期道路养护过程中会产生一定量的沥青废渣。</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本项目道路工程共建设6条公共道路</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分别为南环路(4670m)、呼图壁街道(1457m)、健康路(400m)、纵五路(350m)、瑞康路(300m)和东翔路(1161m)，条道路均为次干路，红线宽40m，行车道宽16m，双向4车道，本次评价选取南环路、呼图壁街道和东翔路作为代表进行评价。由运营期道路行驶车辆排放汽车尾气的预测结果可知，南环路近期(2017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136.22t/a，NO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107.25/a，THC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54.66t/a</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远期(2025年)汽车尾气中污染物排放量为CO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333.86t/a</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:262.87t/a，THC:133.97t/a。呼图壁街道近期(2017年)汽车尾气中污染物排放量为CO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52.26t/a，NO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41.15t/a，THC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20.97t/a</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远期(2025年)汽车尾气中污染物排放量为CO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128.08t/a</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100.85t/a，THC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51.40t/a。东翔路近期(2017年)汽车尾气中污染物排放量为CO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49.77t/a，NO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39.19t/a，THC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19.97t/a</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远期(2025年)汽车尾气中污染物排放量为CO</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121.98t/a，NO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96.04t/a，THC</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48.95t/a。在预测的目标年，汽车尾气排放量不大，对大气环境的贡献值较小。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rPr>
            </w:pPr>
            <w:r>
              <w:rPr>
                <w:rFonts w:hint="default" w:ascii="Times New Roman" w:hAnsi="Times New Roman" w:eastAsia="宋体" w:cs="Times New Roman"/>
                <w:snapToGrid w:val="0"/>
                <w:color w:val="000000"/>
                <w:kern w:val="0"/>
                <w:sz w:val="24"/>
                <w:szCs w:val="24"/>
                <w:lang w:val="en-US" w:eastAsia="zh-CN" w:bidi="ar"/>
              </w:rPr>
              <w:t>根据《公路建设项目环境影响评价规范》(JTGB03-2006)条文说明11.1.3的相关内容</w:t>
            </w:r>
            <w:r>
              <w:rPr>
                <w:rFonts w:hint="eastAsia" w:ascii="宋体" w:hAnsi="宋体" w:eastAsia="宋体" w:cs="宋体"/>
                <w:snapToGrid w:val="0"/>
                <w:color w:val="000000"/>
                <w:kern w:val="0"/>
                <w:sz w:val="24"/>
                <w:szCs w:val="24"/>
                <w:lang w:val="en-US" w:eastAsia="zh-CN" w:bidi="ar"/>
              </w:rPr>
              <w:t>：“根据</w:t>
            </w:r>
            <w:r>
              <w:rPr>
                <w:rFonts w:hint="default" w:ascii="Times New Roman" w:hAnsi="Times New Roman" w:eastAsia="宋体" w:cs="Times New Roman"/>
                <w:snapToGrid w:val="0"/>
                <w:color w:val="000000"/>
                <w:kern w:val="0"/>
                <w:sz w:val="24"/>
                <w:szCs w:val="24"/>
                <w:lang w:val="en-US" w:eastAsia="zh-CN" w:bidi="ar"/>
              </w:rPr>
              <w:t>已做的公路环境评价、公路竣工环境保护验收调查和公路类比监测表明，公路运营期车辆排放污染物的扩散与公路沿线地形和气象条件有关，扩散后所覆盖的地域为公路两侧与线形平等的带状区域。即使是交通量很大的公路，距公路中心线150m以外的污染物浓度已接近背景值</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及11.1.5的相关内容：“根据高速公路竣工验收监测数据，虽然公路两侧NO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浓度高于全国监测NO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浓度的年日均值的混合平均值0.046mg/m</w:t>
            </w:r>
            <w:r>
              <w:rPr>
                <w:rFonts w:hint="default" w:ascii="Times New Roman" w:hAnsi="Times New Roman" w:eastAsia="宋体" w:cs="Times New Roman"/>
                <w:snapToGrid w:val="0"/>
                <w:color w:val="000000"/>
                <w:kern w:val="0"/>
                <w:sz w:val="24"/>
                <w:szCs w:val="24"/>
                <w:vertAlign w:val="superscript"/>
                <w:lang w:val="en-US" w:eastAsia="zh-CN" w:bidi="ar"/>
              </w:rPr>
              <w:t>3</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但公路两侧的NO</w:t>
            </w:r>
            <w:r>
              <w:rPr>
                <w:rFonts w:hint="default" w:ascii="Times New Roman" w:hAnsi="Times New Roman" w:eastAsia="宋体" w:cs="Times New Roman"/>
                <w:snapToGrid w:val="0"/>
                <w:color w:val="000000"/>
                <w:kern w:val="0"/>
                <w:sz w:val="24"/>
                <w:szCs w:val="24"/>
                <w:vertAlign w:val="sub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浓度没有明显的超标现象，通常在路侧50m范围内即可满足二级标准。因此，除一级评价需要进行模式预测外，二级、三级评价可适当简化。”</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本项目道路实际情况和项目场地大气环境质量背景值比较低。</w:t>
            </w: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声环境影响分析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项目运营后道路噪声源主要为路面行驶的车辆由于气流湍动、路面平整度、发动机运转、排气系统、轮胎与路面磨擦等将产生交通噪声，噪声强度与单车源强、车流量、车型比及车速等多种因素有关。本项目道路设计时速为50km/h，车辆通行产生的交通噪声源强约为70~55dB(A)。</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本项目换热站运营期主要污染为设备产生的噪声污染。</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项目运营期换热站设备会产生噪声影响，本项目换热站建立在远离人群密集居住区的位置，使用独立建筑物，做好基础减震及建筑隔声措施，最大程度上降低换热站对周围居民和环境的影响。</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本项目换热站设置较为分散，都设置在企业周围，换热站产生的噪声约为80-90dB</w:t>
            </w:r>
            <w:r>
              <w:rPr>
                <w:rFonts w:hint="eastAsia" w:ascii="Times New Roman" w:hAnsi="Times New Roman" w:eastAsia="宋体" w:cs="Times New Roman"/>
                <w:sz w:val="24"/>
                <w:szCs w:val="24"/>
                <w:lang w:eastAsia="zh-CN"/>
              </w:rPr>
              <w:t>。</w:t>
            </w:r>
            <w:r>
              <w:rPr>
                <w:rFonts w:hint="default" w:ascii="Times New Roman" w:hAnsi="Times New Roman" w:cs="Times New Roman"/>
                <w:sz w:val="24"/>
                <w:szCs w:val="24"/>
              </w:rPr>
              <w:t>建设方合理安排换热站位置，远离居民住宅楼，与最近的住宅须要保持15m以上的距离，使用独立建筑物，做好换热站基础减震，隔声降噪，经降噪措施处理后，换热站所在建筑物外1米为45-55dB。</w:t>
            </w:r>
          </w:p>
          <w:p>
            <w:pPr>
              <w:pStyle w:val="2"/>
              <w:keepNext w:val="0"/>
              <w:keepLines w:val="0"/>
              <w:pageBreakBefore w:val="0"/>
              <w:widowControl/>
              <w:numPr>
                <w:ilvl w:val="0"/>
                <w:numId w:val="4"/>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水环境影响分析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运营后对水环境的影响主要为路面径流的影响，道路路面径流是具有单一地表使用功能的地表径流。路面径流污染是该指货物运输过程中在路面上的抛洒、汽车尾气中微粒在路面上的降落、汽车燃油在路面上的滴漏及轮胎与路面的磨损物等，当降水形成路面径流</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这些有害物质被挟带排入干渠造成水环境质量下降的现象。根据研究结果表明，路面径流中的污染物有SS、COD、重金属等，其主要来源是车辆磨损颗粒、筑路材料磨损颗粒、运输物品的泄露、大气降尘等。影响路面径流污染的因素主要为</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气象状况，包括降雨强度、降雨量、降雨历时等因素</w:t>
            </w:r>
            <w:r>
              <w:rPr>
                <w:rFonts w:hint="eastAsia"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交通状况，包括交通流量、车型构成及路面类型、路面宽度、路段长度等。</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项目所在区域气象资料，项目区蒸发量远大于降水量，即项目区雨水很少，因此本项目不设单独的雨水管道，通过控制道路的纵、横坡度，将雨水排入道路两侧。因此项目建成后路面雨水径流对环境影响很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4）固体废物环境影响分析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eastAsia" w:ascii="宋体" w:hAnsi="宋体" w:eastAsia="宋体" w:cs="宋体"/>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宋体" w:hAnsi="宋体" w:eastAsia="宋体" w:cs="宋体"/>
                <w:sz w:val="24"/>
                <w:szCs w:val="24"/>
                <w:lang w:val="en-US" w:eastAsia="zh-CN"/>
              </w:rPr>
            </w:pPr>
            <w:r>
              <w:rPr>
                <w:rFonts w:hint="default" w:ascii="Times New Roman" w:hAnsi="Times New Roman" w:eastAsia="宋体" w:cs="Times New Roman"/>
                <w:sz w:val="24"/>
                <w:szCs w:val="24"/>
                <w:lang w:val="en-US" w:eastAsia="zh-CN"/>
              </w:rPr>
              <w:t>5）</w:t>
            </w:r>
            <w:r>
              <w:rPr>
                <w:rFonts w:hint="eastAsia" w:ascii="宋体" w:hAnsi="宋体" w:eastAsia="宋体" w:cs="宋体"/>
                <w:sz w:val="24"/>
                <w:szCs w:val="24"/>
                <w:lang w:val="en-US" w:eastAsia="zh-CN"/>
              </w:rPr>
              <w:t>电磁辐射</w:t>
            </w:r>
            <w:r>
              <w:rPr>
                <w:rFonts w:hint="default" w:ascii="Times New Roman" w:hAnsi="Times New Roman" w:eastAsia="宋体" w:cs="Times New Roman"/>
                <w:sz w:val="24"/>
                <w:szCs w:val="24"/>
                <w:lang w:val="en-US" w:eastAsia="zh-CN"/>
              </w:rPr>
              <w:t>环境影响</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宋体" w:hAnsi="宋体" w:eastAsia="宋体" w:cs="宋体"/>
                <w:sz w:val="24"/>
                <w:szCs w:val="24"/>
                <w:lang w:val="en-US" w:eastAsia="zh-CN"/>
              </w:rPr>
              <w:t>本项目电力架设电线产生的电磁辐射可能对人体产生影响，输变电设施的工频电场和工频磁场也可能对操作人员的健康产生影响。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对人体有影响的电磁辐射一般指在十万赫兹以上高频率的电磁波。能发射电磁辐射的设备主要有广播电视发射设备、通信、雷达、导航发射设施等。居民日常生活所经常遇到的电磁辐射有：手机、无绳电话、微波炉、电磁炉、电脑和彩电等。临近输变电设施的居民区住宅，只要是在安全距离以外，受输变电设施的电磁辐射影响是微小的，所接触到的大部分电磁辐射主要还是来源于家庭中的电器设备。</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我国输变电设施的频率为50赫兹(通常称为工频)</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和广播电视、通讯和微波的频率105～109赫兹相比，频率低得多。所以它不容易产生辐射。国际“电磁兼容”标准中规定，9000赫兹以上的频率才称为“射频”,也就是说9000赫兹以下频率的电源因辐射量太小，可以认为它们基本不会发射电磁波。输电设备工作频率在50赫兹比9000赫兹小180倍，它的辐射功率就更小，对人身基本不会产生任何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对于110KV以上的输电线，由于电压较高，在导线表面会产</w:t>
            </w:r>
            <w:r>
              <w:rPr>
                <w:rFonts w:hint="eastAsia" w:ascii="宋体" w:hAnsi="宋体" w:eastAsia="宋体" w:cs="宋体"/>
                <w:snapToGrid w:val="0"/>
                <w:color w:val="000000"/>
                <w:kern w:val="0"/>
                <w:sz w:val="24"/>
                <w:szCs w:val="24"/>
                <w:lang w:val="en-US" w:eastAsia="zh-CN" w:bidi="ar"/>
              </w:rPr>
              <w:t>生“电晕”现象</w:t>
            </w:r>
            <w:r>
              <w:rPr>
                <w:rFonts w:hint="default" w:ascii="Times New Roman" w:hAnsi="Times New Roman" w:eastAsia="宋体" w:cs="Times New Roman"/>
                <w:snapToGrid w:val="0"/>
                <w:color w:val="000000"/>
                <w:kern w:val="0"/>
                <w:sz w:val="24"/>
                <w:szCs w:val="24"/>
                <w:lang w:val="en-US" w:eastAsia="zh-CN" w:bidi="ar"/>
              </w:rPr>
              <w:t>，从而会产生十分微弱的电磁辐射。根据实际测量，即使对于500kV的高压输电线，其单位面积的辐射功率相当于一般城市家庭中所接收到的无线电广播电磁波辐射功率强度的十分之一，当然它对人身也不会产生任何影响。因此，可以这样说：输变电设施的所产生的电磁辐射对人体健康造成的影响是微小的。</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输变电设施在运行时所产生的工频电场和工频磁场，它对人体健康是否有影响，国内外自1979年起就开始了大量的研究，发表的论文超过1000篇，所得的结果是，有些论文表示有少许关连性，大部分则完全否定了会有关连性。1996年美国国家研究委员会得出结论：现有的证据表明暴露于工频电场或磁场，不会出现人体健康的危害。1999年美国国立卫生研究所得出结论：科学证据说明工频电磁场的暴露造成健康危害的是微弱的。国内外没有足够的科学证据显示输变电设施工频电场和工频磁场会对人体健康造成危害，为了保护生活环境，国家环保部门还是推荐了严格的工频磁场和工频电场的评价标准，只要工频磁场和工频电场满足这些标准，就肯定不会对人体健康造成危害。</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国内暂未制定有关居民区工频电场评价标准，可引用国家环保总局《500kV超高压送变电工程电磁辐射环境影响评价技术规范》(HJ/T24-1998)中规定的推荐值作为指引标准。规范中“推荐暂以4kV/m作为居民区工频电场评价标准，推荐暂以应用国际辐射保护协会关于对公众全天辐射时的工频限值0.1mT作为磁感应强度的评价标准。”根据中华人民共和国标准《作业场所工频电场卫生标准》(GB16203-1996)规定“作业场所工频电场强度8h最高容许量为5kV/m”；根据电力行业标准DL/T799.7-2002规定“0.1mT作为作业场所工频磁场的最高容许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典型110kV变电站站界电磁环境现状分析》-《高压电器》(2011年07期)中通过分析对比4种不同布置方式典型110kV变电站站界电磁环境检测数据，得出目前110kV变电站周围的工频电场强度和磁感应强度均远小于国家推荐的标准限值，即工频电场强度4 kV/m和工频磁感应强度0.1mT的标准限值。</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随着人民生活水平的提高，我国公众开始关注输变电设施中的工频电场和工频磁场对环境的影响。110kV以下输变电设施的工频电场和工频磁场很小，被环保部门列入豁免水平以下的输变电设施进行管理。与我国相比，西方发达国家现行的工频电场和工频磁场限值要比我国目前的规定宽松得多。</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宋体" w:hAnsi="宋体" w:eastAsia="宋体" w:cs="宋体"/>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改迁和架设电线会产生的一定的电磁辐射，但本项目最大电压为110kV且项目区距离集中居民住宅区较远，不会对居民身体健康产生危害。110kV输电线路采用高压架空线路，最终的接入系统方案以审查后的接入设计为准，线路尽量与道路平行，导线产生的电磁辐射影响较小，在正常情况下对地面人员的活动无不良影响，影响甚微。</w:t>
            </w:r>
          </w:p>
        </w:tc>
      </w:tr>
    </w:tbl>
    <w:p>
      <w:pPr>
        <w:rPr>
          <w:rFonts w:hint="default" w:ascii="Times New Roman" w:hAnsi="Times New Roman" w:cs="Times New Roman"/>
          <w:sz w:val="21"/>
        </w:rPr>
      </w:pPr>
    </w:p>
    <w:p>
      <w:pPr>
        <w:rPr>
          <w:rFonts w:hint="default" w:ascii="Times New Roman" w:hAnsi="Times New Roman" w:cs="Times New Roman"/>
        </w:rPr>
        <w:sectPr>
          <w:footerReference r:id="rId11"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5" w:name="_Toc14720"/>
      <w:r>
        <w:rPr>
          <w:rFonts w:hint="default" w:ascii="Times New Roman" w:hAnsi="Times New Roman" w:cs="Times New Roman"/>
          <w:sz w:val="32"/>
          <w:szCs w:val="52"/>
        </w:rPr>
        <w:t>表六 环境影响评价回顾</w:t>
      </w:r>
      <w:bookmarkEnd w:id="5"/>
    </w:p>
    <w:tbl>
      <w:tblPr>
        <w:tblStyle w:val="19"/>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2764" w:hRule="atLeast"/>
        </w:trPr>
        <w:tc>
          <w:tcPr>
            <w:tcW w:w="8984" w:type="dxa"/>
            <w:vAlign w:val="top"/>
          </w:tcPr>
          <w:p>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eastAsia" w:ascii="宋体" w:hAnsi="宋体" w:eastAsia="宋体" w:cs="宋体"/>
                <w:b/>
                <w:bCs/>
                <w:spacing w:val="-5"/>
                <w:sz w:val="28"/>
                <w:szCs w:val="28"/>
              </w:rPr>
              <w:t>评价结论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eastAsia" w:ascii="宋体" w:hAnsi="宋体" w:eastAsia="宋体" w:cs="宋体"/>
                <w:spacing w:val="-5"/>
                <w:sz w:val="28"/>
                <w:szCs w:val="28"/>
                <w14:textOutline w14:w="5094" w14:cap="flat" w14:cmpd="sng">
                  <w14:solidFill>
                    <w14:srgbClr w14:val="000000"/>
                  </w14:solidFill>
                  <w14:prstDash w14:val="solid"/>
                  <w14:miter w14:val="0"/>
                </w14:textOutline>
              </w:rPr>
              <w:t>项目概</w:t>
            </w:r>
            <w:r>
              <w:rPr>
                <w:rFonts w:hint="eastAsia" w:ascii="宋体" w:hAnsi="宋体" w:eastAsia="宋体" w:cs="宋体"/>
                <w:spacing w:val="-4"/>
                <w:sz w:val="28"/>
                <w:szCs w:val="28"/>
                <w14:textOutline w14:w="5094" w14:cap="flat" w14:cmpd="sng">
                  <w14:solidFill>
                    <w14:srgbClr w14:val="000000"/>
                  </w14:solidFill>
                  <w14:prstDash w14:val="solid"/>
                  <w14:miter w14:val="0"/>
                </w14:textOutline>
              </w:rPr>
              <w:t>况</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新疆润盛投资发展有限公司奎屯-独山子经济技术开发区2015年基础设施建设项目</w:t>
            </w:r>
          </w:p>
          <w:p>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eastAsia" w:ascii="Times New Roman" w:hAnsi="Times New Roman" w:eastAsia="宋体" w:cs="Times New Roman"/>
                <w:color w:val="auto"/>
                <w:sz w:val="24"/>
                <w:szCs w:val="24"/>
                <w:u w:val="none"/>
                <w:lang w:val="en-US" w:eastAsia="zh-CN"/>
              </w:rPr>
              <w:t>奎屯-独山子经济技术开发区内</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color w:val="000000"/>
                <w:sz w:val="24"/>
                <w:szCs w:val="24"/>
                <w:lang w:val="en-US" w:eastAsia="zh-CN"/>
              </w:rPr>
              <w:t>新疆润盛投资发展有限公司</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eastAsia" w:ascii="Times New Roman" w:hAnsi="Times New Roman" w:eastAsia="宋体" w:cs="Times New Roman"/>
                <w:spacing w:val="-1"/>
                <w:sz w:val="24"/>
                <w:szCs w:val="24"/>
                <w:lang w:val="en-US" w:eastAsia="zh-CN"/>
              </w:rPr>
              <w:t>32123</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1096</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3.41%</w:t>
            </w:r>
          </w:p>
          <w:p>
            <w:pPr>
              <w:keepNext w:val="0"/>
              <w:keepLines w:val="0"/>
              <w:pageBreakBefore w:val="0"/>
              <w:widowControl w:val="0"/>
              <w:kinsoku/>
              <w:wordWrap/>
              <w:bidi w:val="0"/>
              <w:adjustRightInd/>
              <w:snapToGrid/>
              <w:spacing w:line="360" w:lineRule="auto"/>
              <w:ind w:firstLine="476" w:firstLineChars="200"/>
              <w:rPr>
                <w:rFonts w:hint="default" w:ascii="Times New Roman" w:hAnsi="Times New Roman" w:eastAsia="宋体" w:cs="Times New Roman"/>
                <w:snapToGrid w:val="0"/>
                <w:sz w:val="24"/>
                <w:szCs w:val="24"/>
              </w:rPr>
            </w:pPr>
            <w:r>
              <w:rPr>
                <w:rFonts w:hint="default" w:ascii="Times New Roman" w:hAnsi="Times New Roman" w:eastAsia="宋体" w:cs="Times New Roman"/>
                <w:spacing w:val="-1"/>
                <w:sz w:val="24"/>
                <w:szCs w:val="24"/>
              </w:rPr>
              <w:t>建设规模：</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val="0"/>
              <w:kinsoku/>
              <w:wordWrap/>
              <w:bidi w:val="0"/>
              <w:adjustRightInd/>
              <w:snapToGrid/>
              <w:spacing w:line="360" w:lineRule="auto"/>
              <w:ind w:firstLine="476" w:firstLineChars="200"/>
              <w:rPr>
                <w:rFonts w:hint="default" w:ascii="Times New Roman" w:hAnsi="Times New Roman" w:eastAsia="宋体" w:cs="Times New Roman"/>
                <w:spacing w:val="-1"/>
                <w:sz w:val="24"/>
                <w:szCs w:val="24"/>
                <w:lang w:val="en-US"/>
              </w:rPr>
            </w:pPr>
            <w:r>
              <w:rPr>
                <w:rFonts w:hint="default" w:ascii="Times New Roman" w:hAnsi="Times New Roman" w:eastAsia="宋体" w:cs="Times New Roman"/>
                <w:spacing w:val="-1"/>
                <w:sz w:val="24"/>
                <w:szCs w:val="24"/>
              </w:rPr>
              <w:t>建设内容：</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2区域环境质量现状</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的年评价指标为达标，因此，项目所在区域为达标区。</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76" w:firstLineChars="200"/>
              <w:jc w:val="left"/>
              <w:textAlignment w:val="baseline"/>
              <w:rPr>
                <w:rFonts w:hint="default" w:ascii="Times New Roman" w:hAnsi="Times New Roman" w:cs="Times New Roman"/>
                <w:color w:val="auto"/>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cs="Times New Roman"/>
                <w:color w:val="auto"/>
                <w:sz w:val="24"/>
                <w:szCs w:val="24"/>
                <w:highlight w:val="none"/>
                <w:lang w:val="en-US" w:eastAsia="zh-CN"/>
              </w:rPr>
              <w:t>《奎屯市市容环境卫生管理处医疗废物高温蒸汽灭菌系统项目》项目区水井。监测项目包括</w:t>
            </w:r>
            <w:r>
              <w:rPr>
                <w:rFonts w:hint="eastAsia"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K</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、Na</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、Ca²</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、Mg</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、CO</w:t>
            </w:r>
            <w:r>
              <w:rPr>
                <w:rFonts w:hint="default" w:ascii="Times New Roman" w:hAnsi="Times New Roman" w:cs="Times New Roman"/>
                <w:color w:val="auto"/>
                <w:sz w:val="24"/>
                <w:szCs w:val="24"/>
                <w:highlight w:val="none"/>
                <w:vertAlign w:val="subscript"/>
                <w:lang w:val="en-US" w:eastAsia="zh-CN"/>
              </w:rPr>
              <w:t>3</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、HCO</w:t>
            </w:r>
            <w:r>
              <w:rPr>
                <w:rFonts w:hint="default" w:ascii="Times New Roman" w:hAnsi="Times New Roman" w:cs="Times New Roman"/>
                <w:color w:val="auto"/>
                <w:sz w:val="24"/>
                <w:szCs w:val="24"/>
                <w:highlight w:val="none"/>
                <w:vertAlign w:val="subscript"/>
                <w:lang w:val="en-US" w:eastAsia="zh-CN"/>
              </w:rPr>
              <w:t>3</w:t>
            </w:r>
            <w:r>
              <w:rPr>
                <w:rFonts w:hint="eastAsia"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、pH、</w:t>
            </w:r>
            <w:r>
              <w:rPr>
                <w:rFonts w:hint="eastAsia" w:ascii="Times New Roman" w:hAnsi="Times New Roman" w:cs="Times New Roman"/>
                <w:color w:val="auto"/>
                <w:sz w:val="24"/>
                <w:szCs w:val="24"/>
                <w:highlight w:val="none"/>
                <w:lang w:val="en-US" w:eastAsia="zh-CN"/>
              </w:rPr>
              <w:t>总硬度、</w:t>
            </w:r>
            <w:r>
              <w:rPr>
                <w:rFonts w:hint="default" w:ascii="Times New Roman" w:hAnsi="Times New Roman" w:cs="Times New Roman"/>
                <w:color w:val="auto"/>
                <w:sz w:val="24"/>
                <w:szCs w:val="24"/>
                <w:highlight w:val="none"/>
                <w:lang w:val="en-US" w:eastAsia="zh-CN"/>
              </w:rPr>
              <w:t>溶解性总固体、化学需氧量、氨氮、五日生化需氧量、阴离子表面活性剂、硝酸盐、亚硝酸盐、挥发酚</w:t>
            </w:r>
            <w:r>
              <w:rPr>
                <w:rFonts w:hint="eastAsia" w:ascii="Times New Roman" w:hAnsi="Times New Roman" w:cs="Times New Roman"/>
                <w:color w:val="auto"/>
                <w:sz w:val="24"/>
                <w:szCs w:val="24"/>
                <w:highlight w:val="none"/>
                <w:lang w:val="en-US" w:eastAsia="zh-CN"/>
              </w:rPr>
              <w:t>类</w:t>
            </w:r>
            <w:r>
              <w:rPr>
                <w:rFonts w:hint="default" w:ascii="Times New Roman" w:hAnsi="Times New Roman" w:cs="Times New Roman"/>
                <w:color w:val="auto"/>
                <w:sz w:val="24"/>
                <w:szCs w:val="24"/>
                <w:highlight w:val="none"/>
                <w:lang w:val="en-US" w:eastAsia="zh-CN"/>
              </w:rPr>
              <w:t>、氰化物、氯化物、镉、砷、汞、锌、六价铬、硫酸盐、氟化物、高锰酸盐指数、总大肠菌群等共27个监测项目。</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Times New Roman" w:hAnsi="Times New Roman" w:eastAsia="宋体" w:cs="Times New Roman"/>
                <w:color w:val="auto"/>
                <w:spacing w:val="-1"/>
                <w:sz w:val="24"/>
                <w:szCs w:val="24"/>
                <w:highlight w:val="none"/>
                <w:lang w:val="en-US" w:eastAsia="zh-CN"/>
              </w:rPr>
            </w:pPr>
            <w:r>
              <w:rPr>
                <w:rFonts w:hint="eastAsia" w:ascii="Times New Roman" w:hAnsi="Times New Roman" w:cs="Times New Roman"/>
                <w:color w:val="auto"/>
                <w:sz w:val="24"/>
                <w:szCs w:val="24"/>
                <w:highlight w:val="none"/>
                <w:lang w:val="en-US" w:eastAsia="zh-CN"/>
              </w:rPr>
              <w:t>根据监测结果，除氟化物超标外，其余各点各项指标的单因子指数均&lt;1，能够达到《地下水质量标准》(GB/T14848-93)中的</w:t>
            </w:r>
            <w:r>
              <w:rPr>
                <w:rFonts w:hint="default" w:ascii="Times New Roman" w:hAnsi="Times New Roman" w:eastAsia="宋体" w:cs="Times New Roman"/>
                <w:color w:val="auto"/>
                <w:sz w:val="24"/>
                <w:szCs w:val="24"/>
                <w:highlight w:val="none"/>
                <w:lang w:val="en-US" w:eastAsia="zh-CN"/>
              </w:rPr>
              <w:t>Ⅲ</w:t>
            </w:r>
            <w:r>
              <w:rPr>
                <w:rFonts w:hint="eastAsia" w:ascii="Times New Roman" w:hAnsi="Times New Roman" w:cs="Times New Roman"/>
                <w:color w:val="auto"/>
                <w:sz w:val="24"/>
                <w:szCs w:val="24"/>
                <w:highlight w:val="none"/>
                <w:lang w:val="en-US" w:eastAsia="zh-CN"/>
              </w:rPr>
              <w:t>类标准要求，项目区地下水质量较好。超标原因为本项目区为地下水高氟区。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w:t>
            </w:r>
            <w:r>
              <w:rPr>
                <w:rFonts w:hint="eastAsia" w:ascii="Times New Roman" w:hAnsi="Times New Roman" w:eastAsia="宋体" w:cs="Times New Roman"/>
                <w:spacing w:val="-1"/>
                <w:sz w:val="24"/>
                <w:szCs w:val="24"/>
                <w:highlight w:val="none"/>
                <w:lang w:val="en-US" w:eastAsia="zh-CN"/>
              </w:rPr>
              <w:t>2类、3类和4a</w:t>
            </w:r>
            <w:r>
              <w:rPr>
                <w:rFonts w:hint="default" w:ascii="Times New Roman" w:hAnsi="Times New Roman" w:eastAsia="宋体" w:cs="Times New Roman"/>
                <w:spacing w:val="-1"/>
                <w:sz w:val="24"/>
                <w:szCs w:val="24"/>
                <w:highlight w:val="none"/>
                <w:lang w:val="en-US" w:eastAsia="zh-CN"/>
              </w:rPr>
              <w:t>类区标准限值，说明评价区内现状声环境质量较好。</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3施工期环境影响</w:t>
            </w:r>
          </w:p>
          <w:p>
            <w:pPr>
              <w:keepNext w:val="0"/>
              <w:keepLines w:val="0"/>
              <w:pageBreakBefore w:val="0"/>
              <w:widowControl/>
              <w:kinsoku/>
              <w:wordWrap/>
              <w:overflowPunct/>
              <w:topLinePunct w:val="0"/>
              <w:autoSpaceDE/>
              <w:autoSpaceDN/>
              <w:bidi w:val="0"/>
              <w:adjustRightInd w:val="0"/>
              <w:snapToGrid w:val="0"/>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本项目施工期已经结束，经过现场踏勘，施工道路沿线无施工遗迹、建筑垃圾等残留，无与施工期有关的环境污染。</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4运营期环境影响</w:t>
            </w:r>
          </w:p>
          <w:p>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eastAsia" w:ascii="宋体" w:hAnsi="宋体" w:eastAsia="宋体" w:cs="宋体"/>
                <w:snapToGrid w:val="0"/>
                <w:color w:val="000000"/>
                <w:spacing w:val="4"/>
                <w:kern w:val="0"/>
                <w:sz w:val="24"/>
                <w:szCs w:val="24"/>
                <w:lang w:val="en-US" w:eastAsia="zh-CN"/>
              </w:rPr>
            </w:pPr>
            <w:r>
              <w:rPr>
                <w:rFonts w:hint="eastAsia" w:ascii="宋体" w:hAnsi="宋体" w:eastAsia="宋体" w:cs="宋体"/>
                <w:snapToGrid w:val="0"/>
                <w:color w:val="000000"/>
                <w:spacing w:val="4"/>
                <w:kern w:val="0"/>
                <w:sz w:val="24"/>
                <w:szCs w:val="24"/>
                <w:lang w:val="en-US" w:eastAsia="zh-CN"/>
              </w:rPr>
              <w:t>本项目为基础设施建设项目，所有单项内容都已建设完成，施工期已结束，施工现场不存在遗留的环境问题。</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1.5结论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运营期影响周围环境空气的主要因素为过往车辆产生的汽车尾气，主要空气污染物</w:t>
            </w:r>
            <w:r>
              <w:rPr>
                <w:rFonts w:hint="default" w:ascii="Times New Roman" w:hAnsi="Times New Roman" w:eastAsia="宋体" w:cs="Times New Roman"/>
                <w:snapToGrid w:val="0"/>
                <w:color w:val="000000"/>
                <w:kern w:val="0"/>
                <w:sz w:val="24"/>
                <w:szCs w:val="24"/>
                <w:lang w:val="en-US" w:eastAsia="zh-CN" w:bidi="ar"/>
              </w:rPr>
              <w:t>为CO、NOx。</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eastAsia"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2）声环境影响分析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项目运营后噪声源主要为路面行驶的车辆由于气流湍动、路面平整度、发动机运转、排气系统、轮胎与路面磨擦等将产生交通噪声，噪声强度与单车源强、车流量、车型比及车速等多种因素有关。</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预测结果可知，在不考虑建筑物对噪声屏蔽、绿化带隔声作用条件下，拟建道路建成运营远期昼间，道路红线两侧10m外昼间和夜间声环境均能够达到《声环境质量标准》(GB3096-2008)4a类标准(即昼间≤70dB(A)、夜间≤55dB(A))。运营期道路噪声对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项目运营期换热站设备会产生噪声影响，本项目换热站建立在远离人群密集居住区的位置，使用独立建筑物，做好基础减震及建筑隔声措施，最大程度上降低换热站对周围居民和环境的影响。</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（3）</w:t>
            </w:r>
            <w:r>
              <w:rPr>
                <w:rFonts w:hint="default" w:ascii="Times New Roman" w:hAnsi="Times New Roman" w:eastAsia="宋体" w:cs="Times New Roman"/>
                <w:sz w:val="24"/>
                <w:szCs w:val="24"/>
                <w:lang w:val="en-US" w:eastAsia="zh-CN"/>
              </w:rPr>
              <w:t>水环境影响分析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本项目中道路工程项目运营后水污染源主要来为降雨冲刷路面产生的路面径流污水，污水量影响因素包括降雨强度、降雨历时、降雨频率、车流量、路面宽度和产污路段长度等，主要污染物为</w:t>
            </w:r>
            <w:r>
              <w:rPr>
                <w:rFonts w:hint="eastAsia" w:ascii="Times New Roman" w:hAnsi="Times New Roman" w:eastAsia="宋体" w:cs="Times New Roman"/>
                <w:snapToGrid w:val="0"/>
                <w:color w:val="000000"/>
                <w:kern w:val="0"/>
                <w:sz w:val="24"/>
                <w:szCs w:val="24"/>
                <w:lang w:val="en-US" w:eastAsia="zh-CN" w:bidi="ar"/>
              </w:rPr>
              <w:t>石油类、有机物和</w:t>
            </w:r>
            <w:r>
              <w:rPr>
                <w:rFonts w:hint="default" w:ascii="Times New Roman" w:hAnsi="Times New Roman" w:eastAsia="宋体" w:cs="Times New Roman"/>
                <w:snapToGrid w:val="0"/>
                <w:color w:val="000000"/>
                <w:kern w:val="0"/>
                <w:sz w:val="24"/>
                <w:szCs w:val="24"/>
                <w:lang w:val="en-US" w:eastAsia="zh-CN" w:bidi="ar"/>
              </w:rPr>
              <w:t>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项目设计文件，道路在不利于排水处设置开口型路缘石，将路面积水引至绿化带排出，从而使排水迅速畅通。本项目所在区域全年降水量较少，涉及道路沿线无地表水体，雨水汇集至低洼处，排入绿化带由植被吸收自然降解，对项目区水环境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lang w:val="en-US" w:eastAsia="zh-CN"/>
              </w:rPr>
              <w:t>4）固体废物环境影响分析</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eastAsia" w:ascii="Times New Roman" w:hAnsi="Times New Roman" w:eastAsia="宋体" w:cs="Times New Roman"/>
                <w:b w:val="0"/>
                <w:bCs w:val="0"/>
                <w:snapToGrid w:val="0"/>
                <w:color w:val="000000"/>
                <w:spacing w:val="4"/>
                <w:kern w:val="0"/>
                <w:sz w:val="24"/>
                <w:szCs w:val="24"/>
                <w:lang w:val="en-US" w:eastAsia="zh-CN"/>
              </w:rPr>
              <w:t>（5）电磁辐射</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架设电线会产生的一定的电磁辐射，但本项目最大电压为110kV且项目区距离集中居民住宅区较远，不会对居民身体健康产生危害。110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6.</w:t>
            </w:r>
            <w:r>
              <w:rPr>
                <w:rFonts w:hint="default" w:ascii="Times New Roman" w:hAnsi="Times New Roman" w:eastAsia="宋体" w:cs="Times New Roman"/>
                <w:snapToGrid w:val="0"/>
                <w:color w:val="000000"/>
                <w:spacing w:val="4"/>
                <w:kern w:val="0"/>
                <w:sz w:val="24"/>
                <w:szCs w:val="24"/>
                <w:lang w:val="en-US" w:eastAsia="zh-CN"/>
              </w:rPr>
              <w:t>2要求</w:t>
            </w:r>
            <w:r>
              <w:rPr>
                <w:rFonts w:hint="eastAsia" w:ascii="Times New Roman" w:hAnsi="Times New Roman" w:eastAsia="宋体" w:cs="Times New Roman"/>
                <w:snapToGrid w:val="0"/>
                <w:color w:val="000000"/>
                <w:spacing w:val="4"/>
                <w:kern w:val="0"/>
                <w:sz w:val="24"/>
                <w:szCs w:val="24"/>
                <w:lang w:val="en-US" w:eastAsia="zh-CN"/>
              </w:rPr>
              <w:t>、建议</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(1)运营过程中建设单位应严格执行环评报告提出的各项污染控制措施</w:t>
            </w:r>
            <w:r>
              <w:rPr>
                <w:rFonts w:hint="eastAsia"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(2)本次环评要求建设单位完善道路工程的人行道和绿化带，以便道路两侧形成绿色屏障，可有效减少道路扬尘等大气污染、降低噪声。</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(3)加强各管线的维护、检修，做到随坏随修，保证其能够正常稳定的运行。</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(4)对生活垃圾进行分类收集，有回收利用价值的全部回收利用，无利用价值的全部集中收集，委托环卫部门统一清运，做到日产日清。</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(5)严格按照本报告中论述的治理措施进行实施，项目竣工后经环保主管部门验收合格后方可投入运行。</w:t>
            </w:r>
          </w:p>
          <w:p>
            <w:pPr>
              <w:pStyle w:val="2"/>
              <w:rPr>
                <w:rFonts w:hint="default"/>
                <w:lang w:val="en-US"/>
              </w:rPr>
            </w:pPr>
          </w:p>
        </w:tc>
      </w:tr>
    </w:tbl>
    <w:p>
      <w:pPr>
        <w:rPr>
          <w:rFonts w:hint="default" w:ascii="Times New Roman" w:hAnsi="Times New Roman" w:cs="Times New Roman"/>
        </w:rPr>
        <w:sectPr>
          <w:footerReference r:id="rId12"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139" w:hRule="atLeast"/>
        </w:trPr>
        <w:tc>
          <w:tcPr>
            <w:tcW w:w="9029"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奎屯-独山子经济技术开发区环境保护局</w:t>
            </w:r>
            <w:r>
              <w:rPr>
                <w:rFonts w:hint="default" w:ascii="Times New Roman" w:hAnsi="Times New Roman" w:eastAsia="宋体" w:cs="Times New Roman"/>
                <w:b/>
                <w:bCs/>
                <w:snapToGrid w:val="0"/>
                <w:color w:val="auto"/>
                <w:sz w:val="24"/>
                <w:szCs w:val="24"/>
                <w:lang w:val="en-US" w:eastAsia="zh-CN"/>
              </w:rPr>
              <w:t>文件</w:t>
            </w:r>
          </w:p>
          <w:p>
            <w:pPr>
              <w:adjustRightInd/>
              <w:snapToGrid/>
              <w:spacing w:after="0" w:line="360" w:lineRule="auto"/>
              <w:ind w:firstLine="480" w:firstLineChars="200"/>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奎独开环函[2017]29号</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新疆润盛投资发展有限公司奎屯-独山子经济技术开发区2015年基础设施建设项目</w:t>
            </w:r>
            <w:r>
              <w:rPr>
                <w:rFonts w:hint="default" w:ascii="Times New Roman" w:hAnsi="Times New Roman" w:eastAsia="宋体" w:cs="Times New Roman"/>
                <w:b/>
                <w:bCs/>
                <w:snapToGrid w:val="0"/>
                <w:color w:val="auto"/>
                <w:sz w:val="24"/>
                <w:szCs w:val="24"/>
              </w:rPr>
              <w:t>环境影响报告表的</w:t>
            </w:r>
            <w:r>
              <w:rPr>
                <w:rFonts w:hint="eastAsia" w:ascii="Times New Roman" w:hAnsi="Times New Roman" w:eastAsia="宋体" w:cs="Times New Roman"/>
                <w:b/>
                <w:bCs/>
                <w:snapToGrid w:val="0"/>
                <w:color w:val="auto"/>
                <w:sz w:val="24"/>
                <w:szCs w:val="24"/>
                <w:lang w:val="en-US" w:eastAsia="zh-CN"/>
              </w:rPr>
              <w:t>备案意见</w:t>
            </w:r>
          </w:p>
          <w:p>
            <w:pPr>
              <w:keepNext w:val="0"/>
              <w:keepLines w:val="0"/>
              <w:pageBreakBefore w:val="0"/>
              <w:widowControl/>
              <w:kinsoku/>
              <w:wordWrap/>
              <w:overflowPunct/>
              <w:topLinePunct w:val="0"/>
              <w:autoSpaceDE/>
              <w:autoSpaceDN/>
              <w:bidi w:val="0"/>
              <w:spacing w:line="360" w:lineRule="auto"/>
              <w:ind w:left="0"/>
              <w:textAlignment w:val="baseline"/>
              <w:rPr>
                <w:rFonts w:hint="eastAsia" w:ascii="宋体" w:hAnsi="宋体" w:eastAsia="宋体" w:cs="宋体"/>
                <w:sz w:val="24"/>
                <w:szCs w:val="24"/>
              </w:rPr>
            </w:pPr>
            <w:r>
              <w:rPr>
                <w:rFonts w:hint="eastAsia" w:ascii="宋体" w:hAnsi="宋体" w:eastAsia="宋体" w:cs="宋体"/>
                <w:color w:val="000000"/>
                <w:sz w:val="24"/>
                <w:szCs w:val="24"/>
                <w:lang w:val="en-US" w:eastAsia="zh-CN"/>
              </w:rPr>
              <w:t>新疆润盛投资发展有限公司</w:t>
            </w:r>
            <w:r>
              <w:rPr>
                <w:rFonts w:hint="eastAsia" w:ascii="宋体" w:hAnsi="宋体" w:eastAsia="宋体" w:cs="宋体"/>
                <w:sz w:val="24"/>
                <w:szCs w:val="24"/>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你单位</w:t>
            </w:r>
            <w:r>
              <w:rPr>
                <w:rFonts w:hint="default" w:ascii="Times New Roman" w:hAnsi="Times New Roman" w:eastAsia="宋体" w:cs="Times New Roman"/>
                <w:spacing w:val="-4"/>
                <w:sz w:val="24"/>
                <w:szCs w:val="24"/>
                <w:lang w:val="en-US" w:eastAsia="zh-CN"/>
              </w:rPr>
              <w:t>报送的《</w:t>
            </w:r>
            <w:r>
              <w:rPr>
                <w:rFonts w:hint="eastAsia" w:ascii="Times New Roman" w:hAnsi="Times New Roman" w:eastAsia="宋体" w:cs="Times New Roman"/>
                <w:spacing w:val="-4"/>
                <w:sz w:val="24"/>
                <w:szCs w:val="24"/>
                <w:lang w:val="en-US" w:eastAsia="zh-CN"/>
              </w:rPr>
              <w:t>新疆润盛投资发展有限公司奎屯-独山子经济技术开发区2015年基础设施建设项目</w:t>
            </w:r>
            <w:r>
              <w:rPr>
                <w:rFonts w:hint="default" w:ascii="Times New Roman" w:hAnsi="Times New Roman" w:eastAsia="宋体" w:cs="Times New Roman"/>
                <w:spacing w:val="-4"/>
                <w:sz w:val="24"/>
                <w:szCs w:val="24"/>
                <w:lang w:val="en-US" w:eastAsia="zh-CN"/>
              </w:rPr>
              <w:t>环境影响报告表》(以下简称《报告表》)收悉。鉴于该项目属于基础设施建设项目，符合开发区总体规划。根据中共新疆维吾尔自治区委员会办公厅文件(新党办发[2011]15号)和伊犁州建设项目环境影响评价分级审批规定，结合《报告表》评价结论，经研究，备案如下：</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w:t>
            </w:r>
            <w:r>
              <w:rPr>
                <w:rFonts w:hint="eastAsia" w:ascii="Times New Roman" w:hAnsi="Times New Roman" w:cs="Times New Roman"/>
                <w:snapToGrid w:val="0"/>
                <w:color w:val="000000"/>
                <w:kern w:val="0"/>
                <w:sz w:val="24"/>
                <w:szCs w:val="24"/>
                <w:lang w:val="en-US" w:eastAsia="zh-CN"/>
              </w:rPr>
              <w:t>新疆润盛投资发展有限公司奎屯-独山子经济技术开发区2015年基础设施建设项目</w:t>
            </w:r>
            <w:r>
              <w:rPr>
                <w:rFonts w:hint="default" w:ascii="Times New Roman" w:hAnsi="Times New Roman" w:eastAsia="Arial" w:cs="Times New Roman"/>
                <w:snapToGrid w:val="0"/>
                <w:color w:val="000000"/>
                <w:kern w:val="0"/>
                <w:sz w:val="24"/>
                <w:szCs w:val="24"/>
                <w:lang w:val="en-US" w:eastAsia="zh-CN"/>
              </w:rPr>
              <w:t>，位于奎屯-独山子经济技术开发区。</w:t>
            </w:r>
            <w:r>
              <w:rPr>
                <w:rFonts w:hint="eastAsia" w:ascii="Times New Roman" w:hAnsi="Times New Roman" w:cs="Times New Roman"/>
                <w:snapToGrid w:val="0"/>
                <w:color w:val="000000"/>
                <w:kern w:val="0"/>
                <w:sz w:val="24"/>
                <w:szCs w:val="24"/>
                <w:lang w:val="en-US" w:eastAsia="zh-CN"/>
              </w:rPr>
              <w:t>建设规模与建设内容：</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r>
              <w:rPr>
                <w:rFonts w:hint="default" w:ascii="Times New Roman" w:hAnsi="Times New Roman" w:eastAsia="Arial" w:cs="Times New Roman"/>
                <w:snapToGrid w:val="0"/>
                <w:color w:val="000000"/>
                <w:kern w:val="0"/>
                <w:sz w:val="24"/>
                <w:szCs w:val="24"/>
                <w:lang w:val="en-US" w:eastAsia="zh-CN"/>
              </w:rPr>
              <w:t>项目总投资</w:t>
            </w:r>
            <w:r>
              <w:rPr>
                <w:rFonts w:hint="eastAsia" w:ascii="Times New Roman" w:hAnsi="Times New Roman" w:cs="Times New Roman"/>
                <w:snapToGrid w:val="0"/>
                <w:color w:val="000000"/>
                <w:kern w:val="0"/>
                <w:sz w:val="24"/>
                <w:szCs w:val="24"/>
                <w:lang w:val="en-US" w:eastAsia="zh-CN"/>
              </w:rPr>
              <w:t>32123</w:t>
            </w:r>
            <w:r>
              <w:rPr>
                <w:rFonts w:hint="default" w:ascii="Times New Roman" w:hAnsi="Times New Roman" w:eastAsia="Arial" w:cs="Times New Roman"/>
                <w:snapToGrid w:val="0"/>
                <w:color w:val="000000"/>
                <w:kern w:val="0"/>
                <w:sz w:val="24"/>
                <w:szCs w:val="24"/>
                <w:lang w:val="en-US" w:eastAsia="zh-CN"/>
              </w:rPr>
              <w:t>万元，其中环保投资</w:t>
            </w:r>
            <w:r>
              <w:rPr>
                <w:rFonts w:hint="eastAsia" w:ascii="Times New Roman" w:hAnsi="Times New Roman" w:cs="Times New Roman"/>
                <w:snapToGrid w:val="0"/>
                <w:color w:val="000000"/>
                <w:kern w:val="0"/>
                <w:sz w:val="24"/>
                <w:szCs w:val="24"/>
                <w:lang w:val="en-US" w:eastAsia="zh-CN"/>
              </w:rPr>
              <w:t>1096</w:t>
            </w:r>
            <w:r>
              <w:rPr>
                <w:rFonts w:hint="default" w:ascii="Times New Roman" w:hAnsi="Times New Roman" w:eastAsia="Arial" w:cs="Times New Roman"/>
                <w:snapToGrid w:val="0"/>
                <w:color w:val="000000"/>
                <w:kern w:val="0"/>
                <w:sz w:val="24"/>
                <w:szCs w:val="24"/>
                <w:lang w:val="en-US" w:eastAsia="zh-CN"/>
              </w:rPr>
              <w:t>万元，占总投资</w:t>
            </w:r>
            <w:r>
              <w:rPr>
                <w:rFonts w:hint="eastAsia" w:ascii="Times New Roman" w:hAnsi="Times New Roman" w:cs="Times New Roman"/>
                <w:snapToGrid w:val="0"/>
                <w:color w:val="000000"/>
                <w:kern w:val="0"/>
                <w:sz w:val="24"/>
                <w:szCs w:val="24"/>
                <w:lang w:val="en-US" w:eastAsia="zh-CN"/>
              </w:rPr>
              <w:t>3.41%</w:t>
            </w:r>
            <w:r>
              <w:rPr>
                <w:rFonts w:hint="default" w:ascii="Times New Roman" w:hAnsi="Times New Roman" w:eastAsia="Arial"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根据新疆净源环境咨询有限公司编制的《报告表》评价结论，从环境保护角度，我局原则同意该项目按照《报告表》所列建设项目的性质、规模、地点、工艺及环境保护措施建设。</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该项目环境影响评价文件未经环保部门审批即擅自投入运行，违反了《环境影响评价法》的有关规定，你公司必须认真吸取教训，增强守法意识，杜绝违法行为再次发生。该项目施工期结束，在运营期重点做好以下工作</w:t>
            </w:r>
            <w:r>
              <w:rPr>
                <w:rFonts w:hint="default" w:ascii="Times New Roman" w:hAnsi="Times New Roman"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(一)加强绿化、采取防护措施减少区域水土流失，确保项目建设对周边生态环境不造成明显影响。</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(二)在道路养护过程中产生的沥青废渣，需由维修施工单位全部运往环卫部门指定的地点进行处理。</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w:t>
            </w:r>
            <w:r>
              <w:rPr>
                <w:rFonts w:hint="eastAsia" w:ascii="Times New Roman" w:hAnsi="Times New Roman" w:cs="Times New Roman"/>
                <w:snapToGrid w:val="0"/>
                <w:color w:val="000000"/>
                <w:kern w:val="0"/>
                <w:sz w:val="24"/>
                <w:szCs w:val="24"/>
                <w:lang w:val="en-US" w:eastAsia="zh-CN"/>
              </w:rPr>
              <w:t>供热管网、供</w:t>
            </w:r>
            <w:r>
              <w:rPr>
                <w:rFonts w:hint="default" w:ascii="Times New Roman" w:hAnsi="Times New Roman" w:eastAsia="Arial" w:cs="Times New Roman"/>
                <w:snapToGrid w:val="0"/>
                <w:color w:val="000000"/>
                <w:kern w:val="0"/>
                <w:sz w:val="24"/>
                <w:szCs w:val="24"/>
                <w:lang w:val="en-US" w:eastAsia="zh-CN"/>
              </w:rPr>
              <w:t>排水管网要配备必要的事故处理设施及管线巡视人员，加强管线沿线巡查，确保管线正常运行。</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(四)项目建成投运后，</w:t>
            </w:r>
            <w:r>
              <w:rPr>
                <w:rFonts w:hint="eastAsia" w:ascii="Times New Roman" w:hAnsi="Times New Roman" w:cs="Times New Roman"/>
                <w:snapToGrid w:val="0"/>
                <w:color w:val="000000"/>
                <w:kern w:val="0"/>
                <w:sz w:val="24"/>
                <w:szCs w:val="24"/>
                <w:lang w:val="en-US" w:eastAsia="zh-CN"/>
              </w:rPr>
              <w:t>换热站</w:t>
            </w:r>
            <w:r>
              <w:rPr>
                <w:rFonts w:hint="default" w:ascii="Times New Roman" w:hAnsi="Times New Roman" w:eastAsia="Arial" w:cs="Times New Roman"/>
                <w:snapToGrid w:val="0"/>
                <w:color w:val="000000"/>
                <w:kern w:val="0"/>
                <w:sz w:val="24"/>
                <w:szCs w:val="24"/>
                <w:lang w:val="en-US" w:eastAsia="zh-CN"/>
              </w:rPr>
              <w:t>噪声必须符合《工业企业厂界环境噪声排放标准》(GB12348-2008)中3类标准。</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三、项目必须严格执行环</w:t>
            </w:r>
            <w:r>
              <w:rPr>
                <w:rFonts w:hint="eastAsia" w:ascii="宋体" w:hAnsi="宋体" w:eastAsia="宋体" w:cs="宋体"/>
                <w:snapToGrid w:val="0"/>
                <w:color w:val="000000"/>
                <w:kern w:val="0"/>
                <w:sz w:val="24"/>
                <w:szCs w:val="24"/>
                <w:lang w:val="en-US" w:eastAsia="zh-CN"/>
              </w:rPr>
              <w:t>保“三同时”制</w:t>
            </w:r>
            <w:r>
              <w:rPr>
                <w:rFonts w:hint="default" w:ascii="Times New Roman" w:hAnsi="Times New Roman" w:eastAsia="Arial" w:cs="Times New Roman"/>
                <w:snapToGrid w:val="0"/>
                <w:color w:val="000000"/>
                <w:kern w:val="0"/>
                <w:sz w:val="24"/>
                <w:szCs w:val="24"/>
                <w:lang w:val="en-US" w:eastAsia="zh-CN"/>
              </w:rPr>
              <w:t>度。项目竣工后，须按规定程序申请项目竣工环境保护验收，经验收合格后，方可正式投入运营。如项目的性质、规模、地点、采用的污染防止措施和生态环境保护措施发生重大变化，须报我局重新审批。</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四、项目运营期的环境监督管理工作由我局和奎屯市环境监察大队负责。并按照规定接受各级环境保护部门的监督检查。</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p>
          <w:p>
            <w:pPr>
              <w:pStyle w:val="7"/>
              <w:ind w:left="0" w:leftChars="0" w:firstLine="0" w:firstLineChars="0"/>
              <w:rPr>
                <w:rFonts w:hint="default"/>
                <w:lang w:val="en-US" w:eastAsia="zh-CN"/>
              </w:rPr>
            </w:pPr>
          </w:p>
          <w:p>
            <w:pPr>
              <w:pStyle w:val="6"/>
              <w:rPr>
                <w:rFonts w:hint="default"/>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right"/>
              <w:textAlignment w:val="baseline"/>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b w:val="0"/>
                <w:bCs w:val="0"/>
                <w:snapToGrid w:val="0"/>
                <w:color w:val="auto"/>
                <w:sz w:val="24"/>
                <w:szCs w:val="24"/>
                <w:lang w:val="en-US" w:eastAsia="zh-CN"/>
              </w:rPr>
              <w:t>奎屯-独山子经济技术开发区环境保护局</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760" w:firstLineChars="24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w:t>
            </w:r>
            <w:r>
              <w:rPr>
                <w:rFonts w:hint="eastAsia" w:ascii="Times New Roman" w:hAnsi="Times New Roman" w:eastAsia="宋体" w:cs="Times New Roman"/>
                <w:color w:val="000000"/>
                <w:sz w:val="24"/>
                <w:szCs w:val="24"/>
                <w:lang w:val="en-US" w:eastAsia="zh-CN"/>
              </w:rPr>
              <w:t>17</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7</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18</w:t>
            </w:r>
            <w:r>
              <w:rPr>
                <w:rFonts w:hint="default" w:ascii="Times New Roman" w:hAnsi="Times New Roman" w:eastAsia="宋体" w:cs="Times New Roman"/>
                <w:color w:val="000000"/>
                <w:sz w:val="24"/>
                <w:szCs w:val="24"/>
                <w:lang w:val="en-US" w:eastAsia="zh-CN"/>
              </w:rPr>
              <w:t>日</w:t>
            </w:r>
          </w:p>
        </w:tc>
      </w:tr>
    </w:tbl>
    <w:p>
      <w:pPr>
        <w:rPr>
          <w:rFonts w:hint="default" w:ascii="Times New Roman" w:hAnsi="Times New Roman" w:cs="Times New Roman"/>
          <w:sz w:val="21"/>
        </w:rPr>
      </w:pPr>
    </w:p>
    <w:p>
      <w:pPr>
        <w:rPr>
          <w:rFonts w:hint="default" w:ascii="Times New Roman" w:hAnsi="Times New Roman" w:cs="Times New Roman"/>
        </w:rPr>
        <w:sectPr>
          <w:footerReference r:id="rId13"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6" w:name="_Toc7541"/>
      <w:r>
        <w:rPr>
          <w:rFonts w:hint="default" w:ascii="Times New Roman" w:hAnsi="Times New Roman" w:cs="Times New Roman"/>
          <w:sz w:val="32"/>
          <w:szCs w:val="52"/>
        </w:rPr>
        <w:t>表七 环境保护措施执行情况</w:t>
      </w:r>
      <w:bookmarkEnd w:id="6"/>
    </w:p>
    <w:p>
      <w:pPr>
        <w:spacing w:line="74" w:lineRule="exact"/>
        <w:rPr>
          <w:rFonts w:hint="default" w:ascii="Times New Roman" w:hAnsi="Times New Roman" w:cs="Times New Roman"/>
        </w:rPr>
      </w:pPr>
    </w:p>
    <w:tbl>
      <w:tblPr>
        <w:tblStyle w:val="19"/>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3314"/>
        <w:gridCol w:w="3346"/>
        <w:gridCol w:w="11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jc w:val="center"/>
        </w:trPr>
        <w:tc>
          <w:tcPr>
            <w:tcW w:w="1176" w:type="dxa"/>
            <w:gridSpan w:val="2"/>
            <w:tcBorders>
              <w:tl2br w:val="single" w:color="000000" w:sz="2"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3" w:hRule="atLeast"/>
          <w:jc w:val="center"/>
        </w:trPr>
        <w:tc>
          <w:tcPr>
            <w:tcW w:w="563" w:type="dxa"/>
            <w:vMerge w:val="restart"/>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outlineLvl w:val="6"/>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本项目施工期对大气环境影响主要为施工扬尘、施工机械设备运输车辆所产生的废气，选用符合国家标准的施工机械和运输工具，及采取洒水降尘、设置不低于2.5m的围挡、遮盖、密闭方式运输等措施，减少废气的产生量，并且其产生的响范围不大，施工结束影响即消失，对环境空气影响较小。</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9"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经调查，本项目的施工废水主要为砂石料冲洗水及车辆机械冲洗水等，废水经沉淀池处理后，回用于场地洒水抑尘，不外排；</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实际为施工期租赁附近民房，生活废水依托</w:t>
            </w:r>
            <w:r>
              <w:rPr>
                <w:rFonts w:hint="eastAsia"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民房</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现有排水设施处理。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64"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经调查，施工期合理安排了施工时间，严格按照规范进行操作；采用了低噪声施工机械和设备，对高噪声设施采取了减振、隔声的措施；并且定期对设备进行维修。</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2"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w:t>
            </w:r>
            <w:r>
              <w:rPr>
                <w:rFonts w:hint="default" w:ascii="Times New Roman" w:hAnsi="Times New Roman" w:eastAsia="宋体" w:cs="Times New Roman"/>
                <w:color w:val="auto"/>
                <w:sz w:val="21"/>
                <w:szCs w:val="21"/>
                <w:lang w:val="zh-CN" w:eastAsia="zh-CN" w:bidi="zh-CN"/>
              </w:rPr>
              <w:t>项目施工期固体废物主要来源于废弃土方、建筑垃圾和施工人员生活垃圾。</w:t>
            </w:r>
            <w:r>
              <w:rPr>
                <w:rFonts w:hint="default" w:ascii="Times New Roman" w:hAnsi="Times New Roman" w:eastAsia="宋体" w:cs="Times New Roman"/>
                <w:color w:val="auto"/>
                <w:sz w:val="21"/>
                <w:szCs w:val="21"/>
              </w:rPr>
              <w:t>施工时，弃土堆砌在</w:t>
            </w:r>
            <w:r>
              <w:rPr>
                <w:rFonts w:hint="default" w:ascii="Times New Roman" w:hAnsi="Times New Roman" w:eastAsia="宋体" w:cs="Times New Roman"/>
                <w:color w:val="auto"/>
                <w:sz w:val="21"/>
                <w:szCs w:val="21"/>
                <w:lang w:val="en-US" w:eastAsia="zh-CN"/>
              </w:rPr>
              <w:t>河道</w:t>
            </w:r>
            <w:r>
              <w:rPr>
                <w:rFonts w:hint="default" w:ascii="Times New Roman" w:hAnsi="Times New Roman" w:eastAsia="宋体" w:cs="Times New Roman"/>
                <w:color w:val="auto"/>
                <w:sz w:val="21"/>
                <w:szCs w:val="21"/>
              </w:rPr>
              <w:t>两侧；施工完成后，将</w:t>
            </w:r>
            <w:r>
              <w:rPr>
                <w:rFonts w:hint="default" w:ascii="Times New Roman" w:hAnsi="Times New Roman" w:eastAsia="宋体" w:cs="Times New Roman"/>
                <w:color w:val="auto"/>
                <w:sz w:val="21"/>
                <w:szCs w:val="21"/>
                <w:lang w:val="en-US" w:eastAsia="zh-CN"/>
              </w:rPr>
              <w:t>弃土方全部堆于河道凹坑内或就近摊平</w:t>
            </w:r>
            <w:r>
              <w:rPr>
                <w:rFonts w:hint="default" w:ascii="Times New Roman" w:hAnsi="Times New Roman" w:eastAsia="宋体" w:cs="Times New Roman"/>
                <w:color w:val="auto"/>
                <w:sz w:val="21"/>
                <w:szCs w:val="21"/>
              </w:rPr>
              <w:t>，自然恢复植被。</w:t>
            </w:r>
            <w:r>
              <w:rPr>
                <w:rFonts w:hint="default" w:ascii="Times New Roman" w:hAnsi="Times New Roman" w:eastAsia="宋体" w:cs="Times New Roman"/>
                <w:color w:val="auto"/>
                <w:sz w:val="21"/>
                <w:szCs w:val="21"/>
                <w:lang w:val="zh-CN" w:eastAsia="zh-CN" w:bidi="zh-CN"/>
              </w:rPr>
              <w:t>建筑垃圾主要</w:t>
            </w:r>
            <w:r>
              <w:rPr>
                <w:rFonts w:hint="default" w:ascii="Times New Roman" w:hAnsi="Times New Roman" w:eastAsia="宋体" w:cs="Times New Roman"/>
                <w:color w:val="auto"/>
                <w:spacing w:val="-8"/>
                <w:sz w:val="21"/>
                <w:szCs w:val="21"/>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1"/>
                <w:szCs w:val="21"/>
                <w:lang w:val="zh-CN" w:eastAsia="zh-CN" w:bidi="zh-CN"/>
              </w:rPr>
              <w:t>生活垃圾集中收集后由环卫部门统一处理。</w:t>
            </w:r>
            <w:r>
              <w:rPr>
                <w:rFonts w:hint="default" w:ascii="Times New Roman" w:hAnsi="Times New Roman" w:eastAsia="宋体" w:cs="Times New Roman"/>
                <w:bCs/>
                <w:sz w:val="21"/>
                <w:szCs w:val="21"/>
                <w:lang w:val="en-US" w:eastAsia="zh-CN"/>
              </w:rPr>
              <w:t>因此，未对周边环境造成影响。</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在建设过程中，已</w:t>
            </w:r>
            <w:r>
              <w:rPr>
                <w:rFonts w:hint="default" w:ascii="Times New Roman" w:hAnsi="Times New Roman" w:eastAsia="宋体" w:cs="Times New Roman"/>
                <w:spacing w:val="-4"/>
                <w:sz w:val="21"/>
                <w:szCs w:val="21"/>
                <w:lang w:val="en-US" w:eastAsia="zh-CN"/>
              </w:rPr>
              <w:t>加强水土保持管理工作，严格遵守国家和地方有关动植物保护和防止水土流失等法律法规，最大限度减少占地产生的不利影响，划定施工范围，在施工营地、防洪堤周边等设置警示标牌，任何施工人员和器械不得越过红线施工或任意活动。工程建设过程中在施工范围红线内尽量保留现有植被，应及时对施工中破坏、扰动的地面进行砂砾石覆盖，减少水土流失的发生。对建设中永久占用草地部分的表层土予以收集保存，以便施工结束后复垦或选择当地适宜植物及时恢复绿化。</w:t>
            </w:r>
          </w:p>
        </w:tc>
        <w:tc>
          <w:tcPr>
            <w:tcW w:w="1110"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20" w:hRule="atLeast"/>
          <w:jc w:val="center"/>
        </w:trPr>
        <w:tc>
          <w:tcPr>
            <w:tcW w:w="563"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运</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营</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本项目对道路绿化带和林床进行整治，绿化植物吸附一定量汽车尾气。</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已核实，本项目对道路绿化带和林床进行了整治，使绿化植物吸附一定量汽车尾气。</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7"/>
                <w:sz w:val="21"/>
                <w:szCs w:val="21"/>
              </w:rPr>
              <w:t>水 环 境</w:t>
            </w:r>
          </w:p>
        </w:tc>
        <w:tc>
          <w:tcPr>
            <w:tcW w:w="3314"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排水管网要配备必要的事故处理设施及管线巡视人员，加强管线沿线巡查，确保管线正常运行。</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核实，本项目</w:t>
            </w:r>
            <w:r>
              <w:rPr>
                <w:rFonts w:hint="default" w:ascii="Times New Roman" w:hAnsi="Times New Roman" w:eastAsia="宋体" w:cs="Times New Roman"/>
                <w:snapToGrid w:val="0"/>
                <w:color w:val="000000"/>
                <w:kern w:val="0"/>
                <w:sz w:val="21"/>
                <w:szCs w:val="21"/>
                <w:lang w:val="en-US" w:eastAsia="zh-CN"/>
              </w:rPr>
              <w:t>排水管网已配备必要的事故处理设施及管线巡视人员，加强管线沿线巡查，确保管线正常运行。</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z w:val="21"/>
                <w:szCs w:val="21"/>
                <w:lang w:val="en-US" w:eastAsia="zh-CN"/>
              </w:rPr>
              <w:t>绿化带隔声作用条件下，拟建道路建成运营远期昼间,道路红线两侧10m外昼间和夜间声环境均能够达到《声环境质量标准》(GB3096-2008)4a类标准(即昼间≤70dB(A)、夜间≤55dB(A))。</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w:t>
            </w:r>
            <w:r>
              <w:rPr>
                <w:rFonts w:hint="default" w:ascii="Times New Roman" w:hAnsi="Times New Roman" w:eastAsia="宋体" w:cs="Times New Roman"/>
                <w:sz w:val="21"/>
                <w:szCs w:val="21"/>
                <w:lang w:val="en-US" w:eastAsia="zh-CN"/>
              </w:rPr>
              <w:t>绿化带隔声作用条件下，拟建道路建成运营远期昼间,道路红线两侧10m外昼间和夜间声环境均能够达到《声环境质量标准》(GB3096-2008)4a类标准(即昼间≤70dB(A)、夜间≤55dB(A))。</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在道路养护过程中产生的沥青废渣，需由维修施工单位全部运往环卫部门指定的地点进行处理。</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在道路养护过程中产生的沥青废渣，由维修施工单位全部运往环卫部门指定的地点进行处理。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w:t>
            </w:r>
            <w:r>
              <w:rPr>
                <w:rFonts w:hint="default" w:ascii="Times New Roman" w:hAnsi="Times New Roman" w:eastAsia="宋体" w:cs="Times New Roman"/>
                <w:color w:val="auto"/>
                <w:sz w:val="21"/>
                <w:szCs w:val="21"/>
                <w:lang w:val="en-US" w:eastAsia="zh-CN"/>
              </w:rPr>
              <w:t>对临时占地范围恢复的植被及土壤进行管理</w:t>
            </w:r>
            <w:r>
              <w:rPr>
                <w:rFonts w:hint="default" w:ascii="Times New Roman" w:hAnsi="Times New Roman" w:eastAsia="宋体" w:cs="Times New Roman"/>
                <w:snapToGrid w:val="0"/>
                <w:color w:val="000000"/>
                <w:kern w:val="0"/>
                <w:sz w:val="21"/>
                <w:szCs w:val="21"/>
                <w:lang w:val="en-US" w:eastAsia="zh-CN" w:bidi="ar"/>
              </w:rPr>
              <w:t>。</w:t>
            </w:r>
          </w:p>
        </w:tc>
        <w:tc>
          <w:tcPr>
            <w:tcW w:w="3346"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w:t>
            </w:r>
            <w:r>
              <w:rPr>
                <w:rFonts w:hint="default" w:ascii="Times New Roman" w:hAnsi="Times New Roman" w:eastAsia="宋体" w:cs="Times New Roman"/>
                <w:color w:val="auto"/>
                <w:sz w:val="21"/>
                <w:szCs w:val="21"/>
                <w:lang w:val="en-US" w:eastAsia="zh-CN"/>
              </w:rPr>
              <w:t>对临时占地范围恢复的植被及土壤进行管理，已进行土地平整</w:t>
            </w:r>
            <w:r>
              <w:rPr>
                <w:rFonts w:hint="default" w:ascii="Times New Roman" w:hAnsi="Times New Roman" w:eastAsia="宋体" w:cs="Times New Roman"/>
                <w:snapToGrid w:val="0"/>
                <w:color w:val="000000"/>
                <w:kern w:val="0"/>
                <w:sz w:val="21"/>
                <w:szCs w:val="21"/>
                <w:lang w:val="en-US" w:eastAsia="zh-CN" w:bidi="ar"/>
              </w:rPr>
              <w:t>。</w:t>
            </w:r>
          </w:p>
        </w:tc>
        <w:tc>
          <w:tcPr>
            <w:tcW w:w="1110"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bl>
    <w:p>
      <w:pPr>
        <w:rPr>
          <w:rFonts w:hint="default" w:ascii="Times New Roman" w:hAnsi="Times New Roman" w:cs="Times New Roman"/>
          <w:sz w:val="21"/>
        </w:rPr>
      </w:pPr>
    </w:p>
    <w:p>
      <w:pPr>
        <w:rPr>
          <w:rFonts w:hint="default" w:ascii="Times New Roman" w:hAnsi="Times New Roman" w:cs="Times New Roman"/>
        </w:rPr>
        <w:sectPr>
          <w:footerReference r:id="rId14"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7" w:name="_Toc5742"/>
      <w:r>
        <w:rPr>
          <w:rFonts w:hint="default" w:ascii="Times New Roman" w:hAnsi="Times New Roman" w:cs="Times New Roman"/>
          <w:sz w:val="32"/>
          <w:szCs w:val="52"/>
        </w:rPr>
        <w:t>表八 环境影响调查</w:t>
      </w:r>
      <w:bookmarkEnd w:id="7"/>
    </w:p>
    <w:tbl>
      <w:tblPr>
        <w:tblStyle w:val="19"/>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8"/>
        <w:gridCol w:w="610"/>
        <w:gridCol w:w="77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78" w:type="dxa"/>
            <w:vMerge w:val="restart"/>
            <w:vAlign w:val="center"/>
          </w:tcPr>
          <w:p>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top"/>
          </w:tcPr>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本项目位于</w:t>
            </w:r>
            <w:r>
              <w:rPr>
                <w:rFonts w:hint="eastAsia" w:ascii="Times New Roman" w:hAnsi="Times New Roman" w:eastAsia="宋体" w:cs="Times New Roman"/>
                <w:spacing w:val="-7"/>
                <w:sz w:val="24"/>
                <w:szCs w:val="24"/>
                <w:lang w:eastAsia="zh-CN"/>
              </w:rPr>
              <w:t>奎屯-独山子经济技术开发区</w:t>
            </w:r>
            <w:r>
              <w:rPr>
                <w:rFonts w:hint="default" w:ascii="Times New Roman" w:hAnsi="Times New Roman" w:eastAsia="宋体" w:cs="Times New Roman"/>
                <w:spacing w:val="-7"/>
                <w:sz w:val="24"/>
                <w:szCs w:val="24"/>
                <w:lang w:eastAsia="zh-CN"/>
              </w:rPr>
              <w:t>。评价范围内没有国家或自治区级法定保护的野生动植物种，也没有自然保护区分布。项目区内的地表优势的天然植被主要为短小低矮的荒漠植被，主要植物有盐生假木贼、木本猪毛菜、角果藜等，伴生有东方早麦草、短柱猪毛菜、木地肤及驼绒藜等，高度多为10cm-20cm，盖度20%-30%，植被类型单一。生态系统结构相对简单，生态多样性或环境异质性较低。</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spacing w:val="-7"/>
                <w:sz w:val="24"/>
                <w:szCs w:val="24"/>
                <w:lang w:eastAsia="zh-CN"/>
              </w:rPr>
              <w:t>本项目所在区域由于人类活动频繁，只有麻雀、乌鸦和少量哺乳类动物。</w:t>
            </w:r>
          </w:p>
          <w:p>
            <w:pPr>
              <w:keepNext w:val="0"/>
              <w:keepLines w:val="0"/>
              <w:pageBreakBefore w:val="0"/>
              <w:widowControl/>
              <w:kinsoku/>
              <w:wordWrap/>
              <w:overflowPunct/>
              <w:topLinePunct w:val="0"/>
              <w:autoSpaceDE/>
              <w:autoSpaceDN/>
              <w:bidi w:val="0"/>
              <w:adjustRightInd/>
              <w:snapToGrid/>
              <w:spacing w:line="360" w:lineRule="auto"/>
              <w:ind w:right="0" w:firstLine="47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综上所述，本工程施工期间造成的生态环境影</w:t>
            </w:r>
            <w:r>
              <w:rPr>
                <w:rFonts w:hint="default" w:ascii="Times New Roman" w:hAnsi="Times New Roman" w:eastAsia="宋体" w:cs="Times New Roman"/>
                <w:spacing w:val="-1"/>
                <w:sz w:val="24"/>
                <w:szCs w:val="24"/>
              </w:rPr>
              <w:t>响不明显。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5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（1）大气环境影响调查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施工期大气污染物主要为施工扬尘与施工车辆尾气。根据调查，施工期间在场地四周设置有2m的围挡，</w:t>
            </w:r>
            <w:r>
              <w:rPr>
                <w:rFonts w:hint="eastAsia" w:ascii="Times New Roman" w:hAnsi="Times New Roman" w:eastAsia="宋体" w:cs="Times New Roman"/>
                <w:spacing w:val="-7"/>
                <w:sz w:val="24"/>
                <w:szCs w:val="24"/>
                <w:lang w:val="en-US" w:eastAsia="zh-CN"/>
              </w:rPr>
              <w:t>施工现场不设置</w:t>
            </w:r>
            <w:r>
              <w:rPr>
                <w:rFonts w:hint="default" w:ascii="Times New Roman" w:hAnsi="Times New Roman" w:eastAsia="宋体" w:cs="Times New Roman"/>
                <w:spacing w:val="-7"/>
                <w:sz w:val="24"/>
                <w:szCs w:val="24"/>
                <w:lang w:val="en-US" w:eastAsia="zh-CN"/>
              </w:rPr>
              <w:t>混凝土拌合站、道路洒水降尘，定期清扫等，在装卸和运输过程中采用喷淋、遮盖、密闭式运输等措施。</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工程对项目区大气环境影响较小，施工结束后，污染也随之消失。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（2）水环境影响调查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施工废水经沉淀池处理后回用于施工现场洒水抑尘，不外排；</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施工期居住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附近民房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现有排水设施</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处理</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rPr>
              <w:t>严禁施工废</w:t>
            </w:r>
            <w:r>
              <w:rPr>
                <w:rFonts w:hint="default" w:ascii="Times New Roman" w:hAnsi="Times New Roman" w:eastAsia="宋体" w:cs="Times New Roman"/>
                <w:color w:val="000000"/>
                <w:sz w:val="24"/>
              </w:rPr>
              <w:t>水及生活污水排向</w:t>
            </w:r>
            <w:r>
              <w:rPr>
                <w:rFonts w:hint="eastAsia" w:ascii="Times New Roman" w:hAnsi="Times New Roman" w:eastAsia="宋体" w:cs="Times New Roman"/>
                <w:color w:val="000000"/>
                <w:sz w:val="24"/>
                <w:lang w:val="en-US" w:eastAsia="zh-CN"/>
              </w:rPr>
              <w:t>外环境</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（3）噪声环境影响调查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项目噪声源主要声源在施工过程中各类机械设备和物料运输的交通噪声。施工噪声对周围环境影响不大，施工期结束后施工噪声影响随之消失。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）固体废物环境影响调查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eastAsia="zh-CN"/>
              </w:rPr>
              <w:t>施工期合理堆放开挖的土方，</w:t>
            </w:r>
            <w:r>
              <w:rPr>
                <w:rFonts w:hint="default" w:ascii="Times New Roman" w:hAnsi="Times New Roman" w:eastAsia="宋体" w:cs="Times New Roman"/>
                <w:spacing w:val="-7"/>
                <w:sz w:val="24"/>
                <w:szCs w:val="24"/>
                <w:lang w:val="en-US" w:eastAsia="zh-CN"/>
              </w:rPr>
              <w:t>废弃土料地</w:t>
            </w:r>
            <w:r>
              <w:rPr>
                <w:rFonts w:hint="default" w:ascii="Times New Roman" w:hAnsi="Times New Roman" w:eastAsia="宋体" w:cs="Times New Roman"/>
                <w:spacing w:val="-7"/>
                <w:sz w:val="24"/>
                <w:szCs w:val="24"/>
                <w:lang w:eastAsia="zh-CN"/>
              </w:rPr>
              <w:t>已平整</w:t>
            </w:r>
            <w:r>
              <w:rPr>
                <w:rFonts w:hint="default" w:ascii="Times New Roman" w:hAnsi="Times New Roman" w:eastAsia="宋体" w:cs="Times New Roman"/>
                <w:spacing w:val="-7"/>
                <w:sz w:val="24"/>
                <w:szCs w:val="24"/>
                <w:lang w:val="en-US" w:eastAsia="zh-CN"/>
              </w:rPr>
              <w:t>覆盖</w:t>
            </w:r>
            <w:r>
              <w:rPr>
                <w:rFonts w:hint="default" w:ascii="Times New Roman" w:hAnsi="Times New Roman" w:eastAsia="宋体" w:cs="Times New Roman"/>
                <w:spacing w:val="-7"/>
                <w:sz w:val="24"/>
                <w:szCs w:val="24"/>
                <w:lang w:eastAsia="zh-CN"/>
              </w:rPr>
              <w:t>，地表植被</w:t>
            </w:r>
            <w:r>
              <w:rPr>
                <w:rFonts w:hint="default" w:ascii="Times New Roman" w:hAnsi="Times New Roman" w:eastAsia="宋体" w:cs="Times New Roman"/>
                <w:spacing w:val="-7"/>
                <w:sz w:val="24"/>
                <w:szCs w:val="24"/>
                <w:lang w:val="en-US" w:eastAsia="zh-CN"/>
              </w:rPr>
              <w:t>在逐渐恢复</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建筑垃圾与</w:t>
            </w:r>
            <w:r>
              <w:rPr>
                <w:rFonts w:hint="default" w:ascii="Times New Roman" w:hAnsi="Times New Roman" w:eastAsia="宋体" w:cs="Times New Roman"/>
                <w:spacing w:val="-7"/>
                <w:sz w:val="24"/>
                <w:szCs w:val="24"/>
                <w:lang w:eastAsia="zh-CN"/>
              </w:rPr>
              <w:t>生活垃圾集中收集后</w:t>
            </w:r>
            <w:r>
              <w:rPr>
                <w:rFonts w:hint="default" w:ascii="Times New Roman" w:hAnsi="Times New Roman" w:eastAsia="宋体" w:cs="Times New Roman"/>
                <w:spacing w:val="-7"/>
                <w:sz w:val="24"/>
                <w:szCs w:val="24"/>
                <w:lang w:val="en-US" w:eastAsia="zh-CN"/>
              </w:rPr>
              <w:t>交由当地环卫部门</w:t>
            </w:r>
            <w:r>
              <w:rPr>
                <w:rFonts w:hint="default" w:ascii="Times New Roman" w:hAnsi="Times New Roman" w:eastAsia="宋体" w:cs="Times New Roman"/>
                <w:spacing w:val="-7"/>
                <w:sz w:val="24"/>
                <w:szCs w:val="24"/>
                <w:lang w:eastAsia="zh-CN"/>
              </w:rPr>
              <w:t>处理</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pacing w:val="-7"/>
                <w:sz w:val="24"/>
                <w:szCs w:val="24"/>
                <w:lang w:eastAsia="zh-CN"/>
              </w:rPr>
              <w:t>经调查，施工期未发生因固体废物乱堆乱放而产生的纠纷或事故，施工期固体废物基本得到有效处理、处置，对周围环境影响较小。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pPr>
              <w:keepNext w:val="0"/>
              <w:keepLines w:val="0"/>
              <w:pageBreakBefore w:val="0"/>
              <w:widowControl/>
              <w:kinsoku w:val="0"/>
              <w:wordWrap/>
              <w:overflowPunct/>
              <w:topLinePunct w:val="0"/>
              <w:autoSpaceDE w:val="0"/>
              <w:autoSpaceDN w:val="0"/>
              <w:bidi w:val="0"/>
              <w:adjustRightInd/>
              <w:snapToGrid/>
              <w:spacing w:line="360" w:lineRule="auto"/>
              <w:ind w:left="0" w:leftChars="0" w:right="0" w:rightChars="0" w:firstLine="452" w:firstLineChars="200"/>
              <w:jc w:val="left"/>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35"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eastAsia" w:ascii="Times New Roman" w:hAnsi="Times New Roman" w:eastAsia="宋体" w:cs="Times New Roman"/>
                <w:color w:val="C00000"/>
                <w:spacing w:val="-2"/>
                <w:position w:val="7"/>
                <w:sz w:val="21"/>
                <w:szCs w:val="21"/>
                <w:lang w:val="en-US" w:eastAsia="zh-CN"/>
                <w14:textOutline w14:w="3831" w14:cap="flat" w14:cmpd="sng">
                  <w14:solidFill>
                    <w14:srgbClr w14:val="000000"/>
                  </w14:solidFill>
                  <w14:prstDash w14:val="solid"/>
                  <w14:miter w14:val="0"/>
                </w14:textOutline>
              </w:rPr>
              <w:t>施工期环境监测</w:t>
            </w:r>
          </w:p>
        </w:tc>
        <w:tc>
          <w:tcPr>
            <w:tcW w:w="7773" w:type="dxa"/>
            <w:vAlign w:val="center"/>
          </w:tcPr>
          <w:p>
            <w:pPr>
              <w:keepNext w:val="0"/>
              <w:keepLines w:val="0"/>
              <w:pageBreakBefore w:val="0"/>
              <w:widowControl/>
              <w:suppressLineNumbers w:val="0"/>
              <w:kinsoku/>
              <w:wordWrap/>
              <w:overflowPunct/>
              <w:topLinePunct w:val="0"/>
              <w:autoSpaceDE/>
              <w:autoSpaceDN/>
              <w:bidi w:val="0"/>
              <w:spacing w:line="360" w:lineRule="auto"/>
              <w:ind w:firstLine="480" w:firstLineChars="200"/>
              <w:jc w:val="both"/>
              <w:textAlignment w:val="baseline"/>
              <w:rPr>
                <w:rFonts w:hint="default" w:ascii="Times New Roman" w:hAnsi="Times New Roman" w:eastAsia="宋体" w:cs="Times New Roman"/>
                <w:snapToGrid w:val="0"/>
                <w:color w:val="000000"/>
                <w:kern w:val="0"/>
                <w:sz w:val="24"/>
                <w:szCs w:val="24"/>
                <w:lang w:eastAsia="zh-CN"/>
              </w:rPr>
            </w:pPr>
            <w:r>
              <w:rPr>
                <w:rFonts w:hint="eastAsia" w:ascii="宋体" w:hAnsi="宋体" w:eastAsia="宋体" w:cs="宋体"/>
                <w:snapToGrid w:val="0"/>
                <w:color w:val="C00000"/>
                <w:kern w:val="0"/>
                <w:sz w:val="24"/>
                <w:szCs w:val="24"/>
                <w:lang w:val="en-US" w:eastAsia="zh-CN" w:bidi="ar"/>
              </w:rPr>
              <w:t>本项目主体工程</w:t>
            </w:r>
            <w:bookmarkStart w:id="11" w:name="_GoBack"/>
            <w:bookmarkEnd w:id="11"/>
            <w:r>
              <w:rPr>
                <w:rFonts w:hint="eastAsia" w:ascii="宋体" w:hAnsi="宋体" w:eastAsia="宋体" w:cs="宋体"/>
                <w:snapToGrid w:val="0"/>
                <w:color w:val="C00000"/>
                <w:kern w:val="0"/>
                <w:sz w:val="24"/>
                <w:szCs w:val="24"/>
                <w:lang w:val="en-US" w:eastAsia="zh-CN" w:bidi="ar"/>
              </w:rPr>
              <w:t>施工期较短，施工期间未进行环境监测，经现场调查，本项目临时施工占地现已恢复。根据环境影响评价文件及其批复，项目施工期较短，未要求施工期进行环境监测。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6" w:hRule="atLeast"/>
          <w:jc w:val="center"/>
        </w:trPr>
        <w:tc>
          <w:tcPr>
            <w:tcW w:w="678" w:type="dxa"/>
            <w:vMerge w:val="restart"/>
            <w:vAlign w:val="center"/>
          </w:tcPr>
          <w:p>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本项目位于</w:t>
            </w:r>
            <w:r>
              <w:rPr>
                <w:rFonts w:hint="eastAsia" w:ascii="Times New Roman" w:hAnsi="Times New Roman" w:eastAsia="宋体" w:cs="Times New Roman"/>
                <w:spacing w:val="-7"/>
                <w:sz w:val="24"/>
                <w:szCs w:val="24"/>
                <w:lang w:eastAsia="zh-CN"/>
              </w:rPr>
              <w:t>奎屯-独山子经济技术开发区</w:t>
            </w:r>
            <w:r>
              <w:rPr>
                <w:rFonts w:hint="default" w:ascii="Times New Roman" w:hAnsi="Times New Roman" w:eastAsia="宋体" w:cs="Times New Roman"/>
                <w:spacing w:val="-7"/>
                <w:sz w:val="24"/>
                <w:szCs w:val="24"/>
                <w:lang w:eastAsia="zh-CN"/>
              </w:rPr>
              <w:t>。评价范围内没有国家或自治区级法定保护的野生动植物种，也没有自然保护区分布。项目区内的地表优势的天然植被主要为短小低矮的荒漠植被，主要植物有盐生假木贼、木本猪毛菜、角果藜等，伴生有东方早麦草、短柱猪毛菜、木地肤及驼绒藜等，高度多为10cm-20cm，盖度20%-30%，植被类型单一。生态系统结构相对简单，生态多样性或环境异质性较低。</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7"/>
                <w:sz w:val="24"/>
                <w:szCs w:val="24"/>
                <w:lang w:eastAsia="zh-CN"/>
              </w:rPr>
              <w:t>本项目所在区域由于人类活动频繁，只有麻雀、乌鸦和少量哺乳类动物。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1、运营期水污染防治措施</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运营后对水环境的影响主要为路面径流的影响，道路路面径流是具有单一地表使用功能的地表径流。路面径流污染是该指货物运输过程中在路面上的抛洒、汽车尾气中微粒在路面上的降落、汽车燃油在路面上的滴漏及轮胎与路面的磨损物等，当降水形成路面径流，这些有害物质被挟带排入干渠造成水环境质量下降的现象。根据研究结果表明，路面径流中的污染物有SS、COD、重金属等，其主要来源是车辆磨损颗粒、筑路材料磨损颗粒、运输物品的泄露、大气降尘等。影响路面径流污染的因素主要为：气象状况，包括降雨强度、降雨量、降雨历时等因素；交通状况，包括交通流量、车型构成及路面类型、路面宽度、路段长度等。</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根据项目所在区域气象资料，项目区蒸发量远大于降水量，即项目区雨水很少，因此本项目不设单独的雨水管道，通过控制道路的纵、横坡度，将雨水排入道路两侧。因此项目建成后路面水径流对环境影响很小。</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(1)从源头控制，加强营运期汽车尾气监测与控制，尾气未达到排放标准的车辆不允许上路。</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(2)增加路面清洁度，减少道路积尘量，用效率高的机械化清扫代替手工清。</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(3)强化对运送散装含尘物料车辆的监管，运输含尘物料车辆必须加盖篷布，避免</w:t>
            </w:r>
            <w:r>
              <w:rPr>
                <w:rFonts w:hint="eastAsia" w:ascii="Times New Roman" w:hAnsi="Times New Roman" w:eastAsia="宋体" w:cs="Times New Roman"/>
                <w:spacing w:val="18"/>
                <w:sz w:val="24"/>
                <w:szCs w:val="24"/>
                <w:highlight w:val="none"/>
                <w:lang w:val="en-US" w:eastAsia="zh-CN"/>
              </w:rPr>
              <w:t>二</w:t>
            </w:r>
            <w:r>
              <w:rPr>
                <w:rFonts w:hint="default" w:ascii="Times New Roman" w:hAnsi="Times New Roman" w:eastAsia="宋体" w:cs="Times New Roman"/>
                <w:spacing w:val="18"/>
                <w:sz w:val="24"/>
                <w:szCs w:val="24"/>
                <w:highlight w:val="none"/>
                <w:lang w:val="en-US" w:eastAsia="zh-CN"/>
              </w:rPr>
              <w:t>次扬尘污染。</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pacing w:val="18"/>
                <w:sz w:val="24"/>
                <w:szCs w:val="24"/>
                <w:highlight w:val="none"/>
                <w:lang w:val="en-US" w:eastAsia="zh-CN"/>
              </w:rPr>
            </w:pPr>
            <w:r>
              <w:rPr>
                <w:rFonts w:hint="default" w:ascii="Times New Roman" w:hAnsi="Times New Roman" w:eastAsia="宋体" w:cs="Times New Roman"/>
                <w:spacing w:val="18"/>
                <w:sz w:val="24"/>
                <w:szCs w:val="24"/>
                <w:highlight w:val="none"/>
                <w:lang w:val="en-US" w:eastAsia="zh-CN"/>
              </w:rPr>
              <w:t>(4)要求建设单位在工程完工后完善绿化带</w:t>
            </w:r>
            <w:r>
              <w:rPr>
                <w:rFonts w:hint="eastAsia" w:ascii="Times New Roman" w:hAnsi="Times New Roman" w:eastAsia="宋体" w:cs="Times New Roman"/>
                <w:spacing w:val="18"/>
                <w:sz w:val="24"/>
                <w:szCs w:val="24"/>
                <w:highlight w:val="none"/>
                <w:lang w:val="en-US" w:eastAsia="zh-CN"/>
              </w:rPr>
              <w:t>，</w:t>
            </w:r>
            <w:r>
              <w:rPr>
                <w:rFonts w:hint="default" w:ascii="Times New Roman" w:hAnsi="Times New Roman" w:eastAsia="宋体" w:cs="Times New Roman"/>
                <w:spacing w:val="18"/>
                <w:sz w:val="24"/>
                <w:szCs w:val="24"/>
                <w:highlight w:val="none"/>
                <w:lang w:val="en-US" w:eastAsia="zh-CN"/>
              </w:rPr>
              <w:t>以便道路两侧形成绿色屏障，可有效减少道路扬尘等大气污染、降低噪声。</w:t>
            </w:r>
          </w:p>
          <w:p>
            <w:pPr>
              <w:keepNext w:val="0"/>
              <w:keepLines w:val="0"/>
              <w:pageBreakBefore w:val="0"/>
              <w:widowControl/>
              <w:suppressLineNumbers w:val="0"/>
              <w:kinsoku/>
              <w:wordWrap/>
              <w:overflowPunct/>
              <w:topLinePunct w:val="0"/>
              <w:autoSpaceDE/>
              <w:autoSpaceDN/>
              <w:bidi w:val="0"/>
              <w:spacing w:line="360" w:lineRule="auto"/>
              <w:ind w:firstLine="55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highlight w:val="none"/>
                <w:lang w:val="en-US" w:eastAsia="zh-CN"/>
              </w:rPr>
              <w:t>以上各项措施实施后，项目再次通车后汽车尾气对周围环境空气的污染可控制在一定范围之内，最大限度的减轻对园区环境的影响。</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项目运营后噪声源主要为路面行驶的车辆由于气流湍动、路面平整度、发动机运转、排气系统、轮胎与路面磨擦等将产生交通噪声，噪声强度与单车源强、车流量、车型比及车速等多种因素有关。</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根据环评预测结果可知，在不考虑建筑物对噪声屏蔽、绿化带隔声作用条件下，拟建道路建成运营远期昼间</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道路红线两侧</w:t>
            </w: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0m外昼间和夜间声环境均能够达到《声环境质量标准》(GB3096-2008)4a类标准(即昼间≤70dB(A)、夜间≤55dB(A))。运营期道路噪声对</w:t>
            </w:r>
            <w:r>
              <w:rPr>
                <w:rFonts w:hint="eastAsia" w:ascii="Times New Roman" w:hAnsi="Times New Roman" w:eastAsia="宋体" w:cs="Times New Roman"/>
                <w:sz w:val="24"/>
                <w:szCs w:val="24"/>
                <w:lang w:val="en-US" w:eastAsia="zh-CN"/>
              </w:rPr>
              <w:t>周边环境</w:t>
            </w:r>
            <w:r>
              <w:rPr>
                <w:rFonts w:hint="default" w:ascii="Times New Roman" w:hAnsi="Times New Roman" w:eastAsia="宋体" w:cs="Times New Roman"/>
                <w:sz w:val="24"/>
                <w:szCs w:val="24"/>
                <w:lang w:val="en-US" w:eastAsia="zh-CN"/>
              </w:rPr>
              <w:t>影响较小。</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换热站设置较为分散，都设置在企业周围，换热站产生的噪声约为80-90dB，建设方合理安排换热站位置，远离居民住宅楼，与最近的住宅须要保持15m以上的距离，使用独立建筑物，做好换热站基础减震，隔声降噪，经降噪措施处理后，换热站所在建筑物外1米为45-55dB。</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8" w:firstLineChars="200"/>
              <w:textAlignment w:val="baseline"/>
              <w:rPr>
                <w:rFonts w:hint="default" w:ascii="Times New Roman" w:hAnsi="Times New Roman" w:eastAsia="宋体" w:cs="Times New Roman"/>
                <w:b/>
                <w:bCs/>
                <w:spacing w:val="14"/>
                <w:sz w:val="24"/>
                <w:szCs w:val="24"/>
                <w:lang w:val="en-US" w:eastAsia="zh-CN"/>
              </w:rPr>
            </w:pPr>
            <w:r>
              <w:rPr>
                <w:rFonts w:hint="eastAsia" w:ascii="Times New Roman" w:hAnsi="Times New Roman" w:eastAsia="宋体" w:cs="Times New Roman"/>
                <w:b/>
                <w:bCs/>
                <w:spacing w:val="14"/>
                <w:sz w:val="24"/>
                <w:szCs w:val="24"/>
                <w:lang w:val="en-US" w:eastAsia="zh-CN"/>
              </w:rPr>
              <w:t>5、电磁辐射</w:t>
            </w:r>
            <w:r>
              <w:rPr>
                <w:rFonts w:hint="default" w:ascii="Times New Roman" w:hAnsi="Times New Roman" w:eastAsia="宋体" w:cs="Times New Roman"/>
                <w:b/>
                <w:bCs/>
                <w:snapToGrid w:val="0"/>
                <w:color w:val="000000"/>
                <w:kern w:val="0"/>
                <w:sz w:val="24"/>
                <w:szCs w:val="24"/>
                <w:lang w:val="en-US" w:eastAsia="zh-CN" w:bidi="ar"/>
              </w:rPr>
              <w:t>污染防治措施</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架设电线会产生的一定的电磁辐射，但本项目最大电压为110kV且项目区距离集中居民住宅区较远，不会对居民身体健康产生危害。110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8" w:firstLineChars="200"/>
              <w:textAlignment w:val="baseline"/>
              <w:rPr>
                <w:rFonts w:hint="default" w:ascii="Times New Roman" w:hAnsi="Times New Roman" w:eastAsia="宋体" w:cs="Times New Roman"/>
                <w:b/>
                <w:bCs/>
                <w:spacing w:val="14"/>
                <w:sz w:val="24"/>
                <w:szCs w:val="24"/>
                <w:lang w:val="en-US" w:eastAsia="zh-CN"/>
              </w:rPr>
            </w:pPr>
            <w:r>
              <w:rPr>
                <w:rFonts w:hint="eastAsia" w:ascii="Times New Roman" w:hAnsi="Times New Roman" w:eastAsia="宋体" w:cs="Times New Roman"/>
                <w:b/>
                <w:bCs/>
                <w:spacing w:val="14"/>
                <w:sz w:val="24"/>
                <w:szCs w:val="24"/>
                <w:lang w:val="en-US" w:eastAsia="zh-CN"/>
              </w:rPr>
              <w:t>6、环境风险</w:t>
            </w:r>
            <w:r>
              <w:rPr>
                <w:rFonts w:hint="default" w:ascii="Times New Roman" w:hAnsi="Times New Roman" w:eastAsia="宋体" w:cs="Times New Roman"/>
                <w:b/>
                <w:bCs/>
                <w:snapToGrid w:val="0"/>
                <w:color w:val="000000"/>
                <w:kern w:val="0"/>
                <w:sz w:val="24"/>
                <w:szCs w:val="24"/>
                <w:lang w:val="en-US" w:eastAsia="zh-CN" w:bidi="ar"/>
              </w:rPr>
              <w:t>污染防治措施</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道路运营后可能引发环境风险事故的主要为道路运输。风险事故类型为道路运输车辆发生翻车或泄漏事故后，运输物料污染项目区土壤</w:t>
            </w:r>
            <w:r>
              <w:rPr>
                <w:rFonts w:hint="eastAsia" w:ascii="Times New Roman" w:hAnsi="Times New Roman" w:eastAsia="宋体" w:cs="Times New Roman"/>
                <w:b w:val="0"/>
                <w:bCs w:val="0"/>
                <w:spacing w:val="14"/>
                <w:sz w:val="24"/>
                <w:szCs w:val="24"/>
                <w:lang w:val="en-US" w:eastAsia="zh-CN"/>
              </w:rPr>
              <w:t>；</w:t>
            </w:r>
            <w:r>
              <w:rPr>
                <w:rFonts w:hint="default" w:ascii="Times New Roman" w:hAnsi="Times New Roman" w:eastAsia="宋体" w:cs="Times New Roman"/>
                <w:b w:val="0"/>
                <w:bCs w:val="0"/>
                <w:spacing w:val="14"/>
                <w:sz w:val="24"/>
                <w:szCs w:val="24"/>
                <w:lang w:val="en-US" w:eastAsia="zh-CN"/>
              </w:rPr>
              <w:t>有毒气体泄漏造成人员伤亡。</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本项目道路工程工业园区，无居民区等敏感人群，无自然保护区，无珍稀濒危野生动植物，因此根据本项目周边环境概况，确定本项目环境风险敏感目标为项目区土壤及地下水环境。</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为防止突发环境事故的影响，需要采取以下防范措施</w:t>
            </w:r>
            <w:r>
              <w:rPr>
                <w:rFonts w:hint="eastAsia" w:ascii="Times New Roman" w:hAnsi="Times New Roman" w:eastAsia="宋体" w:cs="Times New Roman"/>
                <w:b w:val="0"/>
                <w:bCs w:val="0"/>
                <w:spacing w:val="14"/>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(1)运载危险品的车辆上路必须按国家有关规定报有关管理部门，车辆上必须设置危险品标志牌</w:t>
            </w:r>
            <w:r>
              <w:rPr>
                <w:rFonts w:hint="eastAsia" w:ascii="Times New Roman" w:hAnsi="Times New Roman" w:eastAsia="宋体" w:cs="Times New Roman"/>
                <w:b w:val="0"/>
                <w:bCs w:val="0"/>
                <w:spacing w:val="14"/>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(2)限制行驶车速，并对行驶时间加以限制，以避开交通高峰时间</w:t>
            </w:r>
            <w:r>
              <w:rPr>
                <w:rFonts w:hint="eastAsia" w:ascii="Times New Roman" w:hAnsi="Times New Roman" w:eastAsia="宋体" w:cs="Times New Roman"/>
                <w:b w:val="0"/>
                <w:bCs w:val="0"/>
                <w:spacing w:val="14"/>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(3)加强有毒、有害化学品车辆运输的管理，对一些剧毒化学品运输要求采取专门的许可制度和保安护卫工作</w:t>
            </w:r>
            <w:r>
              <w:rPr>
                <w:rFonts w:hint="eastAsia" w:ascii="Times New Roman" w:hAnsi="Times New Roman" w:eastAsia="宋体" w:cs="Times New Roman"/>
                <w:b w:val="0"/>
                <w:bCs w:val="0"/>
                <w:spacing w:val="14"/>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val="en-US" w:eastAsia="zh-CN"/>
              </w:rPr>
              <w:t>(4)建设单位应组织制定突发环境事故应急预案，一旦发生翻车或泄漏等事故时立刻启动预案，并及时对泄漏进行处置。</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4"/>
                <w:sz w:val="24"/>
                <w:szCs w:val="24"/>
                <w:lang w:val="en-US" w:eastAsia="zh-CN"/>
              </w:rPr>
              <w:t>综上，项目运营期采取有效的治理措施后，污染物影响较小。</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15"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8" w:name="_Toc28838"/>
      <w:r>
        <w:rPr>
          <w:rFonts w:hint="default" w:ascii="Times New Roman" w:hAnsi="Times New Roman" w:cs="Times New Roman"/>
          <w:sz w:val="32"/>
          <w:szCs w:val="52"/>
        </w:rPr>
        <w:t>表九 环境质量及污染源监测(附监测图)</w:t>
      </w:r>
      <w:bookmarkEnd w:id="8"/>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2633"/>
              <w:gridCol w:w="1802"/>
              <w:gridCol w:w="1802"/>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气、水</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6"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声</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新疆润盛投资发展有限公司委托新疆国科检测有限公司对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val="en-US" w:eastAsia="zh-CN"/>
                    </w:rPr>
                    <w:t>9</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2024年3月1日。2024年02月29日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0.4-1.2m/s</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风向</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西风。2024年03月01日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0.6-1.4m/s</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风向</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西风。</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根据《建设项目环境保护设施竣工验收监测技术要求》，结合本工程的实际情况，确定本项目验收监测内容为噪声。</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验收监测内容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监测内容见表9-1。</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验收监测内容</w:t>
                  </w:r>
                </w:p>
                <w:tbl>
                  <w:tblPr>
                    <w:tblStyle w:val="14"/>
                    <w:tblW w:w="78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2377"/>
                    <w:gridCol w:w="1133"/>
                    <w:gridCol w:w="1004"/>
                    <w:gridCol w:w="1103"/>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237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11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100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110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采样介质</w:t>
                        </w:r>
                      </w:p>
                    </w:tc>
                    <w:tc>
                      <w:tcPr>
                        <w:tcW w:w="124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237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1#:南环路中点、2#:呼图壁街道中点、3#:东翔路中点</w:t>
                        </w:r>
                      </w:p>
                    </w:tc>
                    <w:tc>
                      <w:tcPr>
                        <w:tcW w:w="11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道路噪声</w:t>
                        </w:r>
                      </w:p>
                    </w:tc>
                    <w:tc>
                      <w:tcPr>
                        <w:tcW w:w="100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p>
                    </w:tc>
                    <w:tc>
                      <w:tcPr>
                        <w:tcW w:w="110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24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昼夜各一次，2天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9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237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4#-7#:厂界四周</w:t>
                        </w:r>
                      </w:p>
                    </w:tc>
                    <w:tc>
                      <w:tcPr>
                        <w:tcW w:w="11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工业企业噪声</w:t>
                        </w:r>
                      </w:p>
                    </w:tc>
                    <w:tc>
                      <w:tcPr>
                        <w:tcW w:w="100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p>
                    </w:tc>
                    <w:tc>
                      <w:tcPr>
                        <w:tcW w:w="110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24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snapToGrid w:val="0"/>
                            <w:color w:val="000000"/>
                            <w:kern w:val="0"/>
                            <w:sz w:val="21"/>
                            <w:szCs w:val="21"/>
                            <w:vertAlign w:val="baseline"/>
                            <w:lang w:val="en-US" w:eastAsia="zh-CN"/>
                          </w:rPr>
                        </w:pPr>
                        <w:r>
                          <w:rPr>
                            <w:rFonts w:hint="eastAsia" w:eastAsia="宋体" w:cs="Times New Roman"/>
                            <w:sz w:val="21"/>
                            <w:szCs w:val="21"/>
                            <w:vertAlign w:val="baseline"/>
                            <w:lang w:val="en-US" w:eastAsia="zh-CN"/>
                          </w:rPr>
                          <w:t>昼夜各一次/天，2天</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eastAsia="宋体" w:cs="Times New Roman"/>
                      <w:snapToGrid w:val="0"/>
                      <w:color w:val="000000"/>
                      <w:kern w:val="0"/>
                      <w:sz w:val="24"/>
                      <w:szCs w:val="24"/>
                      <w:lang w:val="en-US" w:eastAsia="zh-CN" w:bidi="ar"/>
                    </w:rPr>
                    <w:t>检测布点图：</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rPr>
                  </w:pPr>
                  <w:r>
                    <w:rPr>
                      <w:rFonts w:hint="default"/>
                    </w:rPr>
                    <w:drawing>
                      <wp:inline distT="0" distB="0" distL="114300" distR="114300">
                        <wp:extent cx="4966970" cy="2610485"/>
                        <wp:effectExtent l="0" t="0" r="5080" b="184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9"/>
                                <a:stretch>
                                  <a:fillRect/>
                                </a:stretch>
                              </pic:blipFill>
                              <pic:spPr>
                                <a:xfrm>
                                  <a:off x="0" y="0"/>
                                  <a:ext cx="4966970" cy="2610485"/>
                                </a:xfrm>
                                <a:prstGeom prst="rect">
                                  <a:avLst/>
                                </a:prstGeom>
                                <a:noFill/>
                                <a:ln>
                                  <a:noFill/>
                                </a:ln>
                              </pic:spPr>
                            </pic:pic>
                          </a:graphicData>
                        </a:graphic>
                      </wp:inline>
                    </w:drawing>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eastAsia="宋体"/>
                      <w:b/>
                      <w:bCs/>
                      <w:sz w:val="21"/>
                      <w:szCs w:val="21"/>
                      <w:lang w:val="en-US" w:eastAsia="zh-CN"/>
                    </w:rPr>
                  </w:pPr>
                  <w:r>
                    <w:rPr>
                      <w:rFonts w:hint="eastAsia" w:eastAsia="宋体"/>
                      <w:b/>
                      <w:bCs/>
                      <w:sz w:val="21"/>
                      <w:szCs w:val="21"/>
                      <w:lang w:val="en-US" w:eastAsia="zh-CN"/>
                    </w:rPr>
                    <w:t>图9-1</w:t>
                  </w:r>
                  <w:r>
                    <w:rPr>
                      <w:rFonts w:hint="eastAsia" w:eastAsia="宋体" w:cs="Times New Roman"/>
                      <w:b/>
                      <w:bCs/>
                      <w:snapToGrid w:val="0"/>
                      <w:color w:val="000000"/>
                      <w:kern w:val="0"/>
                      <w:sz w:val="21"/>
                      <w:szCs w:val="21"/>
                      <w:lang w:val="en-US" w:eastAsia="zh-CN" w:bidi="ar"/>
                    </w:rPr>
                    <w:t>检测布点图</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1.</w:t>
                  </w:r>
                  <w:r>
                    <w:rPr>
                      <w:rFonts w:hint="eastAsia" w:eastAsia="宋体" w:cs="Times New Roman"/>
                      <w:b w:val="0"/>
                      <w:bCs w:val="0"/>
                      <w:sz w:val="24"/>
                      <w:szCs w:val="24"/>
                      <w:vertAlign w:val="baseline"/>
                      <w:lang w:val="en-US" w:eastAsia="zh-CN"/>
                    </w:rPr>
                    <w:t>噪声检测结果见下表。</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eastAsia="宋体" w:cs="Times New Roman"/>
                      <w:b/>
                      <w:bCs/>
                      <w:sz w:val="21"/>
                      <w:szCs w:val="21"/>
                      <w:vertAlign w:val="baseline"/>
                      <w:lang w:val="en-US" w:eastAsia="zh-CN"/>
                    </w:rPr>
                    <w:t>表9-2  噪声检测结果表</w:t>
                  </w:r>
                </w:p>
                <w:tbl>
                  <w:tblPr>
                    <w:tblStyle w:val="1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2134"/>
                    <w:gridCol w:w="1953"/>
                    <w:gridCol w:w="19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77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检测日期</w:t>
                        </w:r>
                      </w:p>
                    </w:tc>
                    <w:tc>
                      <w:tcPr>
                        <w:tcW w:w="2137"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点位编号及测点位置</w:t>
                        </w:r>
                      </w:p>
                    </w:tc>
                    <w:tc>
                      <w:tcPr>
                        <w:tcW w:w="1956"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检测时间</w:t>
                        </w:r>
                      </w:p>
                    </w:tc>
                    <w:tc>
                      <w:tcPr>
                        <w:tcW w:w="195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77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rPr>
                        </w:pPr>
                      </w:p>
                    </w:tc>
                    <w:tc>
                      <w:tcPr>
                        <w:tcW w:w="213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rPr>
                        </w:pPr>
                      </w:p>
                    </w:tc>
                    <w:tc>
                      <w:tcPr>
                        <w:tcW w:w="1956"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rPr>
                        </w:pPr>
                      </w:p>
                    </w:tc>
                    <w:tc>
                      <w:tcPr>
                        <w:tcW w:w="195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噪声</w:t>
                        </w:r>
                        <w:r>
                          <w:rPr>
                            <w:rFonts w:hint="default" w:ascii="Times New Roman" w:hAnsi="Times New Roman" w:eastAsia="宋体" w:cs="Times New Roman"/>
                            <w:snapToGrid w:val="0"/>
                            <w:color w:val="000000"/>
                            <w:kern w:val="0"/>
                            <w:sz w:val="21"/>
                            <w:szCs w:val="21"/>
                            <w:lang w:val="en-US" w:eastAsia="zh-CN" w:bidi="ar"/>
                          </w:rPr>
                          <w:t>LeqdB</w:t>
                        </w:r>
                        <w:r>
                          <w:rPr>
                            <w:rFonts w:hint="eastAsia" w:ascii="宋体" w:hAnsi="宋体" w:eastAsia="宋体" w:cs="宋体"/>
                            <w:snapToGrid w:val="0"/>
                            <w:color w:val="000000"/>
                            <w:kern w:val="0"/>
                            <w:sz w:val="21"/>
                            <w:szCs w:val="21"/>
                            <w:lang w:val="en-US" w:eastAsia="zh-CN" w:bidi="ar"/>
                          </w:rPr>
                          <w:t>（</w:t>
                        </w:r>
                        <w:r>
                          <w:rPr>
                            <w:rFonts w:hint="default" w:ascii="Times New Roman" w:hAnsi="Times New Roman" w:eastAsia="宋体" w:cs="Times New Roman"/>
                            <w:snapToGrid w:val="0"/>
                            <w:color w:val="000000"/>
                            <w:kern w:val="0"/>
                            <w:sz w:val="21"/>
                            <w:szCs w:val="21"/>
                            <w:lang w:val="en-US" w:eastAsia="zh-CN" w:bidi="ar"/>
                          </w:rPr>
                          <w:t>A</w:t>
                        </w:r>
                        <w:r>
                          <w:rPr>
                            <w:rFonts w:hint="eastAsia" w:ascii="宋体" w:hAnsi="宋体" w:eastAsia="宋体" w:cs="宋体"/>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restart"/>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2024.2.29</w:t>
                        </w:r>
                      </w:p>
                    </w:tc>
                    <w:tc>
                      <w:tcPr>
                        <w:tcW w:w="2137"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1#:南环路中点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16:01</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2#:呼图壁街道中点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16:37</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3#:东翔路中点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19:33</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1#:南环路中点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05:10</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2#:呼图壁街道中点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05:42</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3#:东翔路中点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06:29</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restart"/>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2024.3.1</w:t>
                        </w: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1#:南环路中点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16:08</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2#:呼图壁街道中点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16:43</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3#:东翔路中点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17:41</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1#:南环路中点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05:00</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2#:呼图壁街道中点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05:40</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3"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2137"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3#:东翔路中点</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06:25</w:t>
                        </w:r>
                      </w:p>
                    </w:tc>
                    <w:tc>
                      <w:tcPr>
                        <w:tcW w:w="1956"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49.2</w:t>
                        </w:r>
                      </w:p>
                    </w:tc>
                  </w:tr>
                </w:tbl>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b/>
                      <w:bCs/>
                      <w:sz w:val="21"/>
                      <w:szCs w:val="21"/>
                      <w:vertAlign w:val="baseline"/>
                      <w:lang w:val="en-US" w:eastAsia="zh-CN"/>
                    </w:rPr>
                    <w:t>表9-3  噪声检测结果表</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0"/>
                    <w:gridCol w:w="1890"/>
                    <w:gridCol w:w="1565"/>
                    <w:gridCol w:w="1565"/>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240"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检测日期</w:t>
                        </w:r>
                      </w:p>
                    </w:tc>
                    <w:tc>
                      <w:tcPr>
                        <w:tcW w:w="1890"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点位编号及测点位置</w:t>
                        </w:r>
                      </w:p>
                    </w:tc>
                    <w:tc>
                      <w:tcPr>
                        <w:tcW w:w="1565"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主要声源</w:t>
                        </w:r>
                      </w:p>
                    </w:tc>
                    <w:tc>
                      <w:tcPr>
                        <w:tcW w:w="1565"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检测时间</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240" w:type="dxa"/>
                        <w:vMerge w:val="continue"/>
                        <w:vAlign w:val="center"/>
                      </w:tcPr>
                      <w:p>
                        <w:pPr>
                          <w:pStyle w:val="2"/>
                          <w:keepNext w:val="0"/>
                          <w:keepLines w:val="0"/>
                          <w:widowControl w:val="0"/>
                          <w:suppressLineNumbers w:val="0"/>
                          <w:spacing w:before="0" w:beforeAutospacing="0" w:after="0" w:afterAutospacing="0"/>
                          <w:ind w:left="0" w:right="0"/>
                          <w:jc w:val="center"/>
                          <w:rPr>
                            <w:rFonts w:hint="default"/>
                          </w:rPr>
                        </w:pPr>
                      </w:p>
                    </w:tc>
                    <w:tc>
                      <w:tcPr>
                        <w:tcW w:w="1890" w:type="dxa"/>
                        <w:vMerge w:val="continue"/>
                        <w:vAlign w:val="center"/>
                      </w:tcPr>
                      <w:p>
                        <w:pPr>
                          <w:pStyle w:val="2"/>
                          <w:keepNext w:val="0"/>
                          <w:keepLines w:val="0"/>
                          <w:widowControl w:val="0"/>
                          <w:suppressLineNumbers w:val="0"/>
                          <w:spacing w:before="0" w:beforeAutospacing="0" w:after="0" w:afterAutospacing="0"/>
                          <w:ind w:left="0" w:right="0"/>
                          <w:jc w:val="center"/>
                          <w:rPr>
                            <w:rFonts w:hint="default"/>
                          </w:rPr>
                        </w:pPr>
                      </w:p>
                    </w:tc>
                    <w:tc>
                      <w:tcPr>
                        <w:tcW w:w="1565"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rPr>
                        </w:pPr>
                      </w:p>
                    </w:tc>
                    <w:tc>
                      <w:tcPr>
                        <w:tcW w:w="1565"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rPr>
                        </w:pP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噪声</w:t>
                        </w:r>
                        <w:r>
                          <w:rPr>
                            <w:rFonts w:hint="default" w:ascii="Times New Roman" w:hAnsi="Times New Roman" w:eastAsia="宋体" w:cs="Times New Roman"/>
                            <w:snapToGrid w:val="0"/>
                            <w:color w:val="000000"/>
                            <w:kern w:val="0"/>
                            <w:sz w:val="21"/>
                            <w:szCs w:val="21"/>
                            <w:lang w:val="en-US" w:eastAsia="zh-CN" w:bidi="ar"/>
                          </w:rPr>
                          <w:t>LeqdB</w:t>
                        </w:r>
                        <w:r>
                          <w:rPr>
                            <w:rFonts w:hint="eastAsia" w:ascii="宋体" w:hAnsi="宋体" w:eastAsia="宋体" w:cs="宋体"/>
                            <w:snapToGrid w:val="0"/>
                            <w:color w:val="000000"/>
                            <w:kern w:val="0"/>
                            <w:sz w:val="21"/>
                            <w:szCs w:val="21"/>
                            <w:lang w:val="en-US" w:eastAsia="zh-CN" w:bidi="ar"/>
                          </w:rPr>
                          <w:t>（</w:t>
                        </w:r>
                        <w:r>
                          <w:rPr>
                            <w:rFonts w:hint="default" w:ascii="Times New Roman" w:hAnsi="Times New Roman" w:eastAsia="宋体" w:cs="Times New Roman"/>
                            <w:snapToGrid w:val="0"/>
                            <w:color w:val="000000"/>
                            <w:kern w:val="0"/>
                            <w:sz w:val="21"/>
                            <w:szCs w:val="21"/>
                            <w:lang w:val="en-US" w:eastAsia="zh-CN" w:bidi="ar"/>
                          </w:rPr>
                          <w:t>A</w:t>
                        </w:r>
                        <w:r>
                          <w:rPr>
                            <w:rFonts w:hint="eastAsia" w:ascii="宋体" w:hAnsi="宋体" w:eastAsia="宋体" w:cs="宋体"/>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restart"/>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2024.2.29</w:t>
                        </w: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17:11</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17:14</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17:18</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17:21</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04:01</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04:03</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04:08</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04:10</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restart"/>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2024.3.1</w:t>
                        </w: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23:07</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23:09</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23:12</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23:15</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03:46</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03:48</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03:52</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vMerge w:val="continue"/>
                        <w:vAlign w:val="center"/>
                      </w:tcPr>
                      <w:p>
                        <w:pPr>
                          <w:pStyle w:val="2"/>
                          <w:keepNext w:val="0"/>
                          <w:keepLines w:val="0"/>
                          <w:widowControl w:val="0"/>
                          <w:suppressLineNumbers w:val="0"/>
                          <w:spacing w:before="0" w:beforeAutospacing="0" w:after="0" w:afterAutospacing="0"/>
                          <w:ind w:left="0" w:leftChars="0" w:right="0" w:rightChars="0"/>
                          <w:jc w:val="center"/>
                          <w:rPr>
                            <w:rFonts w:hint="default" w:eastAsia="宋体" w:cs="Times New Roman"/>
                            <w:sz w:val="21"/>
                            <w:szCs w:val="21"/>
                            <w:vertAlign w:val="baseline"/>
                            <w:lang w:val="en-US" w:eastAsia="zh-CN"/>
                          </w:rPr>
                        </w:pPr>
                      </w:p>
                    </w:tc>
                    <w:tc>
                      <w:tcPr>
                        <w:tcW w:w="1890" w:type="dxa"/>
                        <w:vAlign w:val="center"/>
                      </w:tcPr>
                      <w:p>
                        <w:pPr>
                          <w:pStyle w:val="2"/>
                          <w:keepNext w:val="0"/>
                          <w:keepLines w:val="0"/>
                          <w:widowControl w:val="0"/>
                          <w:suppressLineNumbers w:val="0"/>
                          <w:spacing w:before="0" w:beforeAutospacing="0" w:after="0" w:afterAutospacing="0"/>
                          <w:ind w:left="0" w:leftChars="0" w:right="0" w:rightChars="0"/>
                          <w:jc w:val="center"/>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565"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565" w:type="dxa"/>
                        <w:vAlign w:val="center"/>
                      </w:tcPr>
                      <w:p>
                        <w:pPr>
                          <w:pStyle w:val="2"/>
                          <w:keepNext w:val="0"/>
                          <w:keepLines w:val="0"/>
                          <w:widowControl w:val="0"/>
                          <w:suppressLineNumbers w:val="0"/>
                          <w:spacing w:before="0" w:beforeAutospacing="0" w:after="0" w:afterAutospacing="0"/>
                          <w:ind w:left="0" w:right="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03:55</w:t>
                        </w:r>
                      </w:p>
                    </w:tc>
                    <w:tc>
                      <w:tcPr>
                        <w:tcW w:w="1565" w:type="dxa"/>
                        <w:vAlign w:val="center"/>
                      </w:tcPr>
                      <w:p>
                        <w:pPr>
                          <w:pStyle w:val="2"/>
                          <w:keepNext w:val="0"/>
                          <w:keepLines w:val="0"/>
                          <w:widowControl w:val="0"/>
                          <w:suppressLineNumbers w:val="0"/>
                          <w:spacing w:before="0" w:beforeAutospacing="0" w:after="0" w:afterAutospacing="0"/>
                          <w:ind w:left="0" w:right="0" w:rightChars="0"/>
                          <w:jc w:val="center"/>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42.3</w:t>
                        </w:r>
                      </w:p>
                    </w:tc>
                  </w:tr>
                </w:tbl>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根据监测结果可知，本项目</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w:t>
                  </w:r>
                  <w:r>
                    <w:rPr>
                      <w:rFonts w:hint="eastAsia" w:ascii="Times New Roman" w:hAnsi="Times New Roman" w:eastAsia="宋体" w:cs="Times New Roman"/>
                      <w:snapToGrid w:val="0"/>
                      <w:color w:val="000000"/>
                      <w:kern w:val="0"/>
                      <w:sz w:val="24"/>
                      <w:szCs w:val="24"/>
                      <w:lang w:val="en-US" w:eastAsia="zh-CN" w:bidi="ar"/>
                    </w:rPr>
                    <w:t>7</w:t>
                  </w:r>
                  <w:r>
                    <w:rPr>
                      <w:rFonts w:hint="default" w:ascii="Times New Roman" w:hAnsi="Times New Roman" w:eastAsia="宋体" w:cs="Times New Roman"/>
                      <w:snapToGrid w:val="0"/>
                      <w:color w:val="000000"/>
                      <w:kern w:val="0"/>
                      <w:sz w:val="24"/>
                      <w:szCs w:val="24"/>
                      <w:lang w:val="en-US" w:eastAsia="zh-CN" w:bidi="ar"/>
                    </w:rPr>
                    <w:t>#点位噪声均满足</w:t>
                  </w:r>
                  <w:r>
                    <w:rPr>
                      <w:rFonts w:hint="default" w:ascii="Times New Roman" w:hAnsi="Times New Roman" w:eastAsia="宋体" w:cs="Times New Roman"/>
                      <w:color w:val="auto"/>
                      <w:sz w:val="24"/>
                      <w:szCs w:val="24"/>
                      <w:highlight w:val="none"/>
                    </w:rPr>
                    <w:t>《工业企业厂界环境噪声排放标准》（GB12348-2008）中</w:t>
                  </w:r>
                  <w:r>
                    <w:rPr>
                      <w:rFonts w:hint="default"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rPr>
                    <w:t>类标准</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000000"/>
                      <w:kern w:val="0"/>
                      <w:sz w:val="24"/>
                      <w:szCs w:val="24"/>
                      <w:lang w:val="en-US" w:eastAsia="zh-CN" w:bidi="ar"/>
                    </w:rPr>
                    <w:t>昼间65dB（A），夜间55的标准要求；</w:t>
                  </w:r>
                  <w:r>
                    <w:rPr>
                      <w:rFonts w:hint="eastAsia" w:ascii="Times New Roman" w:hAnsi="Times New Roman" w:eastAsia="宋体" w:cs="Times New Roman"/>
                      <w:snapToGrid w:val="0"/>
                      <w:color w:val="000000"/>
                      <w:kern w:val="0"/>
                      <w:sz w:val="24"/>
                      <w:szCs w:val="24"/>
                      <w:lang w:val="en-US" w:eastAsia="zh-CN" w:bidi="ar"/>
                    </w:rPr>
                    <w:t>1</w:t>
                  </w:r>
                  <w:r>
                    <w:rPr>
                      <w:rFonts w:hint="default" w:ascii="Times New Roman" w:hAnsi="Times New Roman" w:eastAsia="宋体" w:cs="Times New Roman"/>
                      <w:snapToGrid w:val="0"/>
                      <w:color w:val="000000"/>
                      <w:kern w:val="0"/>
                      <w:sz w:val="24"/>
                      <w:szCs w:val="24"/>
                      <w:lang w:val="en-US" w:eastAsia="zh-CN" w:bidi="ar"/>
                    </w:rPr>
                    <w:t>#-</w:t>
                  </w:r>
                  <w:r>
                    <w:rPr>
                      <w:rFonts w:hint="eastAsia" w:ascii="Times New Roman" w:hAnsi="Times New Roman" w:eastAsia="宋体" w:cs="Times New Roman"/>
                      <w:snapToGrid w:val="0"/>
                      <w:color w:val="000000"/>
                      <w:kern w:val="0"/>
                      <w:sz w:val="24"/>
                      <w:szCs w:val="24"/>
                      <w:lang w:val="en-US" w:eastAsia="zh-CN" w:bidi="ar"/>
                    </w:rPr>
                    <w:t>3</w:t>
                  </w:r>
                  <w:r>
                    <w:rPr>
                      <w:rFonts w:hint="default" w:ascii="Times New Roman" w:hAnsi="Times New Roman" w:eastAsia="宋体" w:cs="Times New Roman"/>
                      <w:snapToGrid w:val="0"/>
                      <w:color w:val="000000"/>
                      <w:kern w:val="0"/>
                      <w:sz w:val="24"/>
                      <w:szCs w:val="24"/>
                      <w:lang w:val="en-US" w:eastAsia="zh-CN" w:bidi="ar"/>
                    </w:rPr>
                    <w:t>#点位噪声满足</w:t>
                  </w:r>
                  <w:r>
                    <w:rPr>
                      <w:rFonts w:hint="default" w:ascii="Times New Roman" w:hAnsi="Times New Roman" w:cs="Times New Roman"/>
                      <w:kern w:val="0"/>
                      <w:sz w:val="24"/>
                      <w:szCs w:val="24"/>
                      <w:lang w:val="en-US" w:eastAsia="zh-CN"/>
                    </w:rPr>
                    <w:t>《声环境质量标准》(GB3096-2008)中的</w:t>
                  </w:r>
                  <w:r>
                    <w:rPr>
                      <w:rFonts w:hint="default" w:ascii="Times New Roman" w:hAnsi="Times New Roman" w:cs="Times New Roman"/>
                      <w:kern w:val="0"/>
                      <w:sz w:val="24"/>
                      <w:szCs w:val="24"/>
                      <w:highlight w:val="none"/>
                      <w:lang w:val="en-US" w:eastAsia="zh-CN"/>
                    </w:rPr>
                    <w:t>4a</w:t>
                  </w:r>
                  <w:r>
                    <w:rPr>
                      <w:rFonts w:hint="default" w:ascii="Times New Roman" w:hAnsi="Times New Roman" w:eastAsia="宋体" w:cs="Times New Roman"/>
                      <w:color w:val="auto"/>
                      <w:sz w:val="24"/>
                      <w:szCs w:val="24"/>
                      <w:highlight w:val="none"/>
                    </w:rPr>
                    <w:t>标准</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000000"/>
                      <w:kern w:val="0"/>
                      <w:sz w:val="24"/>
                      <w:szCs w:val="24"/>
                      <w:lang w:val="en-US" w:eastAsia="zh-CN" w:bidi="ar"/>
                    </w:rPr>
                    <w:t>昼间70dB（A），夜间55的标准要求。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电磁、振动</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新疆润盛投资发展有限公司委托新疆中检联检测有限公司对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为2024年3月9</w:t>
                  </w:r>
                  <w:r>
                    <w:rPr>
                      <w:rFonts w:hint="eastAsia" w:ascii="宋体" w:hAnsi="宋体" w:eastAsia="宋体" w:cs="宋体"/>
                      <w:spacing w:val="-1"/>
                      <w:sz w:val="24"/>
                      <w:szCs w:val="24"/>
                      <w:lang w:val="en-US" w:eastAsia="zh-CN"/>
                    </w:rPr>
                    <w:t>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根据《建设项目环境保护设施竣工验收监测技术要求》，结合本工程的实际情况，确定本项目验收监测内容为工频电磁。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w:t>
                  </w:r>
                  <w:r>
                    <w:rPr>
                      <w:rFonts w:hint="eastAsia"/>
                      <w:sz w:val="24"/>
                      <w:szCs w:val="24"/>
                      <w:lang w:val="en-US" w:eastAsia="zh-CN"/>
                    </w:rPr>
                    <w:t>检测</w:t>
                  </w:r>
                  <w:r>
                    <w:rPr>
                      <w:rFonts w:hint="eastAsia" w:ascii="宋体" w:hAnsi="宋体" w:eastAsia="宋体" w:cs="宋体"/>
                      <w:snapToGrid w:val="0"/>
                      <w:color w:val="000000"/>
                      <w:kern w:val="0"/>
                      <w:sz w:val="24"/>
                      <w:szCs w:val="24"/>
                      <w:lang w:val="en-US" w:eastAsia="zh-CN" w:bidi="ar"/>
                    </w:rPr>
                    <w:t>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eastAsia"/>
                      <w:sz w:val="24"/>
                      <w:szCs w:val="24"/>
                      <w:lang w:val="en-US" w:eastAsia="zh-CN"/>
                    </w:rPr>
                    <w:t>检测</w:t>
                  </w:r>
                  <w:r>
                    <w:rPr>
                      <w:rFonts w:hint="default" w:ascii="Times New Roman" w:hAnsi="Times New Roman" w:eastAsia="宋体" w:cs="Times New Roman"/>
                      <w:snapToGrid w:val="0"/>
                      <w:color w:val="000000"/>
                      <w:kern w:val="0"/>
                      <w:sz w:val="24"/>
                      <w:szCs w:val="24"/>
                      <w:lang w:val="en-US" w:eastAsia="zh-CN" w:bidi="ar"/>
                    </w:rPr>
                    <w:t>内容见表9-</w:t>
                  </w: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表9-4  验收监测内容</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3"/>
                    <w:gridCol w:w="1563"/>
                    <w:gridCol w:w="1563"/>
                    <w:gridCol w:w="781"/>
                    <w:gridCol w:w="782"/>
                    <w:gridCol w:w="1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5" w:hRule="atLeast"/>
                    </w:trPr>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781"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78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样品状态</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华盛热力双回路电源建设</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电场强度、磁感应强度</w:t>
                        </w:r>
                      </w:p>
                    </w:tc>
                    <w:tc>
                      <w:tcPr>
                        <w:tcW w:w="781"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w:t>
                        </w:r>
                      </w:p>
                    </w:tc>
                    <w:tc>
                      <w:tcPr>
                        <w:tcW w:w="78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5次/天*1天</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表9-5  监测仪器汇总表</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6"/>
                    <w:gridCol w:w="1050"/>
                    <w:gridCol w:w="2217"/>
                    <w:gridCol w:w="1583"/>
                    <w:gridCol w:w="984"/>
                    <w:gridCol w:w="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146"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分析方法及来源</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主要检测仪器</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仪器编号</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电场强度</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磁感应强度</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3.监测结果</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工频电磁</w:t>
                  </w:r>
                  <w:r>
                    <w:rPr>
                      <w:rFonts w:hint="eastAsia" w:ascii="Times New Roman" w:hAnsi="Times New Roman" w:eastAsia="宋体" w:cs="Times New Roman"/>
                      <w:snapToGrid w:val="0"/>
                      <w:color w:val="000000"/>
                      <w:kern w:val="0"/>
                      <w:sz w:val="24"/>
                      <w:szCs w:val="24"/>
                      <w:lang w:val="en-US" w:eastAsia="zh-CN" w:bidi="ar"/>
                    </w:rPr>
                    <w:t>检测</w:t>
                  </w:r>
                  <w:r>
                    <w:rPr>
                      <w:rFonts w:hint="eastAsia" w:eastAsia="宋体" w:cs="Times New Roman"/>
                      <w:b w:val="0"/>
                      <w:bCs w:val="0"/>
                      <w:sz w:val="24"/>
                      <w:szCs w:val="24"/>
                      <w:vertAlign w:val="baseline"/>
                      <w:lang w:val="en-US" w:eastAsia="zh-CN"/>
                    </w:rPr>
                    <w:t>结果见下表。</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表9-6  工频电磁强</w:t>
                  </w:r>
                  <w:r>
                    <w:rPr>
                      <w:rFonts w:hint="eastAsia" w:eastAsia="宋体" w:cs="Times New Roman"/>
                      <w:b/>
                      <w:bCs/>
                      <w:sz w:val="21"/>
                      <w:szCs w:val="21"/>
                      <w:vertAlign w:val="baseline"/>
                      <w:lang w:val="en-US" w:eastAsia="zh-CN"/>
                    </w:rPr>
                    <w:t>度检测结果表</w:t>
                  </w:r>
                </w:p>
                <w:tbl>
                  <w:tblPr>
                    <w:tblStyle w:val="14"/>
                    <w:tblW w:w="78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0"/>
                    <w:gridCol w:w="383"/>
                    <w:gridCol w:w="467"/>
                    <w:gridCol w:w="483"/>
                    <w:gridCol w:w="800"/>
                    <w:gridCol w:w="583"/>
                    <w:gridCol w:w="867"/>
                    <w:gridCol w:w="783"/>
                    <w:gridCol w:w="767"/>
                    <w:gridCol w:w="767"/>
                    <w:gridCol w:w="733"/>
                    <w:gridCol w:w="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 w:hRule="atLeast"/>
                    </w:trPr>
                    <w:tc>
                      <w:tcPr>
                        <w:tcW w:w="480"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监测日期</w:t>
                        </w:r>
                      </w:p>
                    </w:tc>
                    <w:tc>
                      <w:tcPr>
                        <w:tcW w:w="3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监测点位</w:t>
                        </w: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测量距离</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检测高度</w:t>
                        </w:r>
                      </w:p>
                    </w:tc>
                    <w:tc>
                      <w:tcPr>
                        <w:tcW w:w="800"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监测项目</w:t>
                        </w:r>
                      </w:p>
                    </w:tc>
                    <w:tc>
                      <w:tcPr>
                        <w:tcW w:w="5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单位</w:t>
                        </w:r>
                      </w:p>
                    </w:tc>
                    <w:tc>
                      <w:tcPr>
                        <w:tcW w:w="4629" w:type="dxa"/>
                        <w:gridSpan w:val="6"/>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5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第1次</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第2次</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第3次</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第4次</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第5次</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场强值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480"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2024.3.9</w:t>
                        </w:r>
                      </w:p>
                    </w:tc>
                    <w:tc>
                      <w:tcPr>
                        <w:tcW w:w="3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华盛热力双回路电源建设</w:t>
                        </w: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cs="Times New Roman"/>
                            <w:sz w:val="21"/>
                            <w:szCs w:val="21"/>
                            <w:vertAlign w:val="baseline"/>
                            <w:lang w:val="en-US" w:eastAsia="zh-CN"/>
                          </w:rPr>
                        </w:pPr>
                        <w:r>
                          <w:rPr>
                            <w:rFonts w:hint="eastAsia" w:cs="Times New Roman"/>
                            <w:sz w:val="21"/>
                            <w:szCs w:val="21"/>
                            <w:vertAlign w:val="baseline"/>
                            <w:lang w:val="en-US" w:eastAsia="zh-CN"/>
                          </w:rPr>
                          <w:t>5</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77.66</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77.64</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77.64</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77.63</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77.62</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0.5031</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0.4948</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0.4940</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0.4935</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0.4925</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0.4956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41.35</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41.34</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41.34</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41.34</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41.34</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0.3909</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0.3908</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0.3907</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0.3902</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0.3899</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21.10</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21.09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21.09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21.08</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21.03</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0.3009</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0.3004</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0.3001</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0.3000</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0.2995</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0.3002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9.79</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9.78</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9.78</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9.78</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0.2331</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0.2319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0.2316</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0.2314</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0.2304</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0.2317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25</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9.68</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9.66</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9.66</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9.66</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9.64</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0.1669</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0.1667</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0.1666</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0.1665</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0.1664</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30</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9.34</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9.33</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9.32</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9.29</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9.28</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0.1381</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0.1381</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0.1380</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0.1380</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0.1380</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35</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11.89</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11.88</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11.88</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11.88</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0.1303</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0.1303</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0.1302</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0.1302</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0.1300</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40</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10.47</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10.47</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10.46</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10.46</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10.46</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0.1261</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0.1260</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0.1259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0.1258</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0.1256</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45</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c>
                      <w:tcPr>
                        <w:tcW w:w="76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c>
                      <w:tcPr>
                        <w:tcW w:w="733"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c>
                      <w:tcPr>
                        <w:tcW w:w="712"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0.1073</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0.1072</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0.1071</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0.1070</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0.1068</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0"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w:t>
                        </w:r>
                      </w:p>
                    </w:tc>
                    <w:tc>
                      <w:tcPr>
                        <w:tcW w:w="483"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vertAlign w:val="baseline"/>
                            <w:lang w:val="en-US" w:eastAsia="zh-CN"/>
                          </w:rPr>
                          <w:t>1.5</w:t>
                        </w: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7.10</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7.10</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7.09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7.09</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7.09</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7.09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80"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67"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3"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8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8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0.0920</w:t>
                        </w:r>
                      </w:p>
                    </w:tc>
                    <w:tc>
                      <w:tcPr>
                        <w:tcW w:w="7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0.0919</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0.0918</w:t>
                        </w:r>
                      </w:p>
                    </w:tc>
                    <w:tc>
                      <w:tcPr>
                        <w:tcW w:w="76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0.0918</w:t>
                        </w:r>
                      </w:p>
                    </w:tc>
                    <w:tc>
                      <w:tcPr>
                        <w:tcW w:w="73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0.0918</w:t>
                        </w:r>
                      </w:p>
                    </w:tc>
                    <w:tc>
                      <w:tcPr>
                        <w:tcW w:w="712"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0.0919</w:t>
                        </w:r>
                      </w:p>
                    </w:tc>
                  </w:tr>
                </w:tbl>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验收监测期间，本项目</w:t>
                  </w:r>
                  <w:r>
                    <w:rPr>
                      <w:rFonts w:hint="default" w:ascii="Times New Roman" w:hAnsi="Times New Roman" w:eastAsia="宋体" w:cs="Times New Roman"/>
                      <w:sz w:val="24"/>
                      <w:szCs w:val="24"/>
                      <w:vertAlign w:val="baseline"/>
                      <w:lang w:val="en-US" w:eastAsia="zh-CN"/>
                    </w:rPr>
                    <w:t>电力线路改迁建设电场强度</w:t>
                  </w:r>
                  <w:r>
                    <w:rPr>
                      <w:rFonts w:hint="eastAsia" w:ascii="Times New Roman" w:hAnsi="Times New Roman" w:eastAsia="宋体" w:cs="Times New Roman"/>
                      <w:sz w:val="24"/>
                      <w:szCs w:val="24"/>
                      <w:vertAlign w:val="baseline"/>
                      <w:lang w:val="en-US" w:eastAsia="zh-CN"/>
                    </w:rPr>
                    <w:t>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napToGrid w:val="0"/>
                      <w:color w:val="000000"/>
                      <w:kern w:val="0"/>
                      <w:sz w:val="24"/>
                      <w:szCs w:val="24"/>
                      <w:lang w:val="en-US" w:eastAsia="zh-CN" w:bidi="ar"/>
                    </w:rPr>
                    <w:t>77.64</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w:t>
                  </w:r>
                  <w:r>
                    <w:rPr>
                      <w:rFonts w:hint="eastAsia" w:ascii="Times New Roman" w:hAnsi="Times New Roman" w:eastAsia="宋体" w:cs="Times New Roman"/>
                      <w:sz w:val="24"/>
                      <w:szCs w:val="24"/>
                      <w:vertAlign w:val="baseline"/>
                      <w:lang w:val="en-US" w:eastAsia="zh-CN"/>
                    </w:rPr>
                    <w:t>5</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w:t>
                  </w:r>
                  <w:r>
                    <w:rPr>
                      <w:rFonts w:hint="eastAsia" w:ascii="Times New Roman" w:hAnsi="Times New Roman" w:eastAsia="宋体" w:cs="Times New Roman"/>
                      <w:snapToGrid w:val="0"/>
                      <w:color w:val="000000"/>
                      <w:kern w:val="0"/>
                      <w:sz w:val="24"/>
                      <w:szCs w:val="24"/>
                      <w:lang w:val="en-US" w:eastAsia="zh-CN" w:bidi="ar"/>
                    </w:rPr>
                    <w:t>4956</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w:t>
                  </w:r>
                  <w:r>
                    <w:rPr>
                      <w:rFonts w:hint="eastAsia" w:ascii="Times New Roman" w:hAnsi="Times New Roman" w:eastAsia="宋体" w:cs="Times New Roman"/>
                      <w:sz w:val="24"/>
                      <w:szCs w:val="24"/>
                      <w:vertAlign w:val="baseline"/>
                      <w:lang w:val="en-US" w:eastAsia="zh-CN"/>
                    </w:rPr>
                    <w:t>30</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w:t>
                  </w:r>
                  <w:r>
                    <w:rPr>
                      <w:rFonts w:hint="default" w:ascii="Times New Roman" w:hAnsi="Times New Roman" w:eastAsia="宋体" w:cs="Times New Roman"/>
                      <w:sz w:val="24"/>
                      <w:szCs w:val="24"/>
                      <w:vertAlign w:val="baseline"/>
                      <w:lang w:val="en-US" w:eastAsia="zh-CN"/>
                    </w:rPr>
                    <w:t>9</w:t>
                  </w:r>
                  <w:r>
                    <w:rPr>
                      <w:rFonts w:hint="eastAsia" w:ascii="Times New Roman" w:hAnsi="Times New Roman" w:eastAsia="宋体" w:cs="Times New Roman"/>
                      <w:sz w:val="24"/>
                      <w:szCs w:val="24"/>
                      <w:vertAlign w:val="baseline"/>
                      <w:lang w:val="en-US" w:eastAsia="zh-CN"/>
                    </w:rPr>
                    <w:t>.31</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w:t>
                  </w:r>
                  <w:r>
                    <w:rPr>
                      <w:rFonts w:hint="eastAsia" w:ascii="Times New Roman" w:hAnsi="Times New Roman" w:eastAsia="宋体" w:cs="Times New Roman"/>
                      <w:snapToGrid w:val="0"/>
                      <w:color w:val="000000"/>
                      <w:kern w:val="0"/>
                      <w:sz w:val="24"/>
                      <w:szCs w:val="24"/>
                      <w:lang w:val="en-US" w:eastAsia="zh-CN" w:bidi="ar"/>
                    </w:rPr>
                    <w:t>30</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w:t>
                  </w:r>
                  <w:r>
                    <w:rPr>
                      <w:rFonts w:hint="eastAsia" w:ascii="Times New Roman" w:hAnsi="Times New Roman" w:eastAsia="宋体" w:cs="Times New Roman"/>
                      <w:snapToGrid w:val="0"/>
                      <w:color w:val="000000"/>
                      <w:kern w:val="0"/>
                      <w:sz w:val="24"/>
                      <w:szCs w:val="24"/>
                      <w:lang w:val="en-US" w:eastAsia="zh-CN" w:bidi="ar"/>
                    </w:rPr>
                    <w:t>1380</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电场强度50m处</w:t>
                  </w:r>
                  <w:r>
                    <w:rPr>
                      <w:rFonts w:hint="default" w:ascii="Times New Roman" w:hAnsi="Times New Roman" w:eastAsia="宋体" w:cs="Times New Roman"/>
                      <w:snapToGrid w:val="0"/>
                      <w:color w:val="000000"/>
                      <w:kern w:val="0"/>
                      <w:sz w:val="24"/>
                      <w:szCs w:val="24"/>
                      <w:lang w:val="en-US" w:eastAsia="zh-CN" w:bidi="ar"/>
                    </w:rPr>
                    <w:t>监测值为</w:t>
                  </w:r>
                  <w:r>
                    <w:rPr>
                      <w:rFonts w:hint="eastAsia" w:ascii="Times New Roman" w:hAnsi="Times New Roman" w:eastAsia="宋体" w:cs="Times New Roman"/>
                      <w:sz w:val="24"/>
                      <w:szCs w:val="24"/>
                      <w:vertAlign w:val="baseline"/>
                      <w:lang w:val="en-US" w:eastAsia="zh-CN"/>
                    </w:rPr>
                    <w:t>7.09</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，磁感应强度50</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监测值为0.0</w:t>
                  </w:r>
                  <w:r>
                    <w:rPr>
                      <w:rFonts w:hint="eastAsia" w:ascii="Times New Roman" w:hAnsi="Times New Roman" w:eastAsia="宋体" w:cs="Times New Roman"/>
                      <w:snapToGrid w:val="0"/>
                      <w:color w:val="000000"/>
                      <w:kern w:val="0"/>
                      <w:sz w:val="24"/>
                      <w:szCs w:val="24"/>
                      <w:lang w:val="en-US" w:eastAsia="zh-CN" w:bidi="ar"/>
                    </w:rPr>
                    <w:t>919</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auto"/>
                      <w:kern w:val="0"/>
                      <w:sz w:val="24"/>
                      <w:szCs w:val="24"/>
                      <w:highlight w:val="none"/>
                      <w:lang w:eastAsia="zh-CN"/>
                    </w:rPr>
                    <w:t>本项目营运期</w:t>
                  </w:r>
                  <w:r>
                    <w:rPr>
                      <w:rFonts w:hint="default" w:ascii="Times New Roman" w:hAnsi="Times New Roman" w:eastAsia="宋体" w:cs="Times New Roman"/>
                      <w:sz w:val="24"/>
                      <w:szCs w:val="24"/>
                    </w:rPr>
                    <w:t>工频电场、工频磁场</w:t>
                  </w:r>
                  <w:r>
                    <w:rPr>
                      <w:rFonts w:hint="default" w:ascii="Times New Roman" w:hAnsi="Times New Roman" w:eastAsia="宋体" w:cs="Times New Roman"/>
                      <w:snapToGrid w:val="0"/>
                      <w:color w:val="000000"/>
                      <w:kern w:val="0"/>
                      <w:sz w:val="24"/>
                      <w:szCs w:val="24"/>
                      <w:lang w:val="en-US" w:eastAsia="zh-CN" w:bidi="ar"/>
                    </w:rPr>
                    <w:t>均满足</w:t>
                  </w:r>
                  <w:r>
                    <w:rPr>
                      <w:rFonts w:hint="default" w:ascii="Times New Roman" w:hAnsi="Times New Roman" w:eastAsia="宋体" w:cs="Times New Roman"/>
                      <w:sz w:val="24"/>
                      <w:szCs w:val="24"/>
                    </w:rPr>
                    <w:t>《电磁环境控制限值》(GB 8702-2014)中的(电场强度≤4000V/m；磁感应强度≤100μT)公众曝露控制限值</w:t>
                  </w:r>
                  <w:r>
                    <w:rPr>
                      <w:rFonts w:hint="default" w:ascii="Times New Roman" w:hAnsi="Times New Roman" w:eastAsia="宋体" w:cs="Times New Roman"/>
                      <w:snapToGrid w:val="0"/>
                      <w:color w:val="000000"/>
                      <w:kern w:val="0"/>
                      <w:sz w:val="24"/>
                      <w:szCs w:val="24"/>
                      <w:lang w:val="en-US" w:eastAsia="zh-CN" w:bidi="ar"/>
                    </w:rPr>
                    <w:t>要求。</w:t>
                  </w:r>
                </w:p>
                <w:p>
                  <w:pPr>
                    <w:pStyle w:val="2"/>
                    <w:keepNext w:val="0"/>
                    <w:keepLines w:val="0"/>
                    <w:widowControl w:val="0"/>
                    <w:suppressLineNumbers w:val="0"/>
                    <w:spacing w:before="0" w:beforeAutospacing="0" w:after="0" w:afterAutospacing="0"/>
                    <w:ind w:left="0" w:right="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spacing w:line="371" w:lineRule="auto"/>
              <w:ind w:left="118" w:right="368" w:firstLine="492"/>
              <w:rPr>
                <w:rFonts w:hint="default" w:ascii="Times New Roman" w:hAnsi="Times New Roman" w:eastAsia="宋体" w:cs="Times New Roman"/>
                <w:sz w:val="24"/>
                <w:szCs w:val="24"/>
              </w:rPr>
            </w:pPr>
          </w:p>
        </w:tc>
      </w:tr>
    </w:tbl>
    <w:p>
      <w:pPr>
        <w:pStyle w:val="3"/>
        <w:bidi w:val="0"/>
        <w:rPr>
          <w:rFonts w:hint="default" w:ascii="Times New Roman" w:hAnsi="Times New Roman" w:cs="Times New Roman"/>
          <w:sz w:val="32"/>
          <w:szCs w:val="52"/>
        </w:rPr>
        <w:sectPr>
          <w:footerReference r:id="rId16"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bookmarkStart w:id="9" w:name="_Toc14210"/>
    </w:p>
    <w:p>
      <w:pPr>
        <w:pStyle w:val="3"/>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9"/>
    </w:p>
    <w:tbl>
      <w:tblPr>
        <w:tblStyle w:val="19"/>
        <w:tblW w:w="9009"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450" w:hRule="atLeast"/>
          <w:jc w:val="center"/>
        </w:trPr>
        <w:tc>
          <w:tcPr>
            <w:tcW w:w="9009"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施工期</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504"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对工程运营期环境保护工作十分重视，设立专门的环境管理机构，负责组织、落实、监督本项目的环境保护工作，配备了专职环境保护管理人员，并根据国家环保政策、标准及环境监测要求，制定该项目营运期环境管理规章制度、各种污染物排放指标。对管线进行定期维护和检修，确保其正常运行。</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明确分工，由</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负责总体工作，专职人员负责施工及运营过程中的环保检查工作，对施工单位提出了明确的施工过程环境保护要求，对施工场地进行不定期的检查，认真贯彻环保法规，确保了施工单位的文明施工，尽可能保护了项目区的土壤和植被，在施工期间合理安排施工计划和作业时间。</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施工期</w:t>
            </w:r>
            <w:r>
              <w:rPr>
                <w:rFonts w:hint="eastAsia" w:ascii="Times New Roman" w:hAnsi="Times New Roman" w:eastAsia="宋体" w:cs="Times New Roman"/>
                <w:sz w:val="24"/>
                <w:szCs w:val="24"/>
                <w:lang w:val="en-US" w:eastAsia="zh-CN"/>
              </w:rPr>
              <w:t>新疆润盛投资发展有限公司</w:t>
            </w:r>
            <w:r>
              <w:rPr>
                <w:rFonts w:hint="eastAsia" w:ascii="宋体" w:hAnsi="宋体" w:eastAsia="宋体" w:cs="宋体"/>
                <w:sz w:val="24"/>
                <w:szCs w:val="24"/>
                <w:lang w:val="en-US" w:eastAsia="zh-CN"/>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在项目运营过程中，应充分学习、吸收和借鉴同行的管理经验，结合自身营运过程，建立和制定一整套严格而操作性强的管理制度，环境管理全过程应涵盖如下内容：</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（1）制定定期检查、维护制度，并按照制度落实；</w:t>
            </w:r>
          </w:p>
          <w:p>
            <w:pPr>
              <w:pStyle w:val="2"/>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kern w:val="0"/>
                <w:sz w:val="24"/>
                <w:szCs w:val="20"/>
              </w:rPr>
              <w:t>（2）开展相关管理部门培训工作，提高业务能力和技术水平。</w:t>
            </w:r>
          </w:p>
        </w:tc>
      </w:tr>
    </w:tbl>
    <w:p>
      <w:pPr>
        <w:rPr>
          <w:rFonts w:hint="default" w:ascii="Times New Roman" w:hAnsi="Times New Roman" w:cs="Times New Roman"/>
          <w:sz w:val="21"/>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10" w:name="_Toc13206"/>
      <w:r>
        <w:rPr>
          <w:rFonts w:hint="default" w:ascii="Times New Roman" w:hAnsi="Times New Roman" w:cs="Times New Roman"/>
          <w:sz w:val="32"/>
          <w:szCs w:val="52"/>
        </w:rPr>
        <w:t>表十一 调查结论及建议</w:t>
      </w:r>
      <w:bookmarkEnd w:id="10"/>
    </w:p>
    <w:tbl>
      <w:tblPr>
        <w:tblStyle w:val="19"/>
        <w:tblW w:w="9024"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jc w:val="center"/>
        </w:trPr>
        <w:tc>
          <w:tcPr>
            <w:tcW w:w="9024" w:type="dxa"/>
            <w:vAlign w:val="top"/>
          </w:tcPr>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宋体" w:cs="Times New Roman"/>
                <w:sz w:val="28"/>
                <w:szCs w:val="28"/>
              </w:rPr>
            </w:pPr>
            <w:r>
              <w:rPr>
                <w:rFonts w:hint="default" w:ascii="Times New Roman" w:hAnsi="Times New Roman" w:eastAsia="Times New Roman" w:cs="Times New Roman"/>
                <w:b/>
                <w:bCs/>
                <w:spacing w:val="-2"/>
                <w:sz w:val="28"/>
                <w:szCs w:val="28"/>
              </w:rPr>
              <w:t>1</w:t>
            </w:r>
            <w:r>
              <w:rPr>
                <w:rFonts w:hint="default" w:ascii="Times New Roman" w:hAnsi="Times New Roman" w:eastAsia="Times New Roman" w:cs="Times New Roman"/>
                <w:b/>
                <w:bCs/>
                <w:spacing w:val="-1"/>
                <w:sz w:val="28"/>
                <w:szCs w:val="28"/>
              </w:rPr>
              <w:t>1.1</w:t>
            </w:r>
            <w:r>
              <w:rPr>
                <w:rFonts w:hint="default" w:ascii="Times New Roman" w:hAnsi="Times New Roman" w:eastAsia="宋体" w:cs="Times New Roman"/>
                <w:b/>
                <w:bCs/>
                <w:spacing w:val="-1"/>
                <w:sz w:val="28"/>
                <w:szCs w:val="28"/>
                <w:lang w:val="en-US" w:eastAsia="zh-CN"/>
              </w:rPr>
              <w:t xml:space="preserve"> </w:t>
            </w:r>
            <w:r>
              <w:rPr>
                <w:rFonts w:hint="default" w:ascii="Times New Roman" w:hAnsi="Times New Roman" w:eastAsia="宋体" w:cs="Times New Roman"/>
                <w:spacing w:val="-1"/>
                <w:sz w:val="28"/>
                <w:szCs w:val="28"/>
                <w14:textOutline w14:w="5094" w14:cap="flat" w14:cmpd="sng">
                  <w14:solidFill>
                    <w14:srgbClr w14:val="000000"/>
                  </w14:solidFill>
                  <w14:prstDash w14:val="solid"/>
                  <w14:miter w14:val="0"/>
                </w14:textOutline>
              </w:rPr>
              <w:t>调查结论及建议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color w:val="auto"/>
                <w:sz w:val="24"/>
                <w:szCs w:val="24"/>
                <w:lang w:val="en-US" w:eastAsia="zh-CN"/>
              </w:rPr>
              <w:t>本项目</w:t>
            </w:r>
            <w:r>
              <w:rPr>
                <w:rFonts w:hint="default" w:ascii="Times New Roman" w:hAnsi="Times New Roman" w:eastAsia="宋体" w:cs="Times New Roman"/>
                <w:snapToGrid w:val="0"/>
                <w:sz w:val="24"/>
                <w:szCs w:val="24"/>
              </w:rPr>
              <w:t>建设南环路、呼图壁街道路改造及附属配套工程以及北一区健康路、南区纵五路、奎东特色产业园瑞康路、东翔路道路</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建设北一区、南区配套供排水管线、供热工程(包含供热管网及换热站)</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建设北一区、奎东特色产业园绿化、亮化工程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怡沁里小区改造</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水厂、华盛热力双回路电源建设、中小企业创业园外网高压电建设等。</w:t>
            </w:r>
          </w:p>
          <w:p>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
                <w:sz w:val="24"/>
                <w:szCs w:val="24"/>
                <w:lang w:val="en-US" w:eastAsia="zh-CN"/>
              </w:rPr>
              <w:t>32123</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1096</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3.41%。</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pPr>
              <w:pStyle w:val="2"/>
              <w:widowControl w:val="0"/>
              <w:kinsoku/>
              <w:autoSpaceDE/>
              <w:autoSpaceDN/>
              <w:adjustRightInd/>
              <w:snapToGrid/>
              <w:spacing w:line="360" w:lineRule="auto"/>
              <w:ind w:firstLine="480" w:firstLineChars="200"/>
              <w:jc w:val="both"/>
              <w:textAlignment w:val="auto"/>
              <w:rPr>
                <w:rFonts w:hint="eastAsia" w:eastAsia="宋体" w:cs="Times New Roman"/>
                <w:snapToGrid/>
                <w:color w:val="auto"/>
                <w:kern w:val="2"/>
                <w:sz w:val="24"/>
                <w:szCs w:val="24"/>
                <w:lang w:val="en-US" w:eastAsia="zh-CN" w:bidi="ar-SA"/>
              </w:rPr>
            </w:pPr>
            <w:r>
              <w:rPr>
                <w:rFonts w:hint="eastAsia" w:eastAsia="宋体" w:cs="Times New Roman"/>
                <w:snapToGrid/>
                <w:color w:val="auto"/>
                <w:kern w:val="2"/>
                <w:sz w:val="24"/>
                <w:szCs w:val="24"/>
                <w:lang w:val="en-US" w:eastAsia="zh-CN" w:bidi="ar-SA"/>
              </w:rPr>
              <w:t>2.1施工期调查结论</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建设单位在施工期已按环评要求落实各项污染防治措施，验收现场调查时，施工沿线无弃土弃渣堆放，无环境遗留问题。施工结束后，临时占地已完成恢复。</w:t>
            </w:r>
          </w:p>
          <w:p>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lang w:val="en-US"/>
              </w:rPr>
            </w:pPr>
            <w:r>
              <w:rPr>
                <w:rFonts w:hint="default" w:ascii="Times New Roman" w:hAnsi="Times New Roman" w:eastAsia="宋体" w:cs="Times New Roman"/>
                <w:snapToGrid w:val="0"/>
                <w:color w:val="000000"/>
                <w:kern w:val="0"/>
                <w:sz w:val="24"/>
                <w:szCs w:val="24"/>
                <w:lang w:val="en-US" w:eastAsia="zh-CN" w:bidi="ar"/>
              </w:rPr>
              <w:t>2.2运营期</w:t>
            </w:r>
            <w:r>
              <w:rPr>
                <w:rFonts w:hint="eastAsia" w:ascii="宋体" w:hAnsi="宋体" w:eastAsia="宋体" w:cs="宋体"/>
                <w:snapToGrid w:val="0"/>
                <w:color w:val="000000"/>
                <w:kern w:val="0"/>
                <w:sz w:val="24"/>
                <w:szCs w:val="24"/>
                <w:lang w:val="en-US" w:eastAsia="zh-CN" w:bidi="ar"/>
              </w:rPr>
              <w:t>调查结论</w:t>
            </w:r>
          </w:p>
          <w:p>
            <w:pPr>
              <w:pStyle w:val="2"/>
              <w:widowControl w:val="0"/>
              <w:numPr>
                <w:ilvl w:val="0"/>
                <w:numId w:val="5"/>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水环境影响调查结论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本项目中道路工程项目运营后水污染源主要来为降雨冲刷路面产生的路面径流污水，污水量影响因素包括降雨强度、降雨历时、降雨频率、车流量、路面宽度和产污路段长度等，主要污染物为</w:t>
            </w:r>
            <w:r>
              <w:rPr>
                <w:rFonts w:hint="eastAsia" w:ascii="Times New Roman" w:hAnsi="Times New Roman" w:eastAsia="宋体" w:cs="Times New Roman"/>
                <w:snapToGrid w:val="0"/>
                <w:color w:val="000000"/>
                <w:kern w:val="0"/>
                <w:sz w:val="24"/>
                <w:szCs w:val="24"/>
                <w:lang w:val="en-US" w:eastAsia="zh-CN" w:bidi="ar"/>
              </w:rPr>
              <w:t>石油类、有机物和</w:t>
            </w:r>
            <w:r>
              <w:rPr>
                <w:rFonts w:hint="default" w:ascii="Times New Roman" w:hAnsi="Times New Roman" w:eastAsia="宋体" w:cs="Times New Roman"/>
                <w:snapToGrid w:val="0"/>
                <w:color w:val="000000"/>
                <w:kern w:val="0"/>
                <w:sz w:val="24"/>
                <w:szCs w:val="24"/>
                <w:lang w:val="en-US" w:eastAsia="zh-CN" w:bidi="ar"/>
              </w:rPr>
              <w:t>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项目设计文件，道路在不利于排水处设置开口型路缘石，将路面积水引至绿化带排出，从而使排水迅速畅通。本项目所在区域全年降水量较少，涉及道路沿线无地表水体，雨水汇集至低洼处，排入绿化带由植被吸收自然降解，对项目区水环境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环境空气影响调查结论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运营期影响周围环境空气的主要因素为过往车辆产生的汽车尾气，主要空气污染物</w:t>
            </w:r>
            <w:r>
              <w:rPr>
                <w:rFonts w:hint="default" w:ascii="Times New Roman" w:hAnsi="Times New Roman" w:eastAsia="宋体" w:cs="Times New Roman"/>
                <w:snapToGrid w:val="0"/>
                <w:color w:val="000000"/>
                <w:kern w:val="0"/>
                <w:sz w:val="24"/>
                <w:szCs w:val="24"/>
                <w:lang w:val="en-US" w:eastAsia="zh-CN" w:bidi="ar"/>
              </w:rPr>
              <w:t>为CO、NOx。</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eastAsia"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声环境影响调查结论</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项目运营后噪声源主要为路面行驶的车辆由于气流湍动、路面平整度、发动机运转、排气系统、轮胎与路面磨擦等将产生交通噪声，噪声强度与单车源强、车流量、车型比及车速等多种因素有关。</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val="0"/>
                <w:color w:val="000000"/>
                <w:kern w:val="0"/>
                <w:sz w:val="24"/>
                <w:szCs w:val="24"/>
                <w:lang w:val="en-US" w:eastAsia="zh-CN" w:bidi="ar"/>
              </w:rPr>
              <w:t>根据预测结果可知，在不考虑建筑物对噪声屏蔽、绿化带隔声作用条件下，拟建道路建成运营远期昼间，道路红线两侧10m外昼间和夜间声环境均能够达到《声环境质量标准》(GB3096-2008)4a类标准(即昼间≤70dB(A)、夜间≤55dB(A))。运营期道路噪声对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固体废物影响调查结论</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right="0" w:rightChars="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eastAsia" w:ascii="Times New Roman" w:hAnsi="Times New Roman" w:eastAsia="宋体" w:cs="Times New Roman"/>
                <w:b w:val="0"/>
                <w:bCs w:val="0"/>
                <w:snapToGrid w:val="0"/>
                <w:color w:val="000000"/>
                <w:spacing w:val="4"/>
                <w:kern w:val="0"/>
                <w:sz w:val="24"/>
                <w:szCs w:val="24"/>
                <w:lang w:val="en-US" w:eastAsia="zh-CN"/>
              </w:rPr>
              <w:t>（5）电磁辐射</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napToGrid w:val="0"/>
                <w:color w:val="000000"/>
                <w:spacing w:val="4"/>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本项目电力架设电线会产生的一定的电磁辐射，但本项目最大电压为110kV且项目区距离集中居民住宅区较远，不会对居民身体健康产生危害。110kV输电线路采用高压架空线路，最终的接入系统方案以审查后的接入设计为准，线路尽量与道路平行，导线产生的电磁辐射影响较小，在正常情况下对地面人员的活动无不良影响，影响甚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11.2 总结论</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w:t>
            </w:r>
            <w:r>
              <w:rPr>
                <w:rFonts w:hint="eastAsia" w:eastAsia="宋体" w:cs="Times New Roman"/>
                <w:snapToGrid/>
                <w:color w:val="auto"/>
                <w:kern w:val="2"/>
                <w:sz w:val="24"/>
                <w:szCs w:val="24"/>
                <w:lang w:val="en-US" w:eastAsia="zh-CN" w:bidi="ar-SA"/>
              </w:rPr>
              <w:t>本项目为生态类项目，建设单位</w:t>
            </w:r>
            <w:r>
              <w:rPr>
                <w:rFonts w:hint="default" w:ascii="Times New Roman" w:hAnsi="Times New Roman" w:eastAsia="宋体" w:cs="Times New Roman"/>
                <w:snapToGrid/>
                <w:color w:val="auto"/>
                <w:kern w:val="2"/>
                <w:sz w:val="24"/>
                <w:szCs w:val="24"/>
                <w:lang w:val="en-US" w:eastAsia="zh-CN" w:bidi="ar-SA"/>
              </w:rPr>
              <w:t>按环境影响报告表及其审批部门审批决定要来建成环境保护设施</w:t>
            </w:r>
            <w:r>
              <w:rPr>
                <w:rFonts w:hint="eastAsia"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根据《建设项目竣工环境保护验收暂行办法》，</w:t>
            </w:r>
            <w:r>
              <w:rPr>
                <w:rFonts w:hint="eastAsia" w:eastAsia="宋体" w:cs="Times New Roman"/>
                <w:snapToGrid/>
                <w:color w:val="auto"/>
                <w:kern w:val="2"/>
                <w:sz w:val="24"/>
                <w:szCs w:val="24"/>
                <w:lang w:val="en-US" w:eastAsia="zh-CN" w:bidi="ar-SA"/>
              </w:rPr>
              <w:t>新疆润盛投资发展有限公司奎屯-独山子经济技术开发区2015年基础设施建设项目</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pPr>
              <w:pStyle w:val="2"/>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lang w:val="en-US" w:eastAsia="zh-CN" w:bidi="ar-SA"/>
              </w:rPr>
            </w:pPr>
            <w:r>
              <w:rPr>
                <w:rFonts w:hint="eastAsia" w:ascii="宋体" w:hAnsi="宋体" w:eastAsia="宋体" w:cs="宋体"/>
                <w:snapToGrid/>
                <w:color w:val="auto"/>
                <w:kern w:val="2"/>
                <w:sz w:val="24"/>
                <w:szCs w:val="24"/>
                <w:lang w:val="en-US" w:eastAsia="zh-CN" w:bidi="ar-SA"/>
              </w:rPr>
              <w:t>项目工程在建设过程中，建设单位应严格按环境影响评价报告及批复要求进行工程设计和施工，应全面执行建设项目环境保护“三同时”制度。新疆润盛投资发展有限公司奎屯-独山子经济技术开发区2015年基础设施建设项目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 xml:space="preserve">11.3 </w:t>
            </w:r>
            <w:r>
              <w:rPr>
                <w:rFonts w:hint="eastAsia" w:ascii="Times New Roman" w:hAnsi="Times New Roman" w:eastAsia="宋体" w:cs="Times New Roman"/>
                <w:b/>
                <w:bCs/>
                <w:spacing w:val="-2"/>
                <w:sz w:val="28"/>
                <w:szCs w:val="28"/>
                <w:lang w:val="en-US" w:eastAsia="zh-CN"/>
              </w:rPr>
              <w:t>要求、</w:t>
            </w:r>
            <w:r>
              <w:rPr>
                <w:rFonts w:hint="default" w:ascii="Times New Roman" w:hAnsi="Times New Roman" w:eastAsia="Times New Roman" w:cs="Times New Roman"/>
                <w:b/>
                <w:bCs/>
                <w:spacing w:val="-2"/>
                <w:sz w:val="28"/>
                <w:szCs w:val="28"/>
              </w:rPr>
              <w:t>建议</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 xml:space="preserve">(1)运营过程中建设单位应严格执行环评报告提出的各项污染控制措施 </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(2)本次环评要求建设单位完善道路工程的人行道和绿化带，以便道路两侧形成绿色屏障，可有效减少道路扬尘等大气污染、降低噪声。</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(3)加强各管线的维护、检修，做到随坏随修，保证其能够正常稳定的运行。</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(4)对生活垃圾进行分类收集，有回收利用价值的全部回收利用，无利用价值的全部集中收集，委托环卫部门统一清运，做到日产日清。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(5)严格按照本报告中论述的治理措施进行实施，项目竣工后经环保主管部门验收合格后方可投入运行。</w:t>
            </w:r>
          </w:p>
        </w:tc>
      </w:tr>
    </w:tbl>
    <w:p>
      <w:pPr>
        <w:pStyle w:val="7"/>
        <w:ind w:left="0" w:leftChars="0" w:firstLine="0" w:firstLineChars="0"/>
      </w:pPr>
    </w:p>
    <w:sectPr>
      <w:footerReference r:id="rId17" w:type="default"/>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0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77"/>
      <w:rPr>
        <w:rFonts w:ascii="宋体" w:hAnsi="宋体" w:eastAsia="宋体" w:cs="宋体"/>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posOffset>2789555</wp:posOffset>
              </wp:positionH>
              <wp:positionV relativeFrom="paragraph">
                <wp:posOffset>-142875</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9.65pt;margin-top:-11.25pt;height:144pt;width:144pt;mso-position-horizontal-relative:margin;mso-wrap-style:none;z-index:251666432;mso-width-relative:page;mso-height-relative:page;" filled="f" stroked="f" coordsize="21600,21600" o:gfxdata="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vXvQh2QAAAAsBAAAPAAAAAAAAAAEAIAAAACIAAABkcnMvZG93bnJldi54&#10;bWxQSwECFAAUAAAACACHTuJA1HeY5jICAABjBAAADgAAAAAAAAABACAAAAAoAQAAZHJzL2Uyb0Rv&#10;Yy54bWxQSwUGAAAAAAYABgBZAQAAzA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7"/>
      <w:rPr>
        <w:rFonts w:hint="default" w:ascii="宋体" w:hAnsi="宋体" w:eastAsia="宋体" w:cs="宋体"/>
        <w:sz w:val="18"/>
        <w:szCs w:val="18"/>
        <w:lang w:val="en-US"/>
      </w:rPr>
    </w:pPr>
    <w:r>
      <w:rPr>
        <w:sz w:val="18"/>
      </w:rPr>
      <mc:AlternateContent>
        <mc:Choice Requires="wps">
          <w:drawing>
            <wp:anchor distT="0" distB="0" distL="114300" distR="114300" simplePos="0" relativeHeight="251667456" behindDoc="0" locked="0" layoutInCell="1" allowOverlap="1">
              <wp:simplePos x="0" y="0"/>
              <wp:positionH relativeFrom="margin">
                <wp:posOffset>2795905</wp:posOffset>
              </wp:positionH>
              <wp:positionV relativeFrom="paragraph">
                <wp:posOffset>-47625</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76</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15pt;margin-top:-3.75pt;height:144pt;width:144pt;mso-position-horizontal-relative:margin;mso-wrap-style:none;z-index:251667456;mso-width-relative:page;mso-height-relative:page;" filled="f" stroked="f" coordsize="21600,21600" o:gfxdata="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J2RHPYAAAACgEAAA8AAAAAAAAAAQAgAAAAIgAAAGRycy9kb3ducmV2Lnht&#10;bFBLAQIUABQAAAAIAIdO4kCW3w8JMgIAAGMEAAAOAAAAAAAAAAEAIAAAACcBAABkcnMvZTJvRG9j&#10;LnhtbFBLBQYAAAAABgAGAFkBAADLBQ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76</w:t>
                    </w:r>
                    <w:r>
                      <w:rPr>
                        <w:rFonts w:hint="default" w:ascii="Times New Roman" w:hAnsi="Times New Roman" w:cs="Times New Roman"/>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8480" behindDoc="0" locked="0" layoutInCell="1" allowOverlap="1">
              <wp:simplePos x="0" y="0"/>
              <wp:positionH relativeFrom="margin">
                <wp:posOffset>2827655</wp:posOffset>
              </wp:positionH>
              <wp:positionV relativeFrom="paragraph">
                <wp:posOffset>-219075</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2.65pt;margin-top:-17.25pt;height:144pt;width:144pt;mso-position-horizontal-relative:margin;mso-wrap-style:none;z-index:251668480;mso-width-relative:page;mso-height-relative:page;" filled="f" stroked="f" coordsize="21600,21600" o:gfxdata="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wxNFPYAAAACwEAAA8AAAAAAAAAAQAgAAAAIgAAAGRycy9kb3ducmV2Lnht&#10;bFBLAQIUABQAAAAIAIdO4kARIcbiMgIAAGMEAAAOAAAAAAAAAAEAIAAAACcBAABkcnMvZTJvRG9j&#10;LnhtbFBLBQYAAAAABgAGAFkBAADLBQ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9504" behindDoc="0" locked="0" layoutInCell="1" allowOverlap="1">
              <wp:simplePos x="0" y="0"/>
              <wp:positionH relativeFrom="margin">
                <wp:posOffset>2849880</wp:posOffset>
              </wp:positionH>
              <wp:positionV relativeFrom="paragraph">
                <wp:posOffset>-285750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4.4pt;margin-top:-22.5pt;height:144pt;width:144pt;mso-position-horizontal-relative:margin;mso-wrap-style:none;z-index:251669504;mso-width-relative:page;mso-height-relative:page;" filled="f" stroked="f" coordsize="21600,21600" o:gfxdata="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76Ku62AAAAAsBAAAPAAAAAAAAAAEAIAAAACIAAABkcnMvZG93bnJldi54&#10;bWxQSwECFAAUAAAACACHTuJAU4lRDTMCAABjBAAADgAAAAAAAAABACAAAAAnAQAAZHJzL2Uyb0Rv&#10;Yy54bWxQSwUGAAAAAAYABgBZAQAAzA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posOffset>2764155</wp:posOffset>
              </wp:positionH>
              <wp:positionV relativeFrom="paragraph">
                <wp:posOffset>-9525</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7.65pt;margin-top:-0.75pt;height:144pt;width:144pt;mso-position-horizontal-relative:margin;mso-wrap-style:none;z-index:251659264;mso-width-relative:page;mso-height-relative:page;" filled="f" stroked="f" coordsize="21600,21600" o:gfxdata="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4Dj+dgAAAAKAQAADwAAAAAAAAABACAAAAAiAAAAZHJzL2Rvd25yZXYueG1s&#10;UEsBAhQAFAAAAAgAh07iQMeXtc4xAgAAYQQAAA4AAAAAAAAAAQAgAAAAJwEAAGRycy9lMm9Eb2Mu&#10;eG1sUEsFBgAAAAAGAAYAWQEAAMoFA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posOffset>2840355</wp:posOffset>
              </wp:positionH>
              <wp:positionV relativeFrom="paragraph">
                <wp:posOffset>-57150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3.65pt;margin-top:-4.5pt;height:144pt;width:144pt;mso-position-horizontal-relative:margin;mso-wrap-style:none;z-index:251660288;mso-width-relative:page;mso-height-relative:page;" filled="f" stroked="f" coordsize="21600,21600" o:gfxdata="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Ne6051gAAAAoBAAAPAAAAAAAAAAEAIAAAACIAAABkcnMvZG93bnJldi54bWxQ&#10;SwECFAAUAAAACACHTuJAApUg9DICAABhBAAADgAAAAAAAAABACAAAAAlAQAAZHJzL2Uyb0RvYy54&#10;bWxQSwUGAAAAAAYABgBZAQAAyQ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posOffset>2824480</wp:posOffset>
              </wp:positionH>
              <wp:positionV relativeFrom="paragraph">
                <wp:posOffset>-85725</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2.4pt;margin-top:-6.75pt;height:144pt;width:144pt;mso-position-horizontal-relative:margin;mso-wrap-style:none;z-index:251661312;mso-width-relative:page;mso-height-relative:page;" filled="f" stroked="f" coordsize="21600,21600" o:gfxdata="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09BRDZAAAACwEAAA8AAAAAAAAAAQAgAAAAIgAAAGRycy9kb3ducmV2Lnht&#10;bFBLAQIUABQAAAAIAIdO4kDrADh6MQIAAGMEAAAOAAAAAAAAAAEAIAAAACgBAABkcnMvZTJvRG9j&#10;LnhtbFBLBQYAAAAABgAGAFkBAADLBQ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hint="default" w:ascii="宋体" w:hAnsi="宋体" w:eastAsia="宋体" w:cs="宋体"/>
        <w:sz w:val="18"/>
        <w:szCs w:val="18"/>
        <w:lang w:val="en-US" w:eastAsia="zh-CN"/>
      </w:rPr>
    </w:pPr>
    <w:r>
      <w:rPr>
        <w:sz w:val="18"/>
      </w:rPr>
      <mc:AlternateContent>
        <mc:Choice Requires="wps">
          <w:drawing>
            <wp:anchor distT="0" distB="0" distL="114300" distR="114300" simplePos="0" relativeHeight="251662336" behindDoc="0" locked="0" layoutInCell="1" allowOverlap="1">
              <wp:simplePos x="0" y="0"/>
              <wp:positionH relativeFrom="margin">
                <wp:posOffset>2789555</wp:posOffset>
              </wp:positionH>
              <wp:positionV relativeFrom="paragraph">
                <wp:posOffset>-66675</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keepNext w:val="0"/>
                            <w:keepLines w:val="0"/>
                            <w:pageBreakBefore w:val="0"/>
                            <w:widowControl/>
                            <w:kinsoku/>
                            <w:wordWrap/>
                            <w:overflowPunct/>
                            <w:topLinePunct w:val="0"/>
                            <w:autoSpaceDE/>
                            <w:autoSpaceDN/>
                            <w:bidi w:val="0"/>
                            <w:adjustRightInd w:val="0"/>
                            <w:snapToGrid w:val="0"/>
                            <w:textAlignment w:val="baseline"/>
                            <w:rPr>
                              <w:rFonts w:hint="default" w:ascii="Times New Roman" w:hAnsi="Times New Roman" w:eastAsia="Yu Gothic UI" w:cs="Times New Roman"/>
                            </w:rPr>
                          </w:pPr>
                          <w:r>
                            <w:rPr>
                              <w:rFonts w:hint="default" w:ascii="Times New Roman" w:hAnsi="Times New Roman" w:eastAsia="Yu Gothic UI" w:cs="Times New Roman"/>
                            </w:rPr>
                            <w:fldChar w:fldCharType="begin"/>
                          </w:r>
                          <w:r>
                            <w:rPr>
                              <w:rFonts w:hint="default" w:ascii="Times New Roman" w:hAnsi="Times New Roman" w:eastAsia="Yu Gothic UI" w:cs="Times New Roman"/>
                            </w:rPr>
                            <w:instrText xml:space="preserve"> PAGE  \* MERGEFORMAT </w:instrText>
                          </w:r>
                          <w:r>
                            <w:rPr>
                              <w:rFonts w:hint="default" w:ascii="Times New Roman" w:hAnsi="Times New Roman" w:eastAsia="Yu Gothic UI" w:cs="Times New Roman"/>
                            </w:rPr>
                            <w:fldChar w:fldCharType="separate"/>
                          </w:r>
                          <w:r>
                            <w:rPr>
                              <w:rFonts w:hint="default" w:ascii="Times New Roman" w:hAnsi="Times New Roman" w:eastAsia="Yu Gothic UI" w:cs="Times New Roman"/>
                            </w:rPr>
                            <w:t>19</w:t>
                          </w:r>
                          <w:r>
                            <w:rPr>
                              <w:rFonts w:hint="default" w:ascii="Times New Roman" w:hAnsi="Times New Roman" w:eastAsia="Yu Gothic UI"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9.65pt;margin-top:-5.25pt;height:144pt;width:144pt;mso-position-horizontal-relative:margin;mso-wrap-style:none;z-index:251662336;mso-width-relative:page;mso-height-relative:page;" filled="f" stroked="f" coordsize="21600,21600" o:gfxdata="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DShtn2QAAAAsBAAAPAAAAAAAAAAEAIAAAACIAAABkcnMvZG93bnJldi54&#10;bWxQSwECFAAUAAAACACHTuJA5lNNmTICAABjBAAADgAAAAAAAAABACAAAAAoAQAAZHJzL2Uyb0Rv&#10;Yy54bWxQSwUGAAAAAAYABgBZAQAAzAUAAAAA&#10;">
              <v:fill on="f" focussize="0,0"/>
              <v:stroke on="f" weight="0.5pt"/>
              <v:imagedata o:title=""/>
              <o:lock v:ext="edit" aspectratio="f"/>
              <v:textbox inset="0mm,0mm,0mm,0mm" style="mso-fit-shape-to-text:t;">
                <w:txbxContent>
                  <w:p>
                    <w:pPr>
                      <w:pStyle w:val="8"/>
                      <w:keepNext w:val="0"/>
                      <w:keepLines w:val="0"/>
                      <w:pageBreakBefore w:val="0"/>
                      <w:widowControl/>
                      <w:kinsoku/>
                      <w:wordWrap/>
                      <w:overflowPunct/>
                      <w:topLinePunct w:val="0"/>
                      <w:autoSpaceDE/>
                      <w:autoSpaceDN/>
                      <w:bidi w:val="0"/>
                      <w:adjustRightInd w:val="0"/>
                      <w:snapToGrid w:val="0"/>
                      <w:textAlignment w:val="baseline"/>
                      <w:rPr>
                        <w:rFonts w:hint="default" w:ascii="Times New Roman" w:hAnsi="Times New Roman" w:eastAsia="Yu Gothic UI" w:cs="Times New Roman"/>
                      </w:rPr>
                    </w:pPr>
                    <w:r>
                      <w:rPr>
                        <w:rFonts w:hint="default" w:ascii="Times New Roman" w:hAnsi="Times New Roman" w:eastAsia="Yu Gothic UI" w:cs="Times New Roman"/>
                      </w:rPr>
                      <w:fldChar w:fldCharType="begin"/>
                    </w:r>
                    <w:r>
                      <w:rPr>
                        <w:rFonts w:hint="default" w:ascii="Times New Roman" w:hAnsi="Times New Roman" w:eastAsia="Yu Gothic UI" w:cs="Times New Roman"/>
                      </w:rPr>
                      <w:instrText xml:space="preserve"> PAGE  \* MERGEFORMAT </w:instrText>
                    </w:r>
                    <w:r>
                      <w:rPr>
                        <w:rFonts w:hint="default" w:ascii="Times New Roman" w:hAnsi="Times New Roman" w:eastAsia="Yu Gothic UI" w:cs="Times New Roman"/>
                      </w:rPr>
                      <w:fldChar w:fldCharType="separate"/>
                    </w:r>
                    <w:r>
                      <w:rPr>
                        <w:rFonts w:hint="default" w:ascii="Times New Roman" w:hAnsi="Times New Roman" w:eastAsia="Yu Gothic UI" w:cs="Times New Roman"/>
                      </w:rPr>
                      <w:t>19</w:t>
                    </w:r>
                    <w:r>
                      <w:rPr>
                        <w:rFonts w:hint="default" w:ascii="Times New Roman" w:hAnsi="Times New Roman" w:eastAsia="Yu Gothic UI" w:cs="Times New Roma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posOffset>2799080</wp:posOffset>
              </wp:positionH>
              <wp:positionV relativeFrom="paragraph">
                <wp:posOffset>-95250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26</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7.5pt;height:144pt;width:144pt;mso-position-horizontal-relative:margin;mso-wrap-style:none;z-index:251663360;mso-width-relative:page;mso-height-relative:page;" filled="f" stroked="f" coordsize="21600,21600" o:gfxdata="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3onpDYAAAACwEAAA8AAAAAAAAAAQAgAAAAIgAAAGRycy9kb3ducmV2Lnht&#10;bFBLAQIUABQAAAAIAIdO4kCk+9p2MgIAAGMEAAAOAAAAAAAAAAEAIAAAACcBAABkcnMvZTJvRG9j&#10;LnhtbFBLBQYAAAAABgAGAFkBAADLBQ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26</w:t>
                    </w:r>
                    <w:r>
                      <w:rPr>
                        <w:rFonts w:hint="default" w:ascii="Times New Roman" w:hAnsi="Times New Roman" w:cs="Times New Roman"/>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posOffset>2799080</wp:posOffset>
              </wp:positionH>
              <wp:positionV relativeFrom="paragraph">
                <wp:posOffset>-66675</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5.25pt;height:144pt;width:144pt;mso-position-horizontal-relative:margin;mso-wrap-style:none;z-index:251664384;mso-width-relative:page;mso-height-relative:page;" filled="f" stroked="f" coordsize="21600,21600" o:gfxdata="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fPYtjZAAAACwEAAA8AAAAAAAAAAQAgAAAAIgAAAGRycy9kb3ducmV2Lnht&#10;bFBLAQIUABQAAAAIAIdO4kC989aEMQIAAGMEAAAOAAAAAAAAAAEAIAAAACgBAABkcnMvZTJvRG9j&#10;LnhtbFBLBQYAAAAABgAGAFkBAADL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30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ind w:left="4187"/>
      <w:rPr>
        <w:rFonts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posOffset>2808605</wp:posOffset>
              </wp:positionH>
              <wp:positionV relativeFrom="paragraph">
                <wp:posOffset>-85725</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32</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1.15pt;margin-top:-6.75pt;height:144pt;width:144pt;mso-position-horizontal-relative:margin;mso-wrap-style:none;z-index:251665408;mso-width-relative:page;mso-height-relative:page;" filled="f" stroked="f" coordsize="21600,21600" o:gfxdata="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KIei92QAAAAsBAAAPAAAAAAAAAAEAIAAAACIAAABkcnMvZG93bnJldi54&#10;bWxQSwECFAAUAAAACACHTuJA/1tBazICAABjBAAADgAAAAAAAAABACAAAAAoAQAAZHJzL2Uyb0Rv&#10;Yy54bWxQSwUGAAAAAAYABgBZAQAAzA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32</w:t>
                    </w:r>
                    <w:r>
                      <w:rPr>
                        <w:rFonts w:hint="default" w:ascii="Times New Roman" w:hAnsi="Times New Roman" w:cs="Times New Roma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DA3B1"/>
    <w:multiLevelType w:val="singleLevel"/>
    <w:tmpl w:val="8AFDA3B1"/>
    <w:lvl w:ilvl="0" w:tentative="0">
      <w:start w:val="1"/>
      <w:numFmt w:val="decimal"/>
      <w:suff w:val="nothing"/>
      <w:lvlText w:val="（%1）"/>
      <w:lvlJc w:val="left"/>
    </w:lvl>
  </w:abstractNum>
  <w:abstractNum w:abstractNumId="1">
    <w:nsid w:val="AA9515B5"/>
    <w:multiLevelType w:val="singleLevel"/>
    <w:tmpl w:val="AA9515B5"/>
    <w:lvl w:ilvl="0" w:tentative="0">
      <w:start w:val="2"/>
      <w:numFmt w:val="decimal"/>
      <w:suff w:val="nothing"/>
      <w:lvlText w:val="%1）"/>
      <w:lvlJc w:val="left"/>
    </w:lvl>
  </w:abstractNum>
  <w:abstractNum w:abstractNumId="2">
    <w:nsid w:val="D02B56EF"/>
    <w:multiLevelType w:val="singleLevel"/>
    <w:tmpl w:val="D02B56EF"/>
    <w:lvl w:ilvl="0" w:tentative="0">
      <w:start w:val="2"/>
      <w:numFmt w:val="decimal"/>
      <w:suff w:val="nothing"/>
      <w:lvlText w:val="（%1）"/>
      <w:lvlJc w:val="left"/>
    </w:lvl>
  </w:abstractNum>
  <w:abstractNum w:abstractNumId="3">
    <w:nsid w:val="DE09DB63"/>
    <w:multiLevelType w:val="singleLevel"/>
    <w:tmpl w:val="DE09DB63"/>
    <w:lvl w:ilvl="0" w:tentative="0">
      <w:start w:val="1"/>
      <w:numFmt w:val="decimal"/>
      <w:suff w:val="nothing"/>
      <w:lvlText w:val="%1、"/>
      <w:lvlJc w:val="left"/>
    </w:lvl>
  </w:abstractNum>
  <w:abstractNum w:abstractNumId="4">
    <w:nsid w:val="E1FF77FA"/>
    <w:multiLevelType w:val="singleLevel"/>
    <w:tmpl w:val="E1FF77FA"/>
    <w:lvl w:ilvl="0" w:tentative="0">
      <w:start w:val="3"/>
      <w:numFmt w:val="decimal"/>
      <w:suff w:val="nothing"/>
      <w:lvlText w:val="%1）"/>
      <w:lvlJc w:val="left"/>
    </w:lvl>
  </w:abstractNum>
  <w:num w:numId="1">
    <w:abstractNumId w:val="3"/>
  </w:num>
  <w:num w:numId="2">
    <w:abstractNumId w:val="2"/>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03215AE"/>
    <w:rsid w:val="014D1461"/>
    <w:rsid w:val="018362EB"/>
    <w:rsid w:val="027A3CB3"/>
    <w:rsid w:val="02BC1AB4"/>
    <w:rsid w:val="02DA1F3A"/>
    <w:rsid w:val="02E132C9"/>
    <w:rsid w:val="03433F84"/>
    <w:rsid w:val="03E219EE"/>
    <w:rsid w:val="045F6B9B"/>
    <w:rsid w:val="04651CD8"/>
    <w:rsid w:val="04666198"/>
    <w:rsid w:val="048819C4"/>
    <w:rsid w:val="04F75026"/>
    <w:rsid w:val="054D2E98"/>
    <w:rsid w:val="056B57EE"/>
    <w:rsid w:val="06253E14"/>
    <w:rsid w:val="06695AAF"/>
    <w:rsid w:val="06744454"/>
    <w:rsid w:val="06E635A4"/>
    <w:rsid w:val="0828199A"/>
    <w:rsid w:val="082C4FE6"/>
    <w:rsid w:val="08B35707"/>
    <w:rsid w:val="099C43EE"/>
    <w:rsid w:val="0A951569"/>
    <w:rsid w:val="0AAC1D75"/>
    <w:rsid w:val="0ABF0394"/>
    <w:rsid w:val="0AC0235E"/>
    <w:rsid w:val="0B6131F9"/>
    <w:rsid w:val="0BAF665A"/>
    <w:rsid w:val="0BFE6C9A"/>
    <w:rsid w:val="0C061FF2"/>
    <w:rsid w:val="0CEC2F96"/>
    <w:rsid w:val="0D7D62E4"/>
    <w:rsid w:val="0E2C7710"/>
    <w:rsid w:val="0E794CFD"/>
    <w:rsid w:val="0EA855E3"/>
    <w:rsid w:val="0F9B3756"/>
    <w:rsid w:val="0FBA06A9"/>
    <w:rsid w:val="11CC3396"/>
    <w:rsid w:val="11D84431"/>
    <w:rsid w:val="12040D82"/>
    <w:rsid w:val="12071ECB"/>
    <w:rsid w:val="130152C1"/>
    <w:rsid w:val="13182D37"/>
    <w:rsid w:val="13F60B9E"/>
    <w:rsid w:val="14027543"/>
    <w:rsid w:val="1494463F"/>
    <w:rsid w:val="149C060B"/>
    <w:rsid w:val="14BC5944"/>
    <w:rsid w:val="15604521"/>
    <w:rsid w:val="16390654"/>
    <w:rsid w:val="16E41182"/>
    <w:rsid w:val="16E8367D"/>
    <w:rsid w:val="16F82667"/>
    <w:rsid w:val="17544559"/>
    <w:rsid w:val="177B2E56"/>
    <w:rsid w:val="17E4768B"/>
    <w:rsid w:val="189D5A8C"/>
    <w:rsid w:val="18EC0939"/>
    <w:rsid w:val="19505191"/>
    <w:rsid w:val="19C45874"/>
    <w:rsid w:val="19DB061A"/>
    <w:rsid w:val="1B27789C"/>
    <w:rsid w:val="1B3E5305"/>
    <w:rsid w:val="1B416BA3"/>
    <w:rsid w:val="1B754A9E"/>
    <w:rsid w:val="1BF14125"/>
    <w:rsid w:val="1C784846"/>
    <w:rsid w:val="1CBA4E5F"/>
    <w:rsid w:val="1CDA4A54"/>
    <w:rsid w:val="1CE41EDC"/>
    <w:rsid w:val="1D327F72"/>
    <w:rsid w:val="1D682B0D"/>
    <w:rsid w:val="1DA957BD"/>
    <w:rsid w:val="1E0508CE"/>
    <w:rsid w:val="1E087E4C"/>
    <w:rsid w:val="1E262080"/>
    <w:rsid w:val="1E5906A7"/>
    <w:rsid w:val="1F2C36C6"/>
    <w:rsid w:val="1F8B4890"/>
    <w:rsid w:val="1FE81CE3"/>
    <w:rsid w:val="20032679"/>
    <w:rsid w:val="20983709"/>
    <w:rsid w:val="21EE1107"/>
    <w:rsid w:val="22C02AA3"/>
    <w:rsid w:val="23496F3C"/>
    <w:rsid w:val="237613B4"/>
    <w:rsid w:val="23C71C0F"/>
    <w:rsid w:val="24A02B8C"/>
    <w:rsid w:val="24BB1774"/>
    <w:rsid w:val="25203CCD"/>
    <w:rsid w:val="256736AA"/>
    <w:rsid w:val="26720558"/>
    <w:rsid w:val="27651E6B"/>
    <w:rsid w:val="276E48E5"/>
    <w:rsid w:val="27750300"/>
    <w:rsid w:val="279B763B"/>
    <w:rsid w:val="27C25038"/>
    <w:rsid w:val="285717B4"/>
    <w:rsid w:val="28812569"/>
    <w:rsid w:val="28E53263"/>
    <w:rsid w:val="290B259E"/>
    <w:rsid w:val="290C4C94"/>
    <w:rsid w:val="292D4147"/>
    <w:rsid w:val="29325D7D"/>
    <w:rsid w:val="29422464"/>
    <w:rsid w:val="295C2C18"/>
    <w:rsid w:val="29E4176D"/>
    <w:rsid w:val="29EB48A9"/>
    <w:rsid w:val="2AFA0B1C"/>
    <w:rsid w:val="2AFB6D6E"/>
    <w:rsid w:val="2BF832AE"/>
    <w:rsid w:val="2C29790B"/>
    <w:rsid w:val="2C4B4507"/>
    <w:rsid w:val="2CAB47C4"/>
    <w:rsid w:val="2CF77A09"/>
    <w:rsid w:val="2D8D5C78"/>
    <w:rsid w:val="2DA01272"/>
    <w:rsid w:val="2DCF003E"/>
    <w:rsid w:val="2DEC65E8"/>
    <w:rsid w:val="2E5D389C"/>
    <w:rsid w:val="2E7D7A9A"/>
    <w:rsid w:val="2ECB4CA9"/>
    <w:rsid w:val="2F5702EB"/>
    <w:rsid w:val="2FC033C7"/>
    <w:rsid w:val="303D3985"/>
    <w:rsid w:val="30FF50DE"/>
    <w:rsid w:val="312E1E63"/>
    <w:rsid w:val="31411253"/>
    <w:rsid w:val="3179279B"/>
    <w:rsid w:val="31E14CB5"/>
    <w:rsid w:val="3212231A"/>
    <w:rsid w:val="32E53E60"/>
    <w:rsid w:val="33E83C08"/>
    <w:rsid w:val="342F7A89"/>
    <w:rsid w:val="34452E08"/>
    <w:rsid w:val="34B00BC9"/>
    <w:rsid w:val="34EE524E"/>
    <w:rsid w:val="350B4EB3"/>
    <w:rsid w:val="35F5085E"/>
    <w:rsid w:val="360D3DFA"/>
    <w:rsid w:val="3652180C"/>
    <w:rsid w:val="365338FB"/>
    <w:rsid w:val="365E3FD9"/>
    <w:rsid w:val="36AC4A95"/>
    <w:rsid w:val="36FB00F6"/>
    <w:rsid w:val="371D1E1A"/>
    <w:rsid w:val="371D3646"/>
    <w:rsid w:val="371E22F5"/>
    <w:rsid w:val="3757357E"/>
    <w:rsid w:val="37AC319E"/>
    <w:rsid w:val="38156F95"/>
    <w:rsid w:val="38675A43"/>
    <w:rsid w:val="38B93DC5"/>
    <w:rsid w:val="38CF62BE"/>
    <w:rsid w:val="39462149"/>
    <w:rsid w:val="39B36A66"/>
    <w:rsid w:val="39BA6046"/>
    <w:rsid w:val="39FF3A59"/>
    <w:rsid w:val="3A1B4DE1"/>
    <w:rsid w:val="3A5B3385"/>
    <w:rsid w:val="3A814334"/>
    <w:rsid w:val="3ABB3E24"/>
    <w:rsid w:val="3B710987"/>
    <w:rsid w:val="3C97441D"/>
    <w:rsid w:val="3D804EB1"/>
    <w:rsid w:val="3E7F160D"/>
    <w:rsid w:val="3ECD2BCF"/>
    <w:rsid w:val="3EF82D74"/>
    <w:rsid w:val="3FBB6674"/>
    <w:rsid w:val="401D732F"/>
    <w:rsid w:val="41220EF7"/>
    <w:rsid w:val="414D154E"/>
    <w:rsid w:val="41652D3C"/>
    <w:rsid w:val="4189672F"/>
    <w:rsid w:val="41E7532D"/>
    <w:rsid w:val="427D40B5"/>
    <w:rsid w:val="42D068DB"/>
    <w:rsid w:val="43C875B2"/>
    <w:rsid w:val="43EF2D90"/>
    <w:rsid w:val="450B3BFA"/>
    <w:rsid w:val="454A2974"/>
    <w:rsid w:val="46794B93"/>
    <w:rsid w:val="469F45FA"/>
    <w:rsid w:val="46BD68C4"/>
    <w:rsid w:val="46DD5122"/>
    <w:rsid w:val="47240FA3"/>
    <w:rsid w:val="473E2065"/>
    <w:rsid w:val="4753561B"/>
    <w:rsid w:val="479A3013"/>
    <w:rsid w:val="47BB36B5"/>
    <w:rsid w:val="47C14A44"/>
    <w:rsid w:val="47E36768"/>
    <w:rsid w:val="483957D0"/>
    <w:rsid w:val="48C102B3"/>
    <w:rsid w:val="49204E51"/>
    <w:rsid w:val="49D97E23"/>
    <w:rsid w:val="49E62540"/>
    <w:rsid w:val="4A29347E"/>
    <w:rsid w:val="4A5D0A54"/>
    <w:rsid w:val="4A7B35D0"/>
    <w:rsid w:val="4A82670C"/>
    <w:rsid w:val="4A8835F7"/>
    <w:rsid w:val="4ABA3B32"/>
    <w:rsid w:val="4AE90539"/>
    <w:rsid w:val="4B1561E5"/>
    <w:rsid w:val="4B517E8D"/>
    <w:rsid w:val="4BB072A9"/>
    <w:rsid w:val="4C143394"/>
    <w:rsid w:val="4CE26304"/>
    <w:rsid w:val="4CF82CB6"/>
    <w:rsid w:val="4DDB15D7"/>
    <w:rsid w:val="4E737150"/>
    <w:rsid w:val="4F55323B"/>
    <w:rsid w:val="4F5F2D3D"/>
    <w:rsid w:val="4F7505EE"/>
    <w:rsid w:val="4F932CA9"/>
    <w:rsid w:val="4F981E3F"/>
    <w:rsid w:val="504D6185"/>
    <w:rsid w:val="51063B27"/>
    <w:rsid w:val="514566E6"/>
    <w:rsid w:val="5146539D"/>
    <w:rsid w:val="51736DAF"/>
    <w:rsid w:val="51D05FAF"/>
    <w:rsid w:val="52DC2732"/>
    <w:rsid w:val="52FE6B4C"/>
    <w:rsid w:val="5325232B"/>
    <w:rsid w:val="532D11DF"/>
    <w:rsid w:val="534B7F15"/>
    <w:rsid w:val="53807561"/>
    <w:rsid w:val="53B35B89"/>
    <w:rsid w:val="53D855EF"/>
    <w:rsid w:val="53DD5B43"/>
    <w:rsid w:val="53E83891"/>
    <w:rsid w:val="54B25E40"/>
    <w:rsid w:val="55C23BFD"/>
    <w:rsid w:val="56166DEF"/>
    <w:rsid w:val="561843C9"/>
    <w:rsid w:val="56513437"/>
    <w:rsid w:val="565E627F"/>
    <w:rsid w:val="56945C15"/>
    <w:rsid w:val="573E7726"/>
    <w:rsid w:val="5765363E"/>
    <w:rsid w:val="57CF2865"/>
    <w:rsid w:val="57DB3900"/>
    <w:rsid w:val="57DB5D50"/>
    <w:rsid w:val="57DD31D4"/>
    <w:rsid w:val="581204AB"/>
    <w:rsid w:val="58B33F35"/>
    <w:rsid w:val="59E20F76"/>
    <w:rsid w:val="5A551748"/>
    <w:rsid w:val="5A70032F"/>
    <w:rsid w:val="5B610C41"/>
    <w:rsid w:val="5B6F05E7"/>
    <w:rsid w:val="5B7200D7"/>
    <w:rsid w:val="5CC23233"/>
    <w:rsid w:val="5CE2303B"/>
    <w:rsid w:val="5D535CE6"/>
    <w:rsid w:val="5D5E0561"/>
    <w:rsid w:val="5D5F3BC0"/>
    <w:rsid w:val="5DC42740"/>
    <w:rsid w:val="5E8364CE"/>
    <w:rsid w:val="5E913E3A"/>
    <w:rsid w:val="5EA507C4"/>
    <w:rsid w:val="5EE50BC0"/>
    <w:rsid w:val="5EEA61D6"/>
    <w:rsid w:val="5FDA1F51"/>
    <w:rsid w:val="603040BD"/>
    <w:rsid w:val="60B46A9C"/>
    <w:rsid w:val="612F3657"/>
    <w:rsid w:val="61E15FB7"/>
    <w:rsid w:val="61EC428A"/>
    <w:rsid w:val="622639C9"/>
    <w:rsid w:val="62586279"/>
    <w:rsid w:val="62EF0680"/>
    <w:rsid w:val="63350368"/>
    <w:rsid w:val="63A9158E"/>
    <w:rsid w:val="64E020C6"/>
    <w:rsid w:val="65E120E1"/>
    <w:rsid w:val="66173D55"/>
    <w:rsid w:val="665A1D14"/>
    <w:rsid w:val="6695111E"/>
    <w:rsid w:val="66A355E9"/>
    <w:rsid w:val="66D460EA"/>
    <w:rsid w:val="67515045"/>
    <w:rsid w:val="6782689F"/>
    <w:rsid w:val="68426BE7"/>
    <w:rsid w:val="6854495A"/>
    <w:rsid w:val="68FE11FC"/>
    <w:rsid w:val="6942733B"/>
    <w:rsid w:val="69E93C5A"/>
    <w:rsid w:val="6A260A0B"/>
    <w:rsid w:val="6A5D1F52"/>
    <w:rsid w:val="6A674B7F"/>
    <w:rsid w:val="6B1D005F"/>
    <w:rsid w:val="6B3C48DC"/>
    <w:rsid w:val="6B6F2C52"/>
    <w:rsid w:val="6B7B4D86"/>
    <w:rsid w:val="6BFF7765"/>
    <w:rsid w:val="6C025999"/>
    <w:rsid w:val="6C35422E"/>
    <w:rsid w:val="6CAE6A95"/>
    <w:rsid w:val="6D617FAC"/>
    <w:rsid w:val="6D854E0B"/>
    <w:rsid w:val="6D95604E"/>
    <w:rsid w:val="6DB66549"/>
    <w:rsid w:val="6EAF68FD"/>
    <w:rsid w:val="6EC802E2"/>
    <w:rsid w:val="708C17E3"/>
    <w:rsid w:val="71123A97"/>
    <w:rsid w:val="716F0EE9"/>
    <w:rsid w:val="71844269"/>
    <w:rsid w:val="71B52674"/>
    <w:rsid w:val="71D92806"/>
    <w:rsid w:val="72625BA7"/>
    <w:rsid w:val="72DC6D13"/>
    <w:rsid w:val="731F53F4"/>
    <w:rsid w:val="73DC65DE"/>
    <w:rsid w:val="74212243"/>
    <w:rsid w:val="74CA6436"/>
    <w:rsid w:val="74D55507"/>
    <w:rsid w:val="74F6547D"/>
    <w:rsid w:val="75DE488F"/>
    <w:rsid w:val="7666438C"/>
    <w:rsid w:val="769B008A"/>
    <w:rsid w:val="770D6534"/>
    <w:rsid w:val="775A6197"/>
    <w:rsid w:val="778356EE"/>
    <w:rsid w:val="779C055E"/>
    <w:rsid w:val="77C507B0"/>
    <w:rsid w:val="78207E3A"/>
    <w:rsid w:val="785E75C1"/>
    <w:rsid w:val="78621EDA"/>
    <w:rsid w:val="78686692"/>
    <w:rsid w:val="78743289"/>
    <w:rsid w:val="787939D3"/>
    <w:rsid w:val="78A513B1"/>
    <w:rsid w:val="78A7416A"/>
    <w:rsid w:val="78DC470F"/>
    <w:rsid w:val="794E35A2"/>
    <w:rsid w:val="7A217567"/>
    <w:rsid w:val="7A3E58FC"/>
    <w:rsid w:val="7A543372"/>
    <w:rsid w:val="7AF20495"/>
    <w:rsid w:val="7BA82140"/>
    <w:rsid w:val="7CF90201"/>
    <w:rsid w:val="7D7179E6"/>
    <w:rsid w:val="7D8E6B9B"/>
    <w:rsid w:val="7DC9372F"/>
    <w:rsid w:val="7DCE6F97"/>
    <w:rsid w:val="7DF07878"/>
    <w:rsid w:val="7E482271"/>
    <w:rsid w:val="7E530FA0"/>
    <w:rsid w:val="7E9D39F7"/>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3">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character" w:default="1" w:styleId="15">
    <w:name w:val="Default Paragraph Font"/>
    <w:autoRedefine/>
    <w:semiHidden/>
    <w:qFormat/>
    <w:uiPriority w:val="0"/>
  </w:style>
  <w:style w:type="table" w:default="1" w:styleId="1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Body Text"/>
    <w:basedOn w:val="1"/>
    <w:autoRedefine/>
    <w:qFormat/>
    <w:uiPriority w:val="0"/>
    <w:pPr>
      <w:spacing w:line="500" w:lineRule="exact"/>
    </w:pPr>
    <w:rPr>
      <w:rFonts w:ascii="Times New Roman" w:hAnsi="Times New Roman"/>
      <w:sz w:val="28"/>
      <w:szCs w:val="20"/>
    </w:rPr>
  </w:style>
  <w:style w:type="paragraph" w:styleId="4">
    <w:name w:val="index 8"/>
    <w:basedOn w:val="1"/>
    <w:next w:val="1"/>
    <w:autoRedefine/>
    <w:qFormat/>
    <w:uiPriority w:val="99"/>
    <w:pPr>
      <w:ind w:left="1400" w:leftChars="1400"/>
    </w:pPr>
    <w:rPr>
      <w:szCs w:val="24"/>
    </w:rPr>
  </w:style>
  <w:style w:type="paragraph" w:styleId="5">
    <w:name w:val="Normal Indent"/>
    <w:basedOn w:val="1"/>
    <w:autoRedefine/>
    <w:qFormat/>
    <w:uiPriority w:val="0"/>
    <w:pPr>
      <w:spacing w:line="520" w:lineRule="exact"/>
      <w:ind w:firstLine="420" w:firstLineChars="200"/>
    </w:pPr>
    <w:rPr>
      <w:rFonts w:ascii="Times New Roman" w:hAnsi="Times New Roman"/>
      <w:szCs w:val="24"/>
    </w:rPr>
  </w:style>
  <w:style w:type="paragraph" w:styleId="6">
    <w:name w:val="Body Text Indent"/>
    <w:basedOn w:val="1"/>
    <w:next w:val="7"/>
    <w:autoRedefine/>
    <w:qFormat/>
    <w:uiPriority w:val="0"/>
    <w:pPr>
      <w:spacing w:after="120"/>
      <w:ind w:left="420" w:leftChars="200"/>
    </w:pPr>
    <w:rPr>
      <w:kern w:val="0"/>
      <w:sz w:val="24"/>
      <w:szCs w:val="20"/>
    </w:rPr>
  </w:style>
  <w:style w:type="paragraph" w:styleId="7">
    <w:name w:val="Body Text First Indent 2"/>
    <w:basedOn w:val="6"/>
    <w:next w:val="6"/>
    <w:autoRedefine/>
    <w:qFormat/>
    <w:uiPriority w:val="0"/>
    <w:pPr>
      <w:spacing w:after="120"/>
      <w:ind w:left="420" w:leftChars="200" w:firstLine="420" w:firstLineChars="200"/>
    </w:pPr>
    <w:rPr>
      <w:sz w:val="21"/>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toc 1"/>
    <w:basedOn w:val="1"/>
    <w:next w:val="1"/>
    <w:autoRedefine/>
    <w:qFormat/>
    <w:uiPriority w:val="0"/>
  </w:style>
  <w:style w:type="paragraph" w:styleId="10">
    <w:name w:val="index heading"/>
    <w:basedOn w:val="1"/>
    <w:next w:val="11"/>
    <w:autoRedefine/>
    <w:qFormat/>
    <w:uiPriority w:val="0"/>
    <w:rPr>
      <w:szCs w:val="20"/>
    </w:rPr>
  </w:style>
  <w:style w:type="paragraph" w:styleId="11">
    <w:name w:val="index 1"/>
    <w:basedOn w:val="1"/>
    <w:next w:val="1"/>
    <w:autoRedefine/>
    <w:qFormat/>
    <w:uiPriority w:val="0"/>
    <w:pPr>
      <w:spacing w:line="320" w:lineRule="exact"/>
      <w:jc w:val="center"/>
    </w:pPr>
    <w:rPr>
      <w:color w:val="000000"/>
      <w:szCs w:val="21"/>
    </w:rPr>
  </w:style>
  <w:style w:type="paragraph" w:styleId="12">
    <w:name w:val="toc 2"/>
    <w:basedOn w:val="1"/>
    <w:next w:val="1"/>
    <w:autoRedefine/>
    <w:qFormat/>
    <w:uiPriority w:val="39"/>
    <w:pPr>
      <w:ind w:left="420" w:leftChars="200"/>
    </w:p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Body Text 21"/>
    <w:basedOn w:val="1"/>
    <w:autoRedefine/>
    <w:qFormat/>
    <w:uiPriority w:val="0"/>
    <w:pPr>
      <w:spacing w:after="120" w:line="480" w:lineRule="auto"/>
    </w:pPr>
  </w:style>
  <w:style w:type="paragraph" w:customStyle="1" w:styleId="17">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18">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paragraph" w:customStyle="1" w:styleId="20">
    <w:name w:val="表+五号"/>
    <w:basedOn w:val="1"/>
    <w:autoRedefine/>
    <w:qFormat/>
    <w:uiPriority w:val="0"/>
    <w:rPr>
      <w:szCs w:val="28"/>
    </w:rPr>
  </w:style>
  <w:style w:type="paragraph" w:customStyle="1" w:styleId="21">
    <w:name w:val="样式 宋体 四号"/>
    <w:basedOn w:val="1"/>
    <w:autoRedefine/>
    <w:qFormat/>
    <w:uiPriority w:val="0"/>
    <w:pPr>
      <w:ind w:firstLine="560"/>
    </w:pPr>
    <w:rPr>
      <w:rFonts w:ascii="宋体" w:hAnsi="宋体" w:cs="宋体"/>
      <w:sz w:val="28"/>
      <w:szCs w:val="20"/>
    </w:rPr>
  </w:style>
  <w:style w:type="paragraph" w:customStyle="1" w:styleId="22">
    <w:name w:val="报告书正文"/>
    <w:basedOn w:val="1"/>
    <w:autoRedefine/>
    <w:qFormat/>
    <w:uiPriority w:val="0"/>
    <w:pPr>
      <w:spacing w:line="300" w:lineRule="auto"/>
      <w:ind w:firstLine="200" w:firstLineChars="200"/>
    </w:pPr>
    <w:rPr>
      <w:sz w:val="24"/>
    </w:rPr>
  </w:style>
  <w:style w:type="paragraph" w:customStyle="1" w:styleId="23">
    <w:name w:val="WPSOffice手动目录 1"/>
    <w:autoRedefine/>
    <w:qFormat/>
    <w:uiPriority w:val="0"/>
    <w:pPr>
      <w:ind w:leftChars="0"/>
    </w:pPr>
    <w:rPr>
      <w:rFonts w:ascii="Times New Roman" w:hAnsi="Times New Roman" w:eastAsia="宋体" w:cs="Times New Roman"/>
      <w:sz w:val="20"/>
      <w:szCs w:val="20"/>
    </w:rPr>
  </w:style>
  <w:style w:type="paragraph" w:customStyle="1" w:styleId="24">
    <w:name w:val="Table Text"/>
    <w:basedOn w:val="1"/>
    <w:autoRedefine/>
    <w:semiHidden/>
    <w:qFormat/>
    <w:uiPriority w:val="0"/>
    <w:rPr>
      <w:rFonts w:ascii="宋体" w:hAnsi="宋体" w:eastAsia="宋体" w:cs="宋体"/>
      <w:sz w:val="21"/>
      <w:szCs w:val="21"/>
      <w:lang w:val="en-US" w:eastAsia="en-US" w:bidi="ar-SA"/>
    </w:rPr>
  </w:style>
  <w:style w:type="paragraph" w:customStyle="1" w:styleId="25">
    <w:name w:val="WY表格"/>
    <w:basedOn w:val="1"/>
    <w:autoRedefine/>
    <w:qFormat/>
    <w:uiPriority w:val="0"/>
    <w:pPr>
      <w:spacing w:line="240" w:lineRule="atLeast"/>
      <w:jc w:val="center"/>
    </w:pPr>
    <w:rPr>
      <w:rFonts w:ascii="Calibri" w:hAnsi="Calibri"/>
      <w:szCs w:val="21"/>
    </w:rPr>
  </w:style>
  <w:style w:type="paragraph" w:customStyle="1" w:styleId="26">
    <w:name w:val="Default"/>
    <w:basedOn w:val="27"/>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7">
    <w:name w:val="纯文本1"/>
    <w:basedOn w:val="1"/>
    <w:autoRedefine/>
    <w:qFormat/>
    <w:uiPriority w:val="0"/>
    <w:pPr>
      <w:adjustRightInd w:val="0"/>
    </w:pPr>
    <w:rPr>
      <w:rFonts w:ascii="宋体" w:hAnsi="Courier New"/>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jpeg"/><Relationship Id="rId25" Type="http://schemas.openxmlformats.org/officeDocument/2006/relationships/image" Target="media/image7.jpeg"/><Relationship Id="rId24" Type="http://schemas.openxmlformats.org/officeDocument/2006/relationships/image" Target="media/image6.jpeg"/><Relationship Id="rId23" Type="http://schemas.openxmlformats.org/officeDocument/2006/relationships/image" Target="media/image5.jpeg"/><Relationship Id="rId22" Type="http://schemas.openxmlformats.org/officeDocument/2006/relationships/image" Target="media/image4.jpeg"/><Relationship Id="rId21" Type="http://schemas.openxmlformats.org/officeDocument/2006/relationships/image" Target="media/image3.jpeg"/><Relationship Id="rId20" Type="http://schemas.openxmlformats.org/officeDocument/2006/relationships/image" Target="media/image2.jpe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60</Pages>
  <Words>25010</Words>
  <Characters>26854</Characters>
  <TotalTime>0</TotalTime>
  <ScaleCrop>false</ScaleCrop>
  <LinksUpToDate>false</LinksUpToDate>
  <CharactersWithSpaces>27156</CharactersWithSpaces>
  <Application>WPS Office_12.1.0.16417_F1E327BC-269C-435d-A152-05C5408002CA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2024-04-16T08:29:25Z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2052-12.1.0.16417</vt:lpwstr>
  </property>
  <property fmtid="{D5CDD505-2E9C-101B-9397-08002B2CF9AE}" pid="5" name="ICV">
    <vt:lpwstr>225EC68C933644619B06B8F0FE65CA17</vt:lpwstr>
  </property>
</Properties>
</file>