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color w:val="0000FF"/>
          <w:kern w:val="2"/>
          <w:sz w:val="24"/>
          <w:szCs w:val="24"/>
          <w:lang w:val="en-US" w:eastAsia="zh-CN" w:bidi="ar-SA"/>
        </w:rPr>
        <w:id w:val="147472536"/>
        <w15:color w:val="DBDBDB"/>
        <w:docPartObj>
          <w:docPartGallery w:val="Table of Contents"/>
          <w:docPartUnique/>
        </w:docPartObj>
      </w:sdtPr>
      <w:sdtEndPr>
        <w:rPr>
          <w:rFonts w:ascii="宋体" w:hAnsi="宋体" w:eastAsia="宋体" w:cstheme="minorBidi"/>
          <w:color w:val="0000FF"/>
          <w:kern w:val="2"/>
          <w:sz w:val="24"/>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color w:val="0000FF"/>
              <w:sz w:val="24"/>
              <w:szCs w:val="24"/>
            </w:rPr>
          </w:pPr>
          <w:r>
            <w:rPr>
              <w:rFonts w:ascii="宋体" w:hAnsi="宋体" w:eastAsia="宋体"/>
              <w:color w:val="0000FF"/>
              <w:sz w:val="24"/>
              <w:szCs w:val="24"/>
            </w:rPr>
            <w:t>目录</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color w:val="0000FF"/>
              <w:sz w:val="24"/>
              <w:szCs w:val="24"/>
            </w:rPr>
            <w:instrText xml:space="preserve">TOC \o "1-3" \h \u </w:instrText>
          </w:r>
          <w:r>
            <w:rPr>
              <w:color w:val="0000FF"/>
              <w:sz w:val="24"/>
              <w:szCs w:val="24"/>
            </w:rPr>
            <w:fldChar w:fldCharType="separate"/>
          </w:r>
          <w:r>
            <w:rPr>
              <w:color w:val="0000FF"/>
              <w:sz w:val="24"/>
              <w:szCs w:val="24"/>
            </w:rPr>
            <w:fldChar w:fldCharType="begin"/>
          </w:r>
          <w:r>
            <w:rPr>
              <w:sz w:val="24"/>
              <w:szCs w:val="24"/>
            </w:rPr>
            <w:instrText xml:space="preserve"> HYPERLINK \l _Toc12453 </w:instrText>
          </w:r>
          <w:r>
            <w:rPr>
              <w:sz w:val="24"/>
              <w:szCs w:val="24"/>
            </w:rPr>
            <w:fldChar w:fldCharType="separate"/>
          </w:r>
          <w:r>
            <w:rPr>
              <w:rFonts w:hint="eastAsia"/>
              <w:sz w:val="24"/>
              <w:szCs w:val="24"/>
              <w:lang w:val="en-US" w:eastAsia="zh-CN"/>
            </w:rPr>
            <w:t>1概述</w:t>
          </w:r>
          <w:r>
            <w:rPr>
              <w:sz w:val="24"/>
              <w:szCs w:val="24"/>
            </w:rPr>
            <w:tab/>
          </w:r>
          <w:r>
            <w:rPr>
              <w:sz w:val="24"/>
              <w:szCs w:val="24"/>
            </w:rPr>
            <w:fldChar w:fldCharType="begin"/>
          </w:r>
          <w:r>
            <w:rPr>
              <w:sz w:val="24"/>
              <w:szCs w:val="24"/>
            </w:rPr>
            <w:instrText xml:space="preserve"> PAGEREF _Toc12453 \h </w:instrText>
          </w:r>
          <w:r>
            <w:rPr>
              <w:sz w:val="24"/>
              <w:szCs w:val="24"/>
            </w:rPr>
            <w:fldChar w:fldCharType="separate"/>
          </w:r>
          <w:r>
            <w:rPr>
              <w:sz w:val="24"/>
              <w:szCs w:val="24"/>
            </w:rPr>
            <w:t>6</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_Toc12223 </w:instrText>
          </w:r>
          <w:r>
            <w:rPr>
              <w:sz w:val="24"/>
              <w:szCs w:val="24"/>
            </w:rPr>
            <w:fldChar w:fldCharType="separate"/>
          </w:r>
          <w:r>
            <w:rPr>
              <w:rFonts w:hint="eastAsia"/>
              <w:sz w:val="24"/>
              <w:szCs w:val="24"/>
              <w:lang w:val="en-US" w:eastAsia="zh-CN"/>
            </w:rPr>
            <w:t>1.1项目特点</w:t>
          </w:r>
          <w:r>
            <w:rPr>
              <w:sz w:val="24"/>
              <w:szCs w:val="24"/>
            </w:rPr>
            <w:tab/>
          </w:r>
          <w:r>
            <w:rPr>
              <w:sz w:val="24"/>
              <w:szCs w:val="24"/>
            </w:rPr>
            <w:fldChar w:fldCharType="begin"/>
          </w:r>
          <w:r>
            <w:rPr>
              <w:sz w:val="24"/>
              <w:szCs w:val="24"/>
            </w:rPr>
            <w:instrText xml:space="preserve"> PAGEREF _Toc12223 \h </w:instrText>
          </w:r>
          <w:r>
            <w:rPr>
              <w:sz w:val="24"/>
              <w:szCs w:val="24"/>
            </w:rPr>
            <w:fldChar w:fldCharType="separate"/>
          </w:r>
          <w:r>
            <w:rPr>
              <w:sz w:val="24"/>
              <w:szCs w:val="24"/>
            </w:rPr>
            <w:t>6</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_Toc22671 </w:instrText>
          </w:r>
          <w:r>
            <w:rPr>
              <w:sz w:val="24"/>
              <w:szCs w:val="24"/>
            </w:rPr>
            <w:fldChar w:fldCharType="separate"/>
          </w:r>
          <w:r>
            <w:rPr>
              <w:rFonts w:hint="eastAsia"/>
              <w:sz w:val="24"/>
              <w:szCs w:val="24"/>
              <w:lang w:val="en-US" w:eastAsia="zh-CN"/>
            </w:rPr>
            <w:t>1.2环境影响评价过程</w:t>
          </w:r>
          <w:r>
            <w:rPr>
              <w:sz w:val="24"/>
              <w:szCs w:val="24"/>
            </w:rPr>
            <w:tab/>
          </w:r>
          <w:r>
            <w:rPr>
              <w:sz w:val="24"/>
              <w:szCs w:val="24"/>
            </w:rPr>
            <w:fldChar w:fldCharType="begin"/>
          </w:r>
          <w:r>
            <w:rPr>
              <w:sz w:val="24"/>
              <w:szCs w:val="24"/>
            </w:rPr>
            <w:instrText xml:space="preserve"> PAGEREF _Toc22671 \h </w:instrText>
          </w:r>
          <w:r>
            <w:rPr>
              <w:sz w:val="24"/>
              <w:szCs w:val="24"/>
            </w:rPr>
            <w:fldChar w:fldCharType="separate"/>
          </w:r>
          <w:r>
            <w:rPr>
              <w:sz w:val="24"/>
              <w:szCs w:val="24"/>
            </w:rPr>
            <w:t>7</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_Toc24240 </w:instrText>
          </w:r>
          <w:r>
            <w:rPr>
              <w:sz w:val="24"/>
              <w:szCs w:val="24"/>
            </w:rPr>
            <w:fldChar w:fldCharType="separate"/>
          </w:r>
          <w:r>
            <w:rPr>
              <w:rFonts w:hint="eastAsia"/>
              <w:sz w:val="24"/>
              <w:szCs w:val="24"/>
              <w:lang w:val="en-US" w:eastAsia="zh-CN"/>
            </w:rPr>
            <w:t>1.3分析判定情况</w:t>
          </w:r>
          <w:r>
            <w:rPr>
              <w:sz w:val="24"/>
              <w:szCs w:val="24"/>
            </w:rPr>
            <w:tab/>
          </w:r>
          <w:r>
            <w:rPr>
              <w:sz w:val="24"/>
              <w:szCs w:val="24"/>
            </w:rPr>
            <w:fldChar w:fldCharType="begin"/>
          </w:r>
          <w:r>
            <w:rPr>
              <w:sz w:val="24"/>
              <w:szCs w:val="24"/>
            </w:rPr>
            <w:instrText xml:space="preserve"> PAGEREF _Toc24240 \h </w:instrText>
          </w:r>
          <w:r>
            <w:rPr>
              <w:sz w:val="24"/>
              <w:szCs w:val="24"/>
            </w:rPr>
            <w:fldChar w:fldCharType="separate"/>
          </w:r>
          <w:r>
            <w:rPr>
              <w:sz w:val="24"/>
              <w:szCs w:val="24"/>
            </w:rPr>
            <w:t>7</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_Toc12751 </w:instrText>
          </w:r>
          <w:r>
            <w:rPr>
              <w:sz w:val="24"/>
              <w:szCs w:val="24"/>
            </w:rPr>
            <w:fldChar w:fldCharType="separate"/>
          </w:r>
          <w:r>
            <w:rPr>
              <w:rFonts w:hint="eastAsia"/>
              <w:sz w:val="24"/>
              <w:szCs w:val="24"/>
              <w:lang w:val="en-US" w:eastAsia="zh-CN"/>
            </w:rPr>
            <w:t>1.4项目关注的主要环境问题</w:t>
          </w:r>
          <w:r>
            <w:rPr>
              <w:sz w:val="24"/>
              <w:szCs w:val="24"/>
            </w:rPr>
            <w:tab/>
          </w:r>
          <w:r>
            <w:rPr>
              <w:sz w:val="24"/>
              <w:szCs w:val="24"/>
            </w:rPr>
            <w:fldChar w:fldCharType="begin"/>
          </w:r>
          <w:r>
            <w:rPr>
              <w:sz w:val="24"/>
              <w:szCs w:val="24"/>
            </w:rPr>
            <w:instrText xml:space="preserve"> PAGEREF _Toc12751 \h </w:instrText>
          </w:r>
          <w:r>
            <w:rPr>
              <w:sz w:val="24"/>
              <w:szCs w:val="24"/>
            </w:rPr>
            <w:fldChar w:fldCharType="separate"/>
          </w:r>
          <w:r>
            <w:rPr>
              <w:sz w:val="24"/>
              <w:szCs w:val="24"/>
            </w:rPr>
            <w:t>7</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_Toc4706 </w:instrText>
          </w:r>
          <w:r>
            <w:rPr>
              <w:sz w:val="24"/>
              <w:szCs w:val="24"/>
            </w:rPr>
            <w:fldChar w:fldCharType="separate"/>
          </w:r>
          <w:r>
            <w:rPr>
              <w:rFonts w:hint="default"/>
              <w:sz w:val="24"/>
              <w:szCs w:val="24"/>
              <w:lang w:val="en-US" w:eastAsia="zh-CN"/>
            </w:rPr>
            <w:t>1.5</w:t>
          </w:r>
          <w:r>
            <w:rPr>
              <w:rFonts w:hint="eastAsia"/>
              <w:sz w:val="24"/>
              <w:szCs w:val="24"/>
              <w:lang w:val="en-US" w:eastAsia="zh-CN"/>
            </w:rPr>
            <w:t>环境影响评价的主要结论</w:t>
          </w:r>
          <w:r>
            <w:rPr>
              <w:sz w:val="24"/>
              <w:szCs w:val="24"/>
            </w:rPr>
            <w:tab/>
          </w:r>
          <w:r>
            <w:rPr>
              <w:sz w:val="24"/>
              <w:szCs w:val="24"/>
            </w:rPr>
            <w:fldChar w:fldCharType="begin"/>
          </w:r>
          <w:r>
            <w:rPr>
              <w:sz w:val="24"/>
              <w:szCs w:val="24"/>
            </w:rPr>
            <w:instrText xml:space="preserve"> PAGEREF _Toc4706 \h </w:instrText>
          </w:r>
          <w:r>
            <w:rPr>
              <w:sz w:val="24"/>
              <w:szCs w:val="24"/>
            </w:rPr>
            <w:fldChar w:fldCharType="separate"/>
          </w:r>
          <w:r>
            <w:rPr>
              <w:sz w:val="24"/>
              <w:szCs w:val="24"/>
            </w:rPr>
            <w:t>8</w:t>
          </w:r>
          <w:r>
            <w:rPr>
              <w:sz w:val="24"/>
              <w:szCs w:val="24"/>
            </w:rPr>
            <w:fldChar w:fldCharType="end"/>
          </w:r>
          <w:r>
            <w:rPr>
              <w:color w:val="0000FF"/>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_Toc903 </w:instrText>
          </w:r>
          <w:r>
            <w:rPr>
              <w:sz w:val="24"/>
              <w:szCs w:val="24"/>
            </w:rPr>
            <w:fldChar w:fldCharType="separate"/>
          </w:r>
          <w:r>
            <w:rPr>
              <w:rFonts w:hint="eastAsia"/>
              <w:sz w:val="24"/>
              <w:szCs w:val="24"/>
              <w:lang w:val="en-US" w:eastAsia="zh-CN"/>
            </w:rPr>
            <w:t>2总则</w:t>
          </w:r>
          <w:r>
            <w:rPr>
              <w:sz w:val="24"/>
              <w:szCs w:val="24"/>
            </w:rPr>
            <w:tab/>
          </w:r>
          <w:r>
            <w:rPr>
              <w:sz w:val="24"/>
              <w:szCs w:val="24"/>
            </w:rPr>
            <w:fldChar w:fldCharType="begin"/>
          </w:r>
          <w:r>
            <w:rPr>
              <w:sz w:val="24"/>
              <w:szCs w:val="24"/>
            </w:rPr>
            <w:instrText xml:space="preserve"> PAGEREF _Toc903 \h </w:instrText>
          </w:r>
          <w:r>
            <w:rPr>
              <w:sz w:val="24"/>
              <w:szCs w:val="24"/>
            </w:rPr>
            <w:fldChar w:fldCharType="separate"/>
          </w:r>
          <w:r>
            <w:rPr>
              <w:sz w:val="24"/>
              <w:szCs w:val="24"/>
            </w:rPr>
            <w:t>9</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_Toc21868 </w:instrText>
          </w:r>
          <w:r>
            <w:rPr>
              <w:sz w:val="24"/>
              <w:szCs w:val="24"/>
            </w:rPr>
            <w:fldChar w:fldCharType="separate"/>
          </w:r>
          <w:r>
            <w:rPr>
              <w:rFonts w:hint="eastAsia"/>
              <w:sz w:val="24"/>
              <w:szCs w:val="24"/>
              <w:lang w:val="en-US" w:eastAsia="zh-CN"/>
            </w:rPr>
            <w:t>2.1评价目的和原则</w:t>
          </w:r>
          <w:r>
            <w:rPr>
              <w:sz w:val="24"/>
              <w:szCs w:val="24"/>
            </w:rPr>
            <w:tab/>
          </w:r>
          <w:r>
            <w:rPr>
              <w:sz w:val="24"/>
              <w:szCs w:val="24"/>
            </w:rPr>
            <w:fldChar w:fldCharType="begin"/>
          </w:r>
          <w:r>
            <w:rPr>
              <w:sz w:val="24"/>
              <w:szCs w:val="24"/>
            </w:rPr>
            <w:instrText xml:space="preserve"> PAGEREF _Toc21868 \h </w:instrText>
          </w:r>
          <w:r>
            <w:rPr>
              <w:sz w:val="24"/>
              <w:szCs w:val="24"/>
            </w:rPr>
            <w:fldChar w:fldCharType="separate"/>
          </w:r>
          <w:r>
            <w:rPr>
              <w:sz w:val="24"/>
              <w:szCs w:val="24"/>
            </w:rPr>
            <w:t>9</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_Toc5617 </w:instrText>
          </w:r>
          <w:r>
            <w:rPr>
              <w:sz w:val="24"/>
              <w:szCs w:val="24"/>
            </w:rPr>
            <w:fldChar w:fldCharType="separate"/>
          </w:r>
          <w:r>
            <w:rPr>
              <w:rFonts w:hint="eastAsia"/>
              <w:sz w:val="24"/>
              <w:szCs w:val="24"/>
              <w:lang w:val="en-US" w:eastAsia="zh-CN"/>
            </w:rPr>
            <w:t>2.1.1评价目的</w:t>
          </w:r>
          <w:r>
            <w:rPr>
              <w:sz w:val="24"/>
              <w:szCs w:val="24"/>
            </w:rPr>
            <w:tab/>
          </w:r>
          <w:r>
            <w:rPr>
              <w:sz w:val="24"/>
              <w:szCs w:val="24"/>
            </w:rPr>
            <w:fldChar w:fldCharType="begin"/>
          </w:r>
          <w:r>
            <w:rPr>
              <w:sz w:val="24"/>
              <w:szCs w:val="24"/>
            </w:rPr>
            <w:instrText xml:space="preserve"> PAGEREF _Toc5617 \h </w:instrText>
          </w:r>
          <w:r>
            <w:rPr>
              <w:sz w:val="24"/>
              <w:szCs w:val="24"/>
            </w:rPr>
            <w:fldChar w:fldCharType="separate"/>
          </w:r>
          <w:r>
            <w:rPr>
              <w:sz w:val="24"/>
              <w:szCs w:val="24"/>
            </w:rPr>
            <w:t>9</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_Toc32566 </w:instrText>
          </w:r>
          <w:r>
            <w:rPr>
              <w:sz w:val="24"/>
              <w:szCs w:val="24"/>
            </w:rPr>
            <w:fldChar w:fldCharType="separate"/>
          </w:r>
          <w:r>
            <w:rPr>
              <w:rFonts w:hint="eastAsia"/>
              <w:sz w:val="24"/>
              <w:szCs w:val="24"/>
              <w:lang w:val="en-US" w:eastAsia="zh-CN"/>
            </w:rPr>
            <w:t>2.1.2评价原则分析</w:t>
          </w:r>
          <w:r>
            <w:rPr>
              <w:sz w:val="24"/>
              <w:szCs w:val="24"/>
            </w:rPr>
            <w:tab/>
          </w:r>
          <w:r>
            <w:rPr>
              <w:sz w:val="24"/>
              <w:szCs w:val="24"/>
            </w:rPr>
            <w:fldChar w:fldCharType="begin"/>
          </w:r>
          <w:r>
            <w:rPr>
              <w:sz w:val="24"/>
              <w:szCs w:val="24"/>
            </w:rPr>
            <w:instrText xml:space="preserve"> PAGEREF _Toc32566 \h </w:instrText>
          </w:r>
          <w:r>
            <w:rPr>
              <w:sz w:val="24"/>
              <w:szCs w:val="24"/>
            </w:rPr>
            <w:fldChar w:fldCharType="separate"/>
          </w:r>
          <w:r>
            <w:rPr>
              <w:sz w:val="24"/>
              <w:szCs w:val="24"/>
            </w:rPr>
            <w:t>9</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_Toc6816 </w:instrText>
          </w:r>
          <w:r>
            <w:rPr>
              <w:sz w:val="24"/>
              <w:szCs w:val="24"/>
            </w:rPr>
            <w:fldChar w:fldCharType="separate"/>
          </w:r>
          <w:r>
            <w:rPr>
              <w:rFonts w:hint="eastAsia"/>
              <w:sz w:val="24"/>
              <w:szCs w:val="24"/>
              <w:lang w:val="en-US" w:eastAsia="zh-CN"/>
            </w:rPr>
            <w:t>2.2评价工作程序</w:t>
          </w:r>
          <w:r>
            <w:rPr>
              <w:sz w:val="24"/>
              <w:szCs w:val="24"/>
            </w:rPr>
            <w:tab/>
          </w:r>
          <w:r>
            <w:rPr>
              <w:sz w:val="24"/>
              <w:szCs w:val="24"/>
            </w:rPr>
            <w:fldChar w:fldCharType="begin"/>
          </w:r>
          <w:r>
            <w:rPr>
              <w:sz w:val="24"/>
              <w:szCs w:val="24"/>
            </w:rPr>
            <w:instrText xml:space="preserve"> PAGEREF _Toc6816 \h </w:instrText>
          </w:r>
          <w:r>
            <w:rPr>
              <w:sz w:val="24"/>
              <w:szCs w:val="24"/>
            </w:rPr>
            <w:fldChar w:fldCharType="separate"/>
          </w:r>
          <w:r>
            <w:rPr>
              <w:sz w:val="24"/>
              <w:szCs w:val="24"/>
            </w:rPr>
            <w:t>9</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_Toc31653 </w:instrText>
          </w:r>
          <w:r>
            <w:rPr>
              <w:sz w:val="24"/>
              <w:szCs w:val="24"/>
            </w:rPr>
            <w:fldChar w:fldCharType="separate"/>
          </w:r>
          <w:r>
            <w:rPr>
              <w:rFonts w:hint="eastAsia"/>
              <w:sz w:val="24"/>
              <w:szCs w:val="24"/>
              <w:lang w:val="en-US" w:eastAsia="zh-CN"/>
            </w:rPr>
            <w:t>2.3编制依据</w:t>
          </w:r>
          <w:r>
            <w:rPr>
              <w:sz w:val="24"/>
              <w:szCs w:val="24"/>
            </w:rPr>
            <w:tab/>
          </w:r>
          <w:r>
            <w:rPr>
              <w:sz w:val="24"/>
              <w:szCs w:val="24"/>
            </w:rPr>
            <w:fldChar w:fldCharType="begin"/>
          </w:r>
          <w:r>
            <w:rPr>
              <w:sz w:val="24"/>
              <w:szCs w:val="24"/>
            </w:rPr>
            <w:instrText xml:space="preserve"> PAGEREF _Toc31653 \h </w:instrText>
          </w:r>
          <w:r>
            <w:rPr>
              <w:sz w:val="24"/>
              <w:szCs w:val="24"/>
            </w:rPr>
            <w:fldChar w:fldCharType="separate"/>
          </w:r>
          <w:r>
            <w:rPr>
              <w:sz w:val="24"/>
              <w:szCs w:val="24"/>
            </w:rPr>
            <w:t>10</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_Toc21498 </w:instrText>
          </w:r>
          <w:r>
            <w:rPr>
              <w:sz w:val="24"/>
              <w:szCs w:val="24"/>
            </w:rPr>
            <w:fldChar w:fldCharType="separate"/>
          </w:r>
          <w:r>
            <w:rPr>
              <w:rFonts w:hint="eastAsia"/>
              <w:sz w:val="24"/>
              <w:szCs w:val="24"/>
              <w:lang w:val="en-US" w:eastAsia="zh-CN"/>
            </w:rPr>
            <w:t>2.3.1环境保护法律、法规及有关规定</w:t>
          </w:r>
          <w:r>
            <w:rPr>
              <w:sz w:val="24"/>
              <w:szCs w:val="24"/>
            </w:rPr>
            <w:tab/>
          </w:r>
          <w:r>
            <w:rPr>
              <w:sz w:val="24"/>
              <w:szCs w:val="24"/>
            </w:rPr>
            <w:fldChar w:fldCharType="begin"/>
          </w:r>
          <w:r>
            <w:rPr>
              <w:sz w:val="24"/>
              <w:szCs w:val="24"/>
            </w:rPr>
            <w:instrText xml:space="preserve"> PAGEREF _Toc21498 \h </w:instrText>
          </w:r>
          <w:r>
            <w:rPr>
              <w:sz w:val="24"/>
              <w:szCs w:val="24"/>
            </w:rPr>
            <w:fldChar w:fldCharType="separate"/>
          </w:r>
          <w:r>
            <w:rPr>
              <w:sz w:val="24"/>
              <w:szCs w:val="24"/>
            </w:rPr>
            <w:t>10</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_Toc22843 </w:instrText>
          </w:r>
          <w:r>
            <w:rPr>
              <w:sz w:val="24"/>
              <w:szCs w:val="24"/>
            </w:rPr>
            <w:fldChar w:fldCharType="separate"/>
          </w:r>
          <w:r>
            <w:rPr>
              <w:rFonts w:hint="eastAsia"/>
              <w:sz w:val="24"/>
              <w:szCs w:val="24"/>
              <w:lang w:val="en-US" w:eastAsia="zh-CN"/>
            </w:rPr>
            <w:t>2.3.2环评导则及有关技术条件</w:t>
          </w:r>
          <w:r>
            <w:rPr>
              <w:sz w:val="24"/>
              <w:szCs w:val="24"/>
            </w:rPr>
            <w:tab/>
          </w:r>
          <w:r>
            <w:rPr>
              <w:sz w:val="24"/>
              <w:szCs w:val="24"/>
            </w:rPr>
            <w:fldChar w:fldCharType="begin"/>
          </w:r>
          <w:r>
            <w:rPr>
              <w:sz w:val="24"/>
              <w:szCs w:val="24"/>
            </w:rPr>
            <w:instrText xml:space="preserve"> PAGEREF _Toc22843 \h </w:instrText>
          </w:r>
          <w:r>
            <w:rPr>
              <w:sz w:val="24"/>
              <w:szCs w:val="24"/>
            </w:rPr>
            <w:fldChar w:fldCharType="separate"/>
          </w:r>
          <w:r>
            <w:rPr>
              <w:sz w:val="24"/>
              <w:szCs w:val="24"/>
            </w:rPr>
            <w:t>12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_Toc23912 </w:instrText>
          </w:r>
          <w:r>
            <w:rPr>
              <w:sz w:val="24"/>
              <w:szCs w:val="24"/>
            </w:rPr>
            <w:fldChar w:fldCharType="separate"/>
          </w:r>
          <w:r>
            <w:rPr>
              <w:rFonts w:hint="eastAsia"/>
              <w:sz w:val="24"/>
              <w:szCs w:val="24"/>
              <w:lang w:val="en-US" w:eastAsia="zh-CN"/>
            </w:rPr>
            <w:t>2.3.3建设项目有关资料</w:t>
          </w:r>
          <w:r>
            <w:rPr>
              <w:sz w:val="24"/>
              <w:szCs w:val="24"/>
            </w:rPr>
            <w:tab/>
          </w:r>
          <w:r>
            <w:rPr>
              <w:sz w:val="24"/>
              <w:szCs w:val="24"/>
            </w:rPr>
            <w:fldChar w:fldCharType="begin"/>
          </w:r>
          <w:r>
            <w:rPr>
              <w:sz w:val="24"/>
              <w:szCs w:val="24"/>
            </w:rPr>
            <w:instrText xml:space="preserve"> PAGEREF _Toc23912 \h </w:instrText>
          </w:r>
          <w:r>
            <w:rPr>
              <w:sz w:val="24"/>
              <w:szCs w:val="24"/>
            </w:rPr>
            <w:fldChar w:fldCharType="separate"/>
          </w:r>
          <w:r>
            <w:rPr>
              <w:sz w:val="24"/>
              <w:szCs w:val="24"/>
            </w:rPr>
            <w:t>13</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_Toc6403 </w:instrText>
          </w:r>
          <w:r>
            <w:rPr>
              <w:sz w:val="24"/>
              <w:szCs w:val="24"/>
            </w:rPr>
            <w:fldChar w:fldCharType="separate"/>
          </w:r>
          <w:r>
            <w:rPr>
              <w:rFonts w:hint="default"/>
              <w:sz w:val="24"/>
              <w:szCs w:val="24"/>
              <w:lang w:val="en-US" w:eastAsia="zh-CN"/>
            </w:rPr>
            <w:t>2.4</w:t>
          </w:r>
          <w:r>
            <w:rPr>
              <w:rFonts w:hint="eastAsia"/>
              <w:sz w:val="24"/>
              <w:szCs w:val="24"/>
              <w:lang w:val="en-US" w:eastAsia="zh-CN"/>
            </w:rPr>
            <w:t>环境影响因素识别与评价因子筛选</w:t>
          </w:r>
          <w:r>
            <w:rPr>
              <w:sz w:val="24"/>
              <w:szCs w:val="24"/>
            </w:rPr>
            <w:tab/>
          </w:r>
          <w:r>
            <w:rPr>
              <w:sz w:val="24"/>
              <w:szCs w:val="24"/>
            </w:rPr>
            <w:fldChar w:fldCharType="begin"/>
          </w:r>
          <w:r>
            <w:rPr>
              <w:sz w:val="24"/>
              <w:szCs w:val="24"/>
            </w:rPr>
            <w:instrText xml:space="preserve"> PAGEREF _Toc6403 \h </w:instrText>
          </w:r>
          <w:r>
            <w:rPr>
              <w:sz w:val="24"/>
              <w:szCs w:val="24"/>
            </w:rPr>
            <w:fldChar w:fldCharType="separate"/>
          </w:r>
          <w:r>
            <w:rPr>
              <w:sz w:val="24"/>
              <w:szCs w:val="24"/>
            </w:rPr>
            <w:t>13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_Toc16899 </w:instrText>
          </w:r>
          <w:r>
            <w:rPr>
              <w:sz w:val="24"/>
              <w:szCs w:val="24"/>
            </w:rPr>
            <w:fldChar w:fldCharType="separate"/>
          </w:r>
          <w:r>
            <w:rPr>
              <w:rFonts w:hint="eastAsia"/>
              <w:sz w:val="24"/>
              <w:szCs w:val="24"/>
              <w:lang w:val="en-US" w:eastAsia="zh-CN"/>
            </w:rPr>
            <w:t>2.4.1环境影响因素识别</w:t>
          </w:r>
          <w:r>
            <w:rPr>
              <w:sz w:val="24"/>
              <w:szCs w:val="24"/>
            </w:rPr>
            <w:tab/>
          </w:r>
          <w:r>
            <w:rPr>
              <w:sz w:val="24"/>
              <w:szCs w:val="24"/>
            </w:rPr>
            <w:fldChar w:fldCharType="begin"/>
          </w:r>
          <w:r>
            <w:rPr>
              <w:sz w:val="24"/>
              <w:szCs w:val="24"/>
            </w:rPr>
            <w:instrText xml:space="preserve"> PAGEREF _Toc16899 \h </w:instrText>
          </w:r>
          <w:r>
            <w:rPr>
              <w:sz w:val="24"/>
              <w:szCs w:val="24"/>
            </w:rPr>
            <w:fldChar w:fldCharType="separate"/>
          </w:r>
          <w:r>
            <w:rPr>
              <w:sz w:val="24"/>
              <w:szCs w:val="24"/>
            </w:rPr>
            <w:t>13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_Toc22267 </w:instrText>
          </w:r>
          <w:r>
            <w:rPr>
              <w:sz w:val="24"/>
              <w:szCs w:val="24"/>
            </w:rPr>
            <w:fldChar w:fldCharType="separate"/>
          </w:r>
          <w:r>
            <w:rPr>
              <w:rFonts w:hint="eastAsia"/>
              <w:sz w:val="24"/>
              <w:szCs w:val="24"/>
              <w:lang w:val="en-US" w:eastAsia="zh-CN"/>
            </w:rPr>
            <w:t>2.4.2主要评价因子筛选</w:t>
          </w:r>
          <w:r>
            <w:rPr>
              <w:sz w:val="24"/>
              <w:szCs w:val="24"/>
            </w:rPr>
            <w:tab/>
          </w:r>
          <w:r>
            <w:rPr>
              <w:sz w:val="24"/>
              <w:szCs w:val="24"/>
            </w:rPr>
            <w:fldChar w:fldCharType="begin"/>
          </w:r>
          <w:r>
            <w:rPr>
              <w:sz w:val="24"/>
              <w:szCs w:val="24"/>
            </w:rPr>
            <w:instrText xml:space="preserve"> PAGEREF _Toc22267 \h </w:instrText>
          </w:r>
          <w:r>
            <w:rPr>
              <w:sz w:val="24"/>
              <w:szCs w:val="24"/>
            </w:rPr>
            <w:fldChar w:fldCharType="separate"/>
          </w:r>
          <w:r>
            <w:rPr>
              <w:sz w:val="24"/>
              <w:szCs w:val="24"/>
            </w:rPr>
            <w:t>14</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_Toc15830 </w:instrText>
          </w:r>
          <w:r>
            <w:rPr>
              <w:sz w:val="24"/>
              <w:szCs w:val="24"/>
            </w:rPr>
            <w:fldChar w:fldCharType="separate"/>
          </w:r>
          <w:r>
            <w:rPr>
              <w:rFonts w:hint="eastAsia"/>
              <w:sz w:val="24"/>
              <w:szCs w:val="24"/>
              <w:lang w:val="en-US" w:eastAsia="zh-CN"/>
            </w:rPr>
            <w:t>2.5评价标准</w:t>
          </w:r>
          <w:r>
            <w:rPr>
              <w:sz w:val="24"/>
              <w:szCs w:val="24"/>
            </w:rPr>
            <w:tab/>
          </w:r>
          <w:r>
            <w:rPr>
              <w:sz w:val="24"/>
              <w:szCs w:val="24"/>
            </w:rPr>
            <w:fldChar w:fldCharType="begin"/>
          </w:r>
          <w:r>
            <w:rPr>
              <w:sz w:val="24"/>
              <w:szCs w:val="24"/>
            </w:rPr>
            <w:instrText xml:space="preserve"> PAGEREF _Toc15830 \h </w:instrText>
          </w:r>
          <w:r>
            <w:rPr>
              <w:sz w:val="24"/>
              <w:szCs w:val="24"/>
            </w:rPr>
            <w:fldChar w:fldCharType="separate"/>
          </w:r>
          <w:r>
            <w:rPr>
              <w:sz w:val="24"/>
              <w:szCs w:val="24"/>
            </w:rPr>
            <w:t>15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_Toc22254 </w:instrText>
          </w:r>
          <w:r>
            <w:rPr>
              <w:sz w:val="24"/>
              <w:szCs w:val="24"/>
            </w:rPr>
            <w:fldChar w:fldCharType="separate"/>
          </w:r>
          <w:r>
            <w:rPr>
              <w:rFonts w:hint="eastAsia"/>
              <w:sz w:val="24"/>
              <w:szCs w:val="24"/>
              <w:lang w:val="en-US" w:eastAsia="zh-CN"/>
            </w:rPr>
            <w:t>2.5.1环境质量标准</w:t>
          </w:r>
          <w:r>
            <w:rPr>
              <w:sz w:val="24"/>
              <w:szCs w:val="24"/>
            </w:rPr>
            <w:tab/>
          </w:r>
          <w:r>
            <w:rPr>
              <w:sz w:val="24"/>
              <w:szCs w:val="24"/>
            </w:rPr>
            <w:fldChar w:fldCharType="begin"/>
          </w:r>
          <w:r>
            <w:rPr>
              <w:sz w:val="24"/>
              <w:szCs w:val="24"/>
            </w:rPr>
            <w:instrText xml:space="preserve"> PAGEREF _Toc22254 \h </w:instrText>
          </w:r>
          <w:r>
            <w:rPr>
              <w:sz w:val="24"/>
              <w:szCs w:val="24"/>
            </w:rPr>
            <w:fldChar w:fldCharType="separate"/>
          </w:r>
          <w:r>
            <w:rPr>
              <w:sz w:val="24"/>
              <w:szCs w:val="24"/>
            </w:rPr>
            <w:t>15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_Toc9696 </w:instrText>
          </w:r>
          <w:r>
            <w:rPr>
              <w:sz w:val="24"/>
              <w:szCs w:val="24"/>
            </w:rPr>
            <w:fldChar w:fldCharType="separate"/>
          </w:r>
          <w:r>
            <w:rPr>
              <w:rFonts w:hint="eastAsia"/>
              <w:sz w:val="24"/>
              <w:szCs w:val="24"/>
              <w:lang w:val="en-US" w:eastAsia="zh-CN"/>
            </w:rPr>
            <w:t>2.5.2污染物排放标准</w:t>
          </w:r>
          <w:r>
            <w:rPr>
              <w:sz w:val="24"/>
              <w:szCs w:val="24"/>
            </w:rPr>
            <w:tab/>
          </w:r>
          <w:r>
            <w:rPr>
              <w:sz w:val="24"/>
              <w:szCs w:val="24"/>
            </w:rPr>
            <w:fldChar w:fldCharType="begin"/>
          </w:r>
          <w:r>
            <w:rPr>
              <w:sz w:val="24"/>
              <w:szCs w:val="24"/>
            </w:rPr>
            <w:instrText xml:space="preserve"> PAGEREF _Toc9696 \h </w:instrText>
          </w:r>
          <w:r>
            <w:rPr>
              <w:sz w:val="24"/>
              <w:szCs w:val="24"/>
            </w:rPr>
            <w:fldChar w:fldCharType="separate"/>
          </w:r>
          <w:r>
            <w:rPr>
              <w:sz w:val="24"/>
              <w:szCs w:val="24"/>
            </w:rPr>
            <w:t>16</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_Toc8393 </w:instrText>
          </w:r>
          <w:r>
            <w:rPr>
              <w:sz w:val="24"/>
              <w:szCs w:val="24"/>
            </w:rPr>
            <w:fldChar w:fldCharType="separate"/>
          </w:r>
          <w:r>
            <w:rPr>
              <w:rFonts w:hint="eastAsia"/>
              <w:sz w:val="24"/>
              <w:szCs w:val="24"/>
              <w:lang w:val="en-US" w:eastAsia="zh-CN"/>
            </w:rPr>
            <w:t>2.6评价工作等级</w:t>
          </w:r>
          <w:r>
            <w:rPr>
              <w:sz w:val="24"/>
              <w:szCs w:val="24"/>
            </w:rPr>
            <w:tab/>
          </w:r>
          <w:r>
            <w:rPr>
              <w:sz w:val="24"/>
              <w:szCs w:val="24"/>
            </w:rPr>
            <w:fldChar w:fldCharType="begin"/>
          </w:r>
          <w:r>
            <w:rPr>
              <w:sz w:val="24"/>
              <w:szCs w:val="24"/>
            </w:rPr>
            <w:instrText xml:space="preserve"> PAGEREF _Toc8393 \h </w:instrText>
          </w:r>
          <w:r>
            <w:rPr>
              <w:sz w:val="24"/>
              <w:szCs w:val="24"/>
            </w:rPr>
            <w:fldChar w:fldCharType="separate"/>
          </w:r>
          <w:r>
            <w:rPr>
              <w:sz w:val="24"/>
              <w:szCs w:val="24"/>
            </w:rPr>
            <w:t>19</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_Toc5504 </w:instrText>
          </w:r>
          <w:r>
            <w:rPr>
              <w:sz w:val="24"/>
              <w:szCs w:val="24"/>
            </w:rPr>
            <w:fldChar w:fldCharType="separate"/>
          </w:r>
          <w:r>
            <w:rPr>
              <w:rFonts w:hint="eastAsia"/>
              <w:sz w:val="24"/>
              <w:szCs w:val="24"/>
              <w:lang w:val="en-US" w:eastAsia="zh-CN"/>
            </w:rPr>
            <w:t>2.6.1</w:t>
          </w:r>
          <w:r>
            <w:rPr>
              <w:sz w:val="24"/>
              <w:szCs w:val="24"/>
            </w:rPr>
            <w:t>大气环境评价等级</w:t>
          </w:r>
          <w:r>
            <w:rPr>
              <w:sz w:val="24"/>
              <w:szCs w:val="24"/>
            </w:rPr>
            <w:tab/>
          </w:r>
          <w:r>
            <w:rPr>
              <w:sz w:val="24"/>
              <w:szCs w:val="24"/>
            </w:rPr>
            <w:fldChar w:fldCharType="begin"/>
          </w:r>
          <w:r>
            <w:rPr>
              <w:sz w:val="24"/>
              <w:szCs w:val="24"/>
            </w:rPr>
            <w:instrText xml:space="preserve"> PAGEREF _Toc5504 \h </w:instrText>
          </w:r>
          <w:r>
            <w:rPr>
              <w:sz w:val="24"/>
              <w:szCs w:val="24"/>
            </w:rPr>
            <w:fldChar w:fldCharType="separate"/>
          </w:r>
          <w:r>
            <w:rPr>
              <w:sz w:val="24"/>
              <w:szCs w:val="24"/>
            </w:rPr>
            <w:t>19</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_Toc28917 </w:instrText>
          </w:r>
          <w:r>
            <w:rPr>
              <w:sz w:val="24"/>
              <w:szCs w:val="24"/>
            </w:rPr>
            <w:fldChar w:fldCharType="separate"/>
          </w:r>
          <w:r>
            <w:rPr>
              <w:rFonts w:hint="eastAsia"/>
              <w:sz w:val="24"/>
              <w:szCs w:val="24"/>
              <w:lang w:val="en-US" w:eastAsia="zh-CN"/>
            </w:rPr>
            <w:t>2.6.2地表水环境评价等级</w:t>
          </w:r>
          <w:r>
            <w:rPr>
              <w:sz w:val="24"/>
              <w:szCs w:val="24"/>
            </w:rPr>
            <w:tab/>
          </w:r>
          <w:r>
            <w:rPr>
              <w:sz w:val="24"/>
              <w:szCs w:val="24"/>
            </w:rPr>
            <w:fldChar w:fldCharType="begin"/>
          </w:r>
          <w:r>
            <w:rPr>
              <w:sz w:val="24"/>
              <w:szCs w:val="24"/>
            </w:rPr>
            <w:instrText xml:space="preserve"> PAGEREF _Toc28917 \h </w:instrText>
          </w:r>
          <w:r>
            <w:rPr>
              <w:sz w:val="24"/>
              <w:szCs w:val="24"/>
            </w:rPr>
            <w:fldChar w:fldCharType="separate"/>
          </w:r>
          <w:r>
            <w:rPr>
              <w:sz w:val="24"/>
              <w:szCs w:val="24"/>
            </w:rPr>
            <w:t>21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_Toc13301 </w:instrText>
          </w:r>
          <w:r>
            <w:rPr>
              <w:sz w:val="24"/>
              <w:szCs w:val="24"/>
            </w:rPr>
            <w:fldChar w:fldCharType="separate"/>
          </w:r>
          <w:r>
            <w:rPr>
              <w:rFonts w:hint="eastAsia"/>
              <w:sz w:val="24"/>
              <w:szCs w:val="24"/>
              <w:lang w:val="en-US" w:eastAsia="zh-CN"/>
            </w:rPr>
            <w:t>2.6.3地下水环评评价等级</w:t>
          </w:r>
          <w:r>
            <w:rPr>
              <w:sz w:val="24"/>
              <w:szCs w:val="24"/>
            </w:rPr>
            <w:tab/>
          </w:r>
          <w:r>
            <w:rPr>
              <w:sz w:val="24"/>
              <w:szCs w:val="24"/>
            </w:rPr>
            <w:fldChar w:fldCharType="begin"/>
          </w:r>
          <w:r>
            <w:rPr>
              <w:sz w:val="24"/>
              <w:szCs w:val="24"/>
            </w:rPr>
            <w:instrText xml:space="preserve"> PAGEREF _Toc13301 \h </w:instrText>
          </w:r>
          <w:r>
            <w:rPr>
              <w:sz w:val="24"/>
              <w:szCs w:val="24"/>
            </w:rPr>
            <w:fldChar w:fldCharType="separate"/>
          </w:r>
          <w:r>
            <w:rPr>
              <w:sz w:val="24"/>
              <w:szCs w:val="24"/>
            </w:rPr>
            <w:t>21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_Toc9287 </w:instrText>
          </w:r>
          <w:r>
            <w:rPr>
              <w:sz w:val="24"/>
              <w:szCs w:val="24"/>
            </w:rPr>
            <w:fldChar w:fldCharType="separate"/>
          </w:r>
          <w:r>
            <w:rPr>
              <w:rFonts w:hint="eastAsia"/>
              <w:sz w:val="24"/>
              <w:szCs w:val="24"/>
              <w:lang w:val="en-US" w:eastAsia="zh-CN"/>
            </w:rPr>
            <w:t>2.6.4声环境评价等级</w:t>
          </w:r>
          <w:r>
            <w:rPr>
              <w:sz w:val="24"/>
              <w:szCs w:val="24"/>
            </w:rPr>
            <w:tab/>
          </w:r>
          <w:r>
            <w:rPr>
              <w:sz w:val="24"/>
              <w:szCs w:val="24"/>
            </w:rPr>
            <w:fldChar w:fldCharType="begin"/>
          </w:r>
          <w:r>
            <w:rPr>
              <w:sz w:val="24"/>
              <w:szCs w:val="24"/>
            </w:rPr>
            <w:instrText xml:space="preserve"> PAGEREF _Toc9287 \h </w:instrText>
          </w:r>
          <w:r>
            <w:rPr>
              <w:sz w:val="24"/>
              <w:szCs w:val="24"/>
            </w:rPr>
            <w:fldChar w:fldCharType="separate"/>
          </w:r>
          <w:r>
            <w:rPr>
              <w:sz w:val="24"/>
              <w:szCs w:val="24"/>
            </w:rPr>
            <w:t>21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_Toc15119 </w:instrText>
          </w:r>
          <w:r>
            <w:rPr>
              <w:sz w:val="24"/>
              <w:szCs w:val="24"/>
            </w:rPr>
            <w:fldChar w:fldCharType="separate"/>
          </w:r>
          <w:r>
            <w:rPr>
              <w:rFonts w:hint="eastAsia"/>
              <w:sz w:val="24"/>
              <w:szCs w:val="24"/>
              <w:lang w:val="en-US" w:eastAsia="zh-CN"/>
            </w:rPr>
            <w:t>2.6.5土壤环境评价等级</w:t>
          </w:r>
          <w:r>
            <w:rPr>
              <w:sz w:val="24"/>
              <w:szCs w:val="24"/>
            </w:rPr>
            <w:tab/>
          </w:r>
          <w:r>
            <w:rPr>
              <w:sz w:val="24"/>
              <w:szCs w:val="24"/>
            </w:rPr>
            <w:fldChar w:fldCharType="begin"/>
          </w:r>
          <w:r>
            <w:rPr>
              <w:sz w:val="24"/>
              <w:szCs w:val="24"/>
            </w:rPr>
            <w:instrText xml:space="preserve"> PAGEREF _Toc15119 \h </w:instrText>
          </w:r>
          <w:r>
            <w:rPr>
              <w:sz w:val="24"/>
              <w:szCs w:val="24"/>
            </w:rPr>
            <w:fldChar w:fldCharType="separate"/>
          </w:r>
          <w:r>
            <w:rPr>
              <w:sz w:val="24"/>
              <w:szCs w:val="24"/>
            </w:rPr>
            <w:t>22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_Toc17521 </w:instrText>
          </w:r>
          <w:r>
            <w:rPr>
              <w:sz w:val="24"/>
              <w:szCs w:val="24"/>
            </w:rPr>
            <w:fldChar w:fldCharType="separate"/>
          </w:r>
          <w:r>
            <w:rPr>
              <w:rFonts w:hint="eastAsia"/>
              <w:sz w:val="24"/>
              <w:szCs w:val="24"/>
              <w:lang w:val="en-US" w:eastAsia="zh-CN"/>
            </w:rPr>
            <w:t>2.6.6生态评价工作等级</w:t>
          </w:r>
          <w:r>
            <w:rPr>
              <w:sz w:val="24"/>
              <w:szCs w:val="24"/>
            </w:rPr>
            <w:tab/>
          </w:r>
          <w:r>
            <w:rPr>
              <w:sz w:val="24"/>
              <w:szCs w:val="24"/>
            </w:rPr>
            <w:fldChar w:fldCharType="begin"/>
          </w:r>
          <w:r>
            <w:rPr>
              <w:sz w:val="24"/>
              <w:szCs w:val="24"/>
            </w:rPr>
            <w:instrText xml:space="preserve"> PAGEREF _Toc17521 \h </w:instrText>
          </w:r>
          <w:r>
            <w:rPr>
              <w:sz w:val="24"/>
              <w:szCs w:val="24"/>
            </w:rPr>
            <w:fldChar w:fldCharType="separate"/>
          </w:r>
          <w:r>
            <w:rPr>
              <w:sz w:val="24"/>
              <w:szCs w:val="24"/>
            </w:rPr>
            <w:t>22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_Toc28747 </w:instrText>
          </w:r>
          <w:r>
            <w:rPr>
              <w:sz w:val="24"/>
              <w:szCs w:val="24"/>
            </w:rPr>
            <w:fldChar w:fldCharType="separate"/>
          </w:r>
          <w:r>
            <w:rPr>
              <w:rFonts w:hint="eastAsia"/>
              <w:sz w:val="24"/>
              <w:szCs w:val="24"/>
              <w:lang w:val="en-US" w:eastAsia="zh-CN"/>
            </w:rPr>
            <w:t>2.6.7</w:t>
          </w:r>
          <w:r>
            <w:rPr>
              <w:sz w:val="24"/>
              <w:szCs w:val="24"/>
            </w:rPr>
            <w:t>风险影响评价工作等级</w:t>
          </w:r>
          <w:r>
            <w:rPr>
              <w:sz w:val="24"/>
              <w:szCs w:val="24"/>
            </w:rPr>
            <w:tab/>
          </w:r>
          <w:r>
            <w:rPr>
              <w:sz w:val="24"/>
              <w:szCs w:val="24"/>
            </w:rPr>
            <w:fldChar w:fldCharType="begin"/>
          </w:r>
          <w:r>
            <w:rPr>
              <w:sz w:val="24"/>
              <w:szCs w:val="24"/>
            </w:rPr>
            <w:instrText xml:space="preserve"> PAGEREF _Toc28747 \h </w:instrText>
          </w:r>
          <w:r>
            <w:rPr>
              <w:sz w:val="24"/>
              <w:szCs w:val="24"/>
            </w:rPr>
            <w:fldChar w:fldCharType="separate"/>
          </w:r>
          <w:r>
            <w:rPr>
              <w:sz w:val="24"/>
              <w:szCs w:val="24"/>
            </w:rPr>
            <w:t>22</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_Toc16683 </w:instrText>
          </w:r>
          <w:r>
            <w:rPr>
              <w:sz w:val="24"/>
              <w:szCs w:val="24"/>
            </w:rPr>
            <w:fldChar w:fldCharType="separate"/>
          </w:r>
          <w:r>
            <w:rPr>
              <w:rFonts w:hint="eastAsia"/>
              <w:sz w:val="24"/>
              <w:szCs w:val="24"/>
              <w:lang w:val="en-US" w:eastAsia="zh-CN"/>
            </w:rPr>
            <w:t>2.7评价范围</w:t>
          </w:r>
          <w:r>
            <w:rPr>
              <w:sz w:val="24"/>
              <w:szCs w:val="24"/>
            </w:rPr>
            <w:tab/>
          </w:r>
          <w:r>
            <w:rPr>
              <w:sz w:val="24"/>
              <w:szCs w:val="24"/>
            </w:rPr>
            <w:fldChar w:fldCharType="begin"/>
          </w:r>
          <w:r>
            <w:rPr>
              <w:sz w:val="24"/>
              <w:szCs w:val="24"/>
            </w:rPr>
            <w:instrText xml:space="preserve"> PAGEREF _Toc16683 \h </w:instrText>
          </w:r>
          <w:r>
            <w:rPr>
              <w:sz w:val="24"/>
              <w:szCs w:val="24"/>
            </w:rPr>
            <w:fldChar w:fldCharType="separate"/>
          </w:r>
          <w:r>
            <w:rPr>
              <w:sz w:val="24"/>
              <w:szCs w:val="24"/>
            </w:rPr>
            <w:t>23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_Toc3056 </w:instrText>
          </w:r>
          <w:r>
            <w:rPr>
              <w:sz w:val="24"/>
              <w:szCs w:val="24"/>
            </w:rPr>
            <w:fldChar w:fldCharType="separate"/>
          </w:r>
          <w:r>
            <w:rPr>
              <w:rFonts w:hint="eastAsia"/>
              <w:sz w:val="24"/>
              <w:szCs w:val="24"/>
              <w:lang w:val="en-US" w:eastAsia="zh-CN"/>
            </w:rPr>
            <w:t>2.7.1大气环境影响评价范围</w:t>
          </w:r>
          <w:r>
            <w:rPr>
              <w:sz w:val="24"/>
              <w:szCs w:val="24"/>
            </w:rPr>
            <w:tab/>
          </w:r>
          <w:r>
            <w:rPr>
              <w:sz w:val="24"/>
              <w:szCs w:val="24"/>
            </w:rPr>
            <w:fldChar w:fldCharType="begin"/>
          </w:r>
          <w:r>
            <w:rPr>
              <w:sz w:val="24"/>
              <w:szCs w:val="24"/>
            </w:rPr>
            <w:instrText xml:space="preserve"> PAGEREF _Toc3056 \h </w:instrText>
          </w:r>
          <w:r>
            <w:rPr>
              <w:sz w:val="24"/>
              <w:szCs w:val="24"/>
            </w:rPr>
            <w:fldChar w:fldCharType="separate"/>
          </w:r>
          <w:r>
            <w:rPr>
              <w:sz w:val="24"/>
              <w:szCs w:val="24"/>
            </w:rPr>
            <w:t>23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_Toc869 </w:instrText>
          </w:r>
          <w:r>
            <w:rPr>
              <w:sz w:val="24"/>
              <w:szCs w:val="24"/>
            </w:rPr>
            <w:fldChar w:fldCharType="separate"/>
          </w:r>
          <w:r>
            <w:rPr>
              <w:rFonts w:hint="eastAsia"/>
              <w:sz w:val="24"/>
              <w:szCs w:val="24"/>
              <w:lang w:val="en-US" w:eastAsia="zh-CN"/>
            </w:rPr>
            <w:t>2.7.2水环境影响评价范围</w:t>
          </w:r>
          <w:r>
            <w:rPr>
              <w:sz w:val="24"/>
              <w:szCs w:val="24"/>
            </w:rPr>
            <w:tab/>
          </w:r>
          <w:r>
            <w:rPr>
              <w:sz w:val="24"/>
              <w:szCs w:val="24"/>
            </w:rPr>
            <w:fldChar w:fldCharType="begin"/>
          </w:r>
          <w:r>
            <w:rPr>
              <w:sz w:val="24"/>
              <w:szCs w:val="24"/>
            </w:rPr>
            <w:instrText xml:space="preserve"> PAGEREF _Toc869 \h </w:instrText>
          </w:r>
          <w:r>
            <w:rPr>
              <w:sz w:val="24"/>
              <w:szCs w:val="24"/>
            </w:rPr>
            <w:fldChar w:fldCharType="separate"/>
          </w:r>
          <w:r>
            <w:rPr>
              <w:sz w:val="24"/>
              <w:szCs w:val="24"/>
            </w:rPr>
            <w:t>23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_Toc9700 </w:instrText>
          </w:r>
          <w:r>
            <w:rPr>
              <w:sz w:val="24"/>
              <w:szCs w:val="24"/>
            </w:rPr>
            <w:fldChar w:fldCharType="separate"/>
          </w:r>
          <w:r>
            <w:rPr>
              <w:rFonts w:hint="eastAsia"/>
              <w:sz w:val="24"/>
              <w:szCs w:val="24"/>
              <w:lang w:val="en-US" w:eastAsia="zh-CN"/>
            </w:rPr>
            <w:t>2.7.3声环境影响评价范围</w:t>
          </w:r>
          <w:r>
            <w:rPr>
              <w:sz w:val="24"/>
              <w:szCs w:val="24"/>
            </w:rPr>
            <w:tab/>
          </w:r>
          <w:r>
            <w:rPr>
              <w:sz w:val="24"/>
              <w:szCs w:val="24"/>
            </w:rPr>
            <w:fldChar w:fldCharType="begin"/>
          </w:r>
          <w:r>
            <w:rPr>
              <w:sz w:val="24"/>
              <w:szCs w:val="24"/>
            </w:rPr>
            <w:instrText xml:space="preserve"> PAGEREF _Toc9700 \h </w:instrText>
          </w:r>
          <w:r>
            <w:rPr>
              <w:sz w:val="24"/>
              <w:szCs w:val="24"/>
            </w:rPr>
            <w:fldChar w:fldCharType="separate"/>
          </w:r>
          <w:r>
            <w:rPr>
              <w:sz w:val="24"/>
              <w:szCs w:val="24"/>
            </w:rPr>
            <w:t>23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_Toc13122 </w:instrText>
          </w:r>
          <w:r>
            <w:rPr>
              <w:sz w:val="24"/>
              <w:szCs w:val="24"/>
            </w:rPr>
            <w:fldChar w:fldCharType="separate"/>
          </w:r>
          <w:r>
            <w:rPr>
              <w:rFonts w:hint="eastAsia"/>
              <w:sz w:val="24"/>
              <w:szCs w:val="24"/>
              <w:lang w:val="en-US" w:eastAsia="zh-CN"/>
            </w:rPr>
            <w:t>2.7.4生态环境影响范围</w:t>
          </w:r>
          <w:r>
            <w:rPr>
              <w:sz w:val="24"/>
              <w:szCs w:val="24"/>
            </w:rPr>
            <w:tab/>
          </w:r>
          <w:r>
            <w:rPr>
              <w:sz w:val="24"/>
              <w:szCs w:val="24"/>
            </w:rPr>
            <w:fldChar w:fldCharType="begin"/>
          </w:r>
          <w:r>
            <w:rPr>
              <w:sz w:val="24"/>
              <w:szCs w:val="24"/>
            </w:rPr>
            <w:instrText xml:space="preserve"> PAGEREF _Toc13122 \h </w:instrText>
          </w:r>
          <w:r>
            <w:rPr>
              <w:sz w:val="24"/>
              <w:szCs w:val="24"/>
            </w:rPr>
            <w:fldChar w:fldCharType="separate"/>
          </w:r>
          <w:r>
            <w:rPr>
              <w:sz w:val="24"/>
              <w:szCs w:val="24"/>
            </w:rPr>
            <w:t>23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_Toc15949 </w:instrText>
          </w:r>
          <w:r>
            <w:rPr>
              <w:sz w:val="24"/>
              <w:szCs w:val="24"/>
            </w:rPr>
            <w:fldChar w:fldCharType="separate"/>
          </w:r>
          <w:r>
            <w:rPr>
              <w:rFonts w:hint="eastAsia"/>
              <w:sz w:val="24"/>
              <w:szCs w:val="24"/>
              <w:lang w:val="en-US" w:eastAsia="zh-CN"/>
            </w:rPr>
            <w:t>2.7.5土壤环境影响范围</w:t>
          </w:r>
          <w:r>
            <w:rPr>
              <w:sz w:val="24"/>
              <w:szCs w:val="24"/>
            </w:rPr>
            <w:tab/>
          </w:r>
          <w:r>
            <w:rPr>
              <w:sz w:val="24"/>
              <w:szCs w:val="24"/>
            </w:rPr>
            <w:fldChar w:fldCharType="begin"/>
          </w:r>
          <w:r>
            <w:rPr>
              <w:sz w:val="24"/>
              <w:szCs w:val="24"/>
            </w:rPr>
            <w:instrText xml:space="preserve"> PAGEREF _Toc15949 \h </w:instrText>
          </w:r>
          <w:r>
            <w:rPr>
              <w:sz w:val="24"/>
              <w:szCs w:val="24"/>
            </w:rPr>
            <w:fldChar w:fldCharType="separate"/>
          </w:r>
          <w:r>
            <w:rPr>
              <w:sz w:val="24"/>
              <w:szCs w:val="24"/>
            </w:rPr>
            <w:t>24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_Toc3753 </w:instrText>
          </w:r>
          <w:r>
            <w:rPr>
              <w:sz w:val="24"/>
              <w:szCs w:val="24"/>
            </w:rPr>
            <w:fldChar w:fldCharType="separate"/>
          </w:r>
          <w:r>
            <w:rPr>
              <w:rFonts w:hint="eastAsia"/>
              <w:sz w:val="24"/>
              <w:szCs w:val="24"/>
              <w:lang w:val="en-US" w:eastAsia="zh-CN"/>
            </w:rPr>
            <w:t>2.7.6环境风险影响评价范围</w:t>
          </w:r>
          <w:r>
            <w:rPr>
              <w:sz w:val="24"/>
              <w:szCs w:val="24"/>
            </w:rPr>
            <w:tab/>
          </w:r>
          <w:r>
            <w:rPr>
              <w:sz w:val="24"/>
              <w:szCs w:val="24"/>
            </w:rPr>
            <w:fldChar w:fldCharType="begin"/>
          </w:r>
          <w:r>
            <w:rPr>
              <w:sz w:val="24"/>
              <w:szCs w:val="24"/>
            </w:rPr>
            <w:instrText xml:space="preserve"> PAGEREF _Toc3753 \h </w:instrText>
          </w:r>
          <w:r>
            <w:rPr>
              <w:sz w:val="24"/>
              <w:szCs w:val="24"/>
            </w:rPr>
            <w:fldChar w:fldCharType="separate"/>
          </w:r>
          <w:r>
            <w:rPr>
              <w:sz w:val="24"/>
              <w:szCs w:val="24"/>
            </w:rPr>
            <w:t>24</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_Toc26699 </w:instrText>
          </w:r>
          <w:r>
            <w:rPr>
              <w:sz w:val="24"/>
              <w:szCs w:val="24"/>
            </w:rPr>
            <w:fldChar w:fldCharType="separate"/>
          </w:r>
          <w:r>
            <w:rPr>
              <w:rFonts w:hint="eastAsia"/>
              <w:sz w:val="24"/>
              <w:szCs w:val="24"/>
              <w:lang w:val="en-US" w:eastAsia="zh-CN"/>
            </w:rPr>
            <w:t>2.8</w:t>
          </w:r>
          <w:r>
            <w:rPr>
              <w:sz w:val="24"/>
              <w:szCs w:val="24"/>
            </w:rPr>
            <w:t>污染控制和环境保护目标</w:t>
          </w:r>
          <w:r>
            <w:rPr>
              <w:sz w:val="24"/>
              <w:szCs w:val="24"/>
            </w:rPr>
            <w:tab/>
          </w:r>
          <w:r>
            <w:rPr>
              <w:sz w:val="24"/>
              <w:szCs w:val="24"/>
            </w:rPr>
            <w:fldChar w:fldCharType="begin"/>
          </w:r>
          <w:r>
            <w:rPr>
              <w:sz w:val="24"/>
              <w:szCs w:val="24"/>
            </w:rPr>
            <w:instrText xml:space="preserve"> PAGEREF _Toc26699 \h </w:instrText>
          </w:r>
          <w:r>
            <w:rPr>
              <w:sz w:val="24"/>
              <w:szCs w:val="24"/>
            </w:rPr>
            <w:fldChar w:fldCharType="separate"/>
          </w:r>
          <w:r>
            <w:rPr>
              <w:sz w:val="24"/>
              <w:szCs w:val="24"/>
            </w:rPr>
            <w:t>24</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_Toc23989 </w:instrText>
          </w:r>
          <w:r>
            <w:rPr>
              <w:sz w:val="24"/>
              <w:szCs w:val="24"/>
            </w:rPr>
            <w:fldChar w:fldCharType="separate"/>
          </w:r>
          <w:r>
            <w:rPr>
              <w:rFonts w:hint="eastAsia"/>
              <w:sz w:val="24"/>
              <w:szCs w:val="24"/>
              <w:lang w:val="en-US" w:eastAsia="zh-CN"/>
            </w:rPr>
            <w:t>2.9</w:t>
          </w:r>
          <w:r>
            <w:rPr>
              <w:sz w:val="24"/>
              <w:szCs w:val="24"/>
            </w:rPr>
            <w:t>产业政策与相关政策相符性</w:t>
          </w:r>
          <w:r>
            <w:rPr>
              <w:sz w:val="24"/>
              <w:szCs w:val="24"/>
            </w:rPr>
            <w:tab/>
          </w:r>
          <w:r>
            <w:rPr>
              <w:sz w:val="24"/>
              <w:szCs w:val="24"/>
            </w:rPr>
            <w:fldChar w:fldCharType="begin"/>
          </w:r>
          <w:r>
            <w:rPr>
              <w:sz w:val="24"/>
              <w:szCs w:val="24"/>
            </w:rPr>
            <w:instrText xml:space="preserve"> PAGEREF _Toc23989 \h </w:instrText>
          </w:r>
          <w:r>
            <w:rPr>
              <w:sz w:val="24"/>
              <w:szCs w:val="24"/>
            </w:rPr>
            <w:fldChar w:fldCharType="separate"/>
          </w:r>
          <w:r>
            <w:rPr>
              <w:sz w:val="24"/>
              <w:szCs w:val="24"/>
            </w:rPr>
            <w:t>24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_Toc3900 </w:instrText>
          </w:r>
          <w:r>
            <w:rPr>
              <w:sz w:val="24"/>
              <w:szCs w:val="24"/>
            </w:rPr>
            <w:fldChar w:fldCharType="separate"/>
          </w:r>
          <w:r>
            <w:rPr>
              <w:sz w:val="24"/>
              <w:szCs w:val="24"/>
            </w:rPr>
            <w:t>2.</w:t>
          </w:r>
          <w:r>
            <w:rPr>
              <w:rFonts w:hint="eastAsia"/>
              <w:sz w:val="24"/>
              <w:szCs w:val="24"/>
              <w:lang w:val="en-US" w:eastAsia="zh-CN"/>
            </w:rPr>
            <w:t>9</w:t>
          </w:r>
          <w:r>
            <w:rPr>
              <w:sz w:val="24"/>
              <w:szCs w:val="24"/>
            </w:rPr>
            <w:t>.1产业政策相符性</w:t>
          </w:r>
          <w:r>
            <w:rPr>
              <w:sz w:val="24"/>
              <w:szCs w:val="24"/>
            </w:rPr>
            <w:tab/>
          </w:r>
          <w:r>
            <w:rPr>
              <w:sz w:val="24"/>
              <w:szCs w:val="24"/>
            </w:rPr>
            <w:fldChar w:fldCharType="begin"/>
          </w:r>
          <w:r>
            <w:rPr>
              <w:sz w:val="24"/>
              <w:szCs w:val="24"/>
            </w:rPr>
            <w:instrText xml:space="preserve"> PAGEREF _Toc3900 \h </w:instrText>
          </w:r>
          <w:r>
            <w:rPr>
              <w:sz w:val="24"/>
              <w:szCs w:val="24"/>
            </w:rPr>
            <w:fldChar w:fldCharType="separate"/>
          </w:r>
          <w:r>
            <w:rPr>
              <w:sz w:val="24"/>
              <w:szCs w:val="24"/>
            </w:rPr>
            <w:t>24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_Toc15176 </w:instrText>
          </w:r>
          <w:r>
            <w:rPr>
              <w:sz w:val="24"/>
              <w:szCs w:val="24"/>
            </w:rPr>
            <w:fldChar w:fldCharType="separate"/>
          </w:r>
          <w:r>
            <w:rPr>
              <w:rFonts w:hint="eastAsia"/>
              <w:sz w:val="24"/>
              <w:szCs w:val="24"/>
              <w:lang w:val="en-US" w:eastAsia="zh-CN"/>
            </w:rPr>
            <w:t>2.9.2三线一单符合性分析</w:t>
          </w:r>
          <w:r>
            <w:rPr>
              <w:sz w:val="24"/>
              <w:szCs w:val="24"/>
            </w:rPr>
            <w:tab/>
          </w:r>
          <w:r>
            <w:rPr>
              <w:sz w:val="24"/>
              <w:szCs w:val="24"/>
            </w:rPr>
            <w:fldChar w:fldCharType="begin"/>
          </w:r>
          <w:r>
            <w:rPr>
              <w:sz w:val="24"/>
              <w:szCs w:val="24"/>
            </w:rPr>
            <w:instrText xml:space="preserve"> PAGEREF _Toc15176 \h </w:instrText>
          </w:r>
          <w:r>
            <w:rPr>
              <w:sz w:val="24"/>
              <w:szCs w:val="24"/>
            </w:rPr>
            <w:fldChar w:fldCharType="separate"/>
          </w:r>
          <w:r>
            <w:rPr>
              <w:sz w:val="24"/>
              <w:szCs w:val="24"/>
            </w:rPr>
            <w:t>24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_Toc21358 </w:instrText>
          </w:r>
          <w:r>
            <w:rPr>
              <w:sz w:val="24"/>
              <w:szCs w:val="24"/>
            </w:rPr>
            <w:fldChar w:fldCharType="separate"/>
          </w:r>
          <w:r>
            <w:rPr>
              <w:rFonts w:hint="eastAsia"/>
              <w:sz w:val="24"/>
              <w:szCs w:val="24"/>
              <w:lang w:val="en-US" w:eastAsia="zh-CN"/>
            </w:rPr>
            <w:t>2.9.3选址符合性分析</w:t>
          </w:r>
          <w:r>
            <w:rPr>
              <w:sz w:val="24"/>
              <w:szCs w:val="24"/>
            </w:rPr>
            <w:tab/>
          </w:r>
          <w:r>
            <w:rPr>
              <w:sz w:val="24"/>
              <w:szCs w:val="24"/>
            </w:rPr>
            <w:fldChar w:fldCharType="begin"/>
          </w:r>
          <w:r>
            <w:rPr>
              <w:sz w:val="24"/>
              <w:szCs w:val="24"/>
            </w:rPr>
            <w:instrText xml:space="preserve"> PAGEREF _Toc21358 \h </w:instrText>
          </w:r>
          <w:r>
            <w:rPr>
              <w:sz w:val="24"/>
              <w:szCs w:val="24"/>
            </w:rPr>
            <w:fldChar w:fldCharType="separate"/>
          </w:r>
          <w:r>
            <w:rPr>
              <w:sz w:val="24"/>
              <w:szCs w:val="24"/>
            </w:rPr>
            <w:t>27</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_Toc23435 </w:instrText>
          </w:r>
          <w:r>
            <w:rPr>
              <w:sz w:val="24"/>
              <w:szCs w:val="24"/>
            </w:rPr>
            <w:fldChar w:fldCharType="separate"/>
          </w:r>
          <w:r>
            <w:rPr>
              <w:sz w:val="24"/>
              <w:szCs w:val="24"/>
            </w:rPr>
            <w:t>2.9.</w:t>
          </w:r>
          <w:r>
            <w:rPr>
              <w:rFonts w:hint="eastAsia"/>
              <w:sz w:val="24"/>
              <w:szCs w:val="24"/>
              <w:lang w:val="en-US" w:eastAsia="zh-CN"/>
            </w:rPr>
            <w:t>4</w:t>
          </w:r>
          <w:r>
            <w:rPr>
              <w:sz w:val="24"/>
              <w:szCs w:val="24"/>
            </w:rPr>
            <w:t>与生物安全相关规范的符合性分析</w:t>
          </w:r>
          <w:r>
            <w:rPr>
              <w:sz w:val="24"/>
              <w:szCs w:val="24"/>
            </w:rPr>
            <w:tab/>
          </w:r>
          <w:r>
            <w:rPr>
              <w:sz w:val="24"/>
              <w:szCs w:val="24"/>
            </w:rPr>
            <w:fldChar w:fldCharType="begin"/>
          </w:r>
          <w:r>
            <w:rPr>
              <w:sz w:val="24"/>
              <w:szCs w:val="24"/>
            </w:rPr>
            <w:instrText xml:space="preserve"> PAGEREF _Toc23435 \h </w:instrText>
          </w:r>
          <w:r>
            <w:rPr>
              <w:sz w:val="24"/>
              <w:szCs w:val="24"/>
            </w:rPr>
            <w:fldChar w:fldCharType="separate"/>
          </w:r>
          <w:r>
            <w:rPr>
              <w:sz w:val="24"/>
              <w:szCs w:val="24"/>
            </w:rPr>
            <w:t>28</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_Toc8502 </w:instrText>
          </w:r>
          <w:r>
            <w:rPr>
              <w:sz w:val="24"/>
              <w:szCs w:val="24"/>
            </w:rPr>
            <w:fldChar w:fldCharType="separate"/>
          </w:r>
          <w:r>
            <w:rPr>
              <w:sz w:val="24"/>
              <w:szCs w:val="24"/>
            </w:rPr>
            <w:t>2.</w:t>
          </w:r>
          <w:r>
            <w:rPr>
              <w:rFonts w:hint="eastAsia"/>
              <w:sz w:val="24"/>
              <w:szCs w:val="24"/>
              <w:lang w:val="en-US" w:eastAsia="zh-CN"/>
            </w:rPr>
            <w:t>9</w:t>
          </w:r>
          <w:r>
            <w:rPr>
              <w:sz w:val="24"/>
              <w:szCs w:val="24"/>
            </w:rPr>
            <w:t>.</w:t>
          </w:r>
          <w:r>
            <w:rPr>
              <w:rFonts w:hint="eastAsia"/>
              <w:sz w:val="24"/>
              <w:szCs w:val="24"/>
              <w:lang w:val="en-US" w:eastAsia="zh-CN"/>
            </w:rPr>
            <w:t>4</w:t>
          </w:r>
          <w:r>
            <w:rPr>
              <w:sz w:val="24"/>
              <w:szCs w:val="24"/>
            </w:rPr>
            <w:t>环境管理政策符合性分析</w:t>
          </w:r>
          <w:r>
            <w:rPr>
              <w:sz w:val="24"/>
              <w:szCs w:val="24"/>
            </w:rPr>
            <w:tab/>
          </w:r>
          <w:r>
            <w:rPr>
              <w:sz w:val="24"/>
              <w:szCs w:val="24"/>
            </w:rPr>
            <w:fldChar w:fldCharType="begin"/>
          </w:r>
          <w:r>
            <w:rPr>
              <w:sz w:val="24"/>
              <w:szCs w:val="24"/>
            </w:rPr>
            <w:instrText xml:space="preserve"> PAGEREF _Toc8502 \h </w:instrText>
          </w:r>
          <w:r>
            <w:rPr>
              <w:sz w:val="24"/>
              <w:szCs w:val="24"/>
            </w:rPr>
            <w:fldChar w:fldCharType="separate"/>
          </w:r>
          <w:r>
            <w:rPr>
              <w:sz w:val="24"/>
              <w:szCs w:val="24"/>
            </w:rPr>
            <w:t>30</w:t>
          </w:r>
          <w:r>
            <w:rPr>
              <w:sz w:val="24"/>
              <w:szCs w:val="24"/>
            </w:rPr>
            <w:fldChar w:fldCharType="end"/>
          </w:r>
          <w:r>
            <w:rPr>
              <w:color w:val="0000FF"/>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color w:val="0000FF"/>
              <w:sz w:val="24"/>
              <w:szCs w:val="24"/>
            </w:rPr>
            <w:sectPr>
              <w:headerReference r:id="rId5" w:type="default"/>
              <w:footerReference r:id="rId6" w:type="default"/>
              <w:pgSz w:w="11906" w:h="16838"/>
              <w:pgMar w:top="1440" w:right="1800" w:bottom="1440" w:left="1800" w:header="1077"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_Toc1830 </w:instrText>
          </w:r>
          <w:r>
            <w:rPr>
              <w:sz w:val="24"/>
              <w:szCs w:val="24"/>
            </w:rPr>
            <w:fldChar w:fldCharType="separate"/>
          </w:r>
          <w:r>
            <w:rPr>
              <w:rFonts w:hint="eastAsia"/>
              <w:sz w:val="24"/>
              <w:szCs w:val="24"/>
              <w:lang w:val="en-US" w:eastAsia="zh-CN"/>
            </w:rPr>
            <w:t>3建设项目工程分析</w:t>
          </w:r>
          <w:r>
            <w:rPr>
              <w:sz w:val="24"/>
              <w:szCs w:val="24"/>
            </w:rPr>
            <w:tab/>
          </w:r>
          <w:r>
            <w:rPr>
              <w:sz w:val="24"/>
              <w:szCs w:val="24"/>
            </w:rPr>
            <w:fldChar w:fldCharType="begin"/>
          </w:r>
          <w:r>
            <w:rPr>
              <w:sz w:val="24"/>
              <w:szCs w:val="24"/>
            </w:rPr>
            <w:instrText xml:space="preserve"> PAGEREF _Toc1830 \h </w:instrText>
          </w:r>
          <w:r>
            <w:rPr>
              <w:sz w:val="24"/>
              <w:szCs w:val="24"/>
            </w:rPr>
            <w:fldChar w:fldCharType="separate"/>
          </w:r>
          <w:r>
            <w:rPr>
              <w:sz w:val="24"/>
              <w:szCs w:val="24"/>
            </w:rPr>
            <w:t>32</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_Toc32176 </w:instrText>
          </w:r>
          <w:r>
            <w:rPr>
              <w:sz w:val="24"/>
              <w:szCs w:val="24"/>
            </w:rPr>
            <w:fldChar w:fldCharType="separate"/>
          </w:r>
          <w:r>
            <w:rPr>
              <w:rFonts w:hint="eastAsia"/>
              <w:sz w:val="24"/>
              <w:szCs w:val="24"/>
              <w:lang w:val="en-US" w:eastAsia="zh-CN"/>
            </w:rPr>
            <w:t>3.1建设项目概况</w:t>
          </w:r>
          <w:r>
            <w:rPr>
              <w:sz w:val="24"/>
              <w:szCs w:val="24"/>
            </w:rPr>
            <w:tab/>
          </w:r>
          <w:r>
            <w:rPr>
              <w:sz w:val="24"/>
              <w:szCs w:val="24"/>
            </w:rPr>
            <w:fldChar w:fldCharType="begin"/>
          </w:r>
          <w:r>
            <w:rPr>
              <w:sz w:val="24"/>
              <w:szCs w:val="24"/>
            </w:rPr>
            <w:instrText xml:space="preserve"> PAGEREF _Toc32176 \h </w:instrText>
          </w:r>
          <w:r>
            <w:rPr>
              <w:sz w:val="24"/>
              <w:szCs w:val="24"/>
            </w:rPr>
            <w:fldChar w:fldCharType="separate"/>
          </w:r>
          <w:r>
            <w:rPr>
              <w:sz w:val="24"/>
              <w:szCs w:val="24"/>
            </w:rPr>
            <w:t>32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_Toc31087 </w:instrText>
          </w:r>
          <w:r>
            <w:rPr>
              <w:sz w:val="24"/>
              <w:szCs w:val="24"/>
            </w:rPr>
            <w:fldChar w:fldCharType="separate"/>
          </w:r>
          <w:r>
            <w:rPr>
              <w:rFonts w:hint="eastAsia"/>
              <w:sz w:val="24"/>
              <w:szCs w:val="24"/>
              <w:lang w:val="en-US" w:eastAsia="zh-CN"/>
            </w:rPr>
            <w:t>3.1.1建设内容及规模</w:t>
          </w:r>
          <w:r>
            <w:rPr>
              <w:sz w:val="24"/>
              <w:szCs w:val="24"/>
            </w:rPr>
            <w:tab/>
          </w:r>
          <w:r>
            <w:rPr>
              <w:sz w:val="24"/>
              <w:szCs w:val="24"/>
            </w:rPr>
            <w:fldChar w:fldCharType="begin"/>
          </w:r>
          <w:r>
            <w:rPr>
              <w:sz w:val="24"/>
              <w:szCs w:val="24"/>
            </w:rPr>
            <w:instrText xml:space="preserve"> PAGEREF _Toc31087 \h </w:instrText>
          </w:r>
          <w:r>
            <w:rPr>
              <w:sz w:val="24"/>
              <w:szCs w:val="24"/>
            </w:rPr>
            <w:fldChar w:fldCharType="separate"/>
          </w:r>
          <w:r>
            <w:rPr>
              <w:sz w:val="24"/>
              <w:szCs w:val="24"/>
            </w:rPr>
            <w:t>32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_Toc7882 </w:instrText>
          </w:r>
          <w:r>
            <w:rPr>
              <w:sz w:val="24"/>
              <w:szCs w:val="24"/>
            </w:rPr>
            <w:fldChar w:fldCharType="separate"/>
          </w:r>
          <w:r>
            <w:rPr>
              <w:rFonts w:hint="eastAsia"/>
              <w:sz w:val="24"/>
              <w:szCs w:val="24"/>
              <w:lang w:val="en-US" w:eastAsia="zh-CN"/>
            </w:rPr>
            <w:t>3.1.2主要设备</w:t>
          </w:r>
          <w:r>
            <w:rPr>
              <w:sz w:val="24"/>
              <w:szCs w:val="24"/>
            </w:rPr>
            <w:tab/>
          </w:r>
          <w:r>
            <w:rPr>
              <w:sz w:val="24"/>
              <w:szCs w:val="24"/>
            </w:rPr>
            <w:fldChar w:fldCharType="begin"/>
          </w:r>
          <w:r>
            <w:rPr>
              <w:sz w:val="24"/>
              <w:szCs w:val="24"/>
            </w:rPr>
            <w:instrText xml:space="preserve"> PAGEREF _Toc7882 \h </w:instrText>
          </w:r>
          <w:r>
            <w:rPr>
              <w:sz w:val="24"/>
              <w:szCs w:val="24"/>
            </w:rPr>
            <w:fldChar w:fldCharType="separate"/>
          </w:r>
          <w:r>
            <w:rPr>
              <w:sz w:val="24"/>
              <w:szCs w:val="24"/>
            </w:rPr>
            <w:t>36</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_Toc230 </w:instrText>
          </w:r>
          <w:r>
            <w:rPr>
              <w:sz w:val="24"/>
              <w:szCs w:val="24"/>
            </w:rPr>
            <w:fldChar w:fldCharType="separate"/>
          </w:r>
          <w:r>
            <w:rPr>
              <w:rFonts w:hint="eastAsia"/>
              <w:sz w:val="24"/>
              <w:szCs w:val="24"/>
              <w:lang w:val="en-US" w:eastAsia="zh-CN"/>
            </w:rPr>
            <w:t>3.1.3原辅材料及能源消耗</w:t>
          </w:r>
          <w:r>
            <w:rPr>
              <w:sz w:val="24"/>
              <w:szCs w:val="24"/>
            </w:rPr>
            <w:tab/>
          </w:r>
          <w:r>
            <w:rPr>
              <w:sz w:val="24"/>
              <w:szCs w:val="24"/>
            </w:rPr>
            <w:fldChar w:fldCharType="begin"/>
          </w:r>
          <w:r>
            <w:rPr>
              <w:sz w:val="24"/>
              <w:szCs w:val="24"/>
            </w:rPr>
            <w:instrText xml:space="preserve"> PAGEREF _Toc230 \h </w:instrText>
          </w:r>
          <w:r>
            <w:rPr>
              <w:sz w:val="24"/>
              <w:szCs w:val="24"/>
            </w:rPr>
            <w:fldChar w:fldCharType="separate"/>
          </w:r>
          <w:r>
            <w:rPr>
              <w:sz w:val="24"/>
              <w:szCs w:val="24"/>
            </w:rPr>
            <w:t>36</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_Toc20539 </w:instrText>
          </w:r>
          <w:r>
            <w:rPr>
              <w:sz w:val="24"/>
              <w:szCs w:val="24"/>
            </w:rPr>
            <w:fldChar w:fldCharType="separate"/>
          </w:r>
          <w:r>
            <w:rPr>
              <w:rFonts w:hint="eastAsia"/>
              <w:sz w:val="24"/>
              <w:szCs w:val="24"/>
              <w:lang w:val="en-US" w:eastAsia="zh-CN"/>
            </w:rPr>
            <w:t>3.1.4公用配套工程</w:t>
          </w:r>
          <w:r>
            <w:rPr>
              <w:sz w:val="24"/>
              <w:szCs w:val="24"/>
            </w:rPr>
            <w:tab/>
          </w:r>
          <w:r>
            <w:rPr>
              <w:sz w:val="24"/>
              <w:szCs w:val="24"/>
            </w:rPr>
            <w:fldChar w:fldCharType="begin"/>
          </w:r>
          <w:r>
            <w:rPr>
              <w:sz w:val="24"/>
              <w:szCs w:val="24"/>
            </w:rPr>
            <w:instrText xml:space="preserve"> PAGEREF _Toc20539 \h </w:instrText>
          </w:r>
          <w:r>
            <w:rPr>
              <w:sz w:val="24"/>
              <w:szCs w:val="24"/>
            </w:rPr>
            <w:fldChar w:fldCharType="separate"/>
          </w:r>
          <w:r>
            <w:rPr>
              <w:sz w:val="24"/>
              <w:szCs w:val="24"/>
            </w:rPr>
            <w:t>37</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_Toc31923 </w:instrText>
          </w:r>
          <w:r>
            <w:rPr>
              <w:sz w:val="24"/>
              <w:szCs w:val="24"/>
            </w:rPr>
            <w:fldChar w:fldCharType="separate"/>
          </w:r>
          <w:r>
            <w:rPr>
              <w:rFonts w:hint="eastAsia"/>
              <w:sz w:val="24"/>
              <w:szCs w:val="24"/>
              <w:lang w:val="en-US" w:eastAsia="zh-CN"/>
            </w:rPr>
            <w:t>3.2工程分析</w:t>
          </w:r>
          <w:r>
            <w:rPr>
              <w:sz w:val="24"/>
              <w:szCs w:val="24"/>
            </w:rPr>
            <w:tab/>
          </w:r>
          <w:r>
            <w:rPr>
              <w:sz w:val="24"/>
              <w:szCs w:val="24"/>
            </w:rPr>
            <w:fldChar w:fldCharType="begin"/>
          </w:r>
          <w:r>
            <w:rPr>
              <w:sz w:val="24"/>
              <w:szCs w:val="24"/>
            </w:rPr>
            <w:instrText xml:space="preserve"> PAGEREF _Toc31923 \h </w:instrText>
          </w:r>
          <w:r>
            <w:rPr>
              <w:sz w:val="24"/>
              <w:szCs w:val="24"/>
            </w:rPr>
            <w:fldChar w:fldCharType="separate"/>
          </w:r>
          <w:r>
            <w:rPr>
              <w:sz w:val="24"/>
              <w:szCs w:val="24"/>
            </w:rPr>
            <w:t>38</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_Toc30098 </w:instrText>
          </w:r>
          <w:r>
            <w:rPr>
              <w:sz w:val="24"/>
              <w:szCs w:val="24"/>
            </w:rPr>
            <w:fldChar w:fldCharType="separate"/>
          </w:r>
          <w:r>
            <w:rPr>
              <w:sz w:val="24"/>
              <w:szCs w:val="24"/>
            </w:rPr>
            <w:t>3.2.1施工期工艺流程及产物环节</w:t>
          </w:r>
          <w:r>
            <w:rPr>
              <w:sz w:val="24"/>
              <w:szCs w:val="24"/>
            </w:rPr>
            <w:tab/>
          </w:r>
          <w:r>
            <w:rPr>
              <w:sz w:val="24"/>
              <w:szCs w:val="24"/>
            </w:rPr>
            <w:fldChar w:fldCharType="begin"/>
          </w:r>
          <w:r>
            <w:rPr>
              <w:sz w:val="24"/>
              <w:szCs w:val="24"/>
            </w:rPr>
            <w:instrText xml:space="preserve"> PAGEREF _Toc30098 \h </w:instrText>
          </w:r>
          <w:r>
            <w:rPr>
              <w:sz w:val="24"/>
              <w:szCs w:val="24"/>
            </w:rPr>
            <w:fldChar w:fldCharType="separate"/>
          </w:r>
          <w:r>
            <w:rPr>
              <w:sz w:val="24"/>
              <w:szCs w:val="24"/>
            </w:rPr>
            <w:t>38</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_Toc26378 </w:instrText>
          </w:r>
          <w:r>
            <w:rPr>
              <w:sz w:val="24"/>
              <w:szCs w:val="24"/>
            </w:rPr>
            <w:fldChar w:fldCharType="separate"/>
          </w:r>
          <w:r>
            <w:rPr>
              <w:sz w:val="24"/>
              <w:szCs w:val="24"/>
            </w:rPr>
            <w:t>3.2.2运营期工艺流程及产物环节</w:t>
          </w:r>
          <w:r>
            <w:rPr>
              <w:sz w:val="24"/>
              <w:szCs w:val="24"/>
            </w:rPr>
            <w:tab/>
          </w:r>
          <w:r>
            <w:rPr>
              <w:sz w:val="24"/>
              <w:szCs w:val="24"/>
            </w:rPr>
            <w:fldChar w:fldCharType="begin"/>
          </w:r>
          <w:r>
            <w:rPr>
              <w:sz w:val="24"/>
              <w:szCs w:val="24"/>
            </w:rPr>
            <w:instrText xml:space="preserve"> PAGEREF _Toc26378 \h </w:instrText>
          </w:r>
          <w:r>
            <w:rPr>
              <w:sz w:val="24"/>
              <w:szCs w:val="24"/>
            </w:rPr>
            <w:fldChar w:fldCharType="separate"/>
          </w:r>
          <w:r>
            <w:rPr>
              <w:sz w:val="24"/>
              <w:szCs w:val="24"/>
            </w:rPr>
            <w:t>38</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_Toc14739 </w:instrText>
          </w:r>
          <w:r>
            <w:rPr>
              <w:sz w:val="24"/>
              <w:szCs w:val="24"/>
            </w:rPr>
            <w:fldChar w:fldCharType="separate"/>
          </w:r>
          <w:r>
            <w:rPr>
              <w:rFonts w:hint="eastAsia"/>
              <w:sz w:val="24"/>
              <w:szCs w:val="24"/>
              <w:lang w:val="en-US" w:eastAsia="zh-CN"/>
            </w:rPr>
            <w:t>3.2.3水平衡分析</w:t>
          </w:r>
          <w:r>
            <w:rPr>
              <w:sz w:val="24"/>
              <w:szCs w:val="24"/>
            </w:rPr>
            <w:tab/>
          </w:r>
          <w:r>
            <w:rPr>
              <w:sz w:val="24"/>
              <w:szCs w:val="24"/>
            </w:rPr>
            <w:fldChar w:fldCharType="begin"/>
          </w:r>
          <w:r>
            <w:rPr>
              <w:sz w:val="24"/>
              <w:szCs w:val="24"/>
            </w:rPr>
            <w:instrText xml:space="preserve"> PAGEREF _Toc14739 \h </w:instrText>
          </w:r>
          <w:r>
            <w:rPr>
              <w:sz w:val="24"/>
              <w:szCs w:val="24"/>
            </w:rPr>
            <w:fldChar w:fldCharType="separate"/>
          </w:r>
          <w:r>
            <w:rPr>
              <w:sz w:val="24"/>
              <w:szCs w:val="24"/>
            </w:rPr>
            <w:t>40</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_Toc23446 </w:instrText>
          </w:r>
          <w:r>
            <w:rPr>
              <w:sz w:val="24"/>
              <w:szCs w:val="24"/>
            </w:rPr>
            <w:fldChar w:fldCharType="separate"/>
          </w:r>
          <w:r>
            <w:rPr>
              <w:sz w:val="24"/>
              <w:szCs w:val="24"/>
            </w:rPr>
            <w:t>3.3施工期污染源分析</w:t>
          </w:r>
          <w:r>
            <w:rPr>
              <w:sz w:val="24"/>
              <w:szCs w:val="24"/>
            </w:rPr>
            <w:tab/>
          </w:r>
          <w:r>
            <w:rPr>
              <w:sz w:val="24"/>
              <w:szCs w:val="24"/>
            </w:rPr>
            <w:fldChar w:fldCharType="begin"/>
          </w:r>
          <w:r>
            <w:rPr>
              <w:sz w:val="24"/>
              <w:szCs w:val="24"/>
            </w:rPr>
            <w:instrText xml:space="preserve"> PAGEREF _Toc23446 \h </w:instrText>
          </w:r>
          <w:r>
            <w:rPr>
              <w:sz w:val="24"/>
              <w:szCs w:val="24"/>
            </w:rPr>
            <w:fldChar w:fldCharType="separate"/>
          </w:r>
          <w:r>
            <w:rPr>
              <w:sz w:val="24"/>
              <w:szCs w:val="24"/>
            </w:rPr>
            <w:t>41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_Toc15719 </w:instrText>
          </w:r>
          <w:r>
            <w:rPr>
              <w:sz w:val="24"/>
              <w:szCs w:val="24"/>
            </w:rPr>
            <w:fldChar w:fldCharType="separate"/>
          </w:r>
          <w:r>
            <w:rPr>
              <w:sz w:val="24"/>
              <w:szCs w:val="24"/>
            </w:rPr>
            <w:t>3.3.1大气污染源分析</w:t>
          </w:r>
          <w:r>
            <w:rPr>
              <w:sz w:val="24"/>
              <w:szCs w:val="24"/>
            </w:rPr>
            <w:tab/>
          </w:r>
          <w:r>
            <w:rPr>
              <w:sz w:val="24"/>
              <w:szCs w:val="24"/>
            </w:rPr>
            <w:fldChar w:fldCharType="begin"/>
          </w:r>
          <w:r>
            <w:rPr>
              <w:sz w:val="24"/>
              <w:szCs w:val="24"/>
            </w:rPr>
            <w:instrText xml:space="preserve"> PAGEREF _Toc15719 \h </w:instrText>
          </w:r>
          <w:r>
            <w:rPr>
              <w:sz w:val="24"/>
              <w:szCs w:val="24"/>
            </w:rPr>
            <w:fldChar w:fldCharType="separate"/>
          </w:r>
          <w:r>
            <w:rPr>
              <w:sz w:val="24"/>
              <w:szCs w:val="24"/>
            </w:rPr>
            <w:t>41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_Toc16988 </w:instrText>
          </w:r>
          <w:r>
            <w:rPr>
              <w:sz w:val="24"/>
              <w:szCs w:val="24"/>
            </w:rPr>
            <w:fldChar w:fldCharType="separate"/>
          </w:r>
          <w:r>
            <w:rPr>
              <w:sz w:val="24"/>
              <w:szCs w:val="24"/>
            </w:rPr>
            <w:t>3.3.2水污染源分析</w:t>
          </w:r>
          <w:r>
            <w:rPr>
              <w:sz w:val="24"/>
              <w:szCs w:val="24"/>
            </w:rPr>
            <w:tab/>
          </w:r>
          <w:r>
            <w:rPr>
              <w:sz w:val="24"/>
              <w:szCs w:val="24"/>
            </w:rPr>
            <w:fldChar w:fldCharType="begin"/>
          </w:r>
          <w:r>
            <w:rPr>
              <w:sz w:val="24"/>
              <w:szCs w:val="24"/>
            </w:rPr>
            <w:instrText xml:space="preserve"> PAGEREF _Toc16988 \h </w:instrText>
          </w:r>
          <w:r>
            <w:rPr>
              <w:sz w:val="24"/>
              <w:szCs w:val="24"/>
            </w:rPr>
            <w:fldChar w:fldCharType="separate"/>
          </w:r>
          <w:r>
            <w:rPr>
              <w:sz w:val="24"/>
              <w:szCs w:val="24"/>
            </w:rPr>
            <w:t>42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_Toc28273 </w:instrText>
          </w:r>
          <w:r>
            <w:rPr>
              <w:sz w:val="24"/>
              <w:szCs w:val="24"/>
            </w:rPr>
            <w:fldChar w:fldCharType="separate"/>
          </w:r>
          <w:r>
            <w:rPr>
              <w:sz w:val="24"/>
              <w:szCs w:val="24"/>
            </w:rPr>
            <w:t>3.3.3噪声污染源分析</w:t>
          </w:r>
          <w:r>
            <w:rPr>
              <w:sz w:val="24"/>
              <w:szCs w:val="24"/>
            </w:rPr>
            <w:tab/>
          </w:r>
          <w:r>
            <w:rPr>
              <w:sz w:val="24"/>
              <w:szCs w:val="24"/>
            </w:rPr>
            <w:fldChar w:fldCharType="begin"/>
          </w:r>
          <w:r>
            <w:rPr>
              <w:sz w:val="24"/>
              <w:szCs w:val="24"/>
            </w:rPr>
            <w:instrText xml:space="preserve"> PAGEREF _Toc28273 \h </w:instrText>
          </w:r>
          <w:r>
            <w:rPr>
              <w:sz w:val="24"/>
              <w:szCs w:val="24"/>
            </w:rPr>
            <w:fldChar w:fldCharType="separate"/>
          </w:r>
          <w:r>
            <w:rPr>
              <w:sz w:val="24"/>
              <w:szCs w:val="24"/>
            </w:rPr>
            <w:t>42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_Toc19138 </w:instrText>
          </w:r>
          <w:r>
            <w:rPr>
              <w:sz w:val="24"/>
              <w:szCs w:val="24"/>
            </w:rPr>
            <w:fldChar w:fldCharType="separate"/>
          </w:r>
          <w:r>
            <w:rPr>
              <w:sz w:val="24"/>
              <w:szCs w:val="24"/>
            </w:rPr>
            <w:t>3.3.4固体废物污染源分析</w:t>
          </w:r>
          <w:r>
            <w:rPr>
              <w:sz w:val="24"/>
              <w:szCs w:val="24"/>
            </w:rPr>
            <w:tab/>
          </w:r>
          <w:r>
            <w:rPr>
              <w:sz w:val="24"/>
              <w:szCs w:val="24"/>
            </w:rPr>
            <w:fldChar w:fldCharType="begin"/>
          </w:r>
          <w:r>
            <w:rPr>
              <w:sz w:val="24"/>
              <w:szCs w:val="24"/>
            </w:rPr>
            <w:instrText xml:space="preserve"> PAGEREF _Toc19138 \h </w:instrText>
          </w:r>
          <w:r>
            <w:rPr>
              <w:sz w:val="24"/>
              <w:szCs w:val="24"/>
            </w:rPr>
            <w:fldChar w:fldCharType="separate"/>
          </w:r>
          <w:r>
            <w:rPr>
              <w:sz w:val="24"/>
              <w:szCs w:val="24"/>
            </w:rPr>
            <w:t>42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_Toc8145 </w:instrText>
          </w:r>
          <w:r>
            <w:rPr>
              <w:sz w:val="24"/>
              <w:szCs w:val="24"/>
            </w:rPr>
            <w:fldChar w:fldCharType="separate"/>
          </w:r>
          <w:r>
            <w:rPr>
              <w:sz w:val="24"/>
              <w:szCs w:val="24"/>
            </w:rPr>
            <w:t>3.3.5对生态环境的影响</w:t>
          </w:r>
          <w:r>
            <w:rPr>
              <w:sz w:val="24"/>
              <w:szCs w:val="24"/>
            </w:rPr>
            <w:tab/>
          </w:r>
          <w:r>
            <w:rPr>
              <w:sz w:val="24"/>
              <w:szCs w:val="24"/>
            </w:rPr>
            <w:fldChar w:fldCharType="begin"/>
          </w:r>
          <w:r>
            <w:rPr>
              <w:sz w:val="24"/>
              <w:szCs w:val="24"/>
            </w:rPr>
            <w:instrText xml:space="preserve"> PAGEREF _Toc8145 \h </w:instrText>
          </w:r>
          <w:r>
            <w:rPr>
              <w:sz w:val="24"/>
              <w:szCs w:val="24"/>
            </w:rPr>
            <w:fldChar w:fldCharType="separate"/>
          </w:r>
          <w:r>
            <w:rPr>
              <w:sz w:val="24"/>
              <w:szCs w:val="24"/>
            </w:rPr>
            <w:t>43</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_Toc32653 </w:instrText>
          </w:r>
          <w:r>
            <w:rPr>
              <w:sz w:val="24"/>
              <w:szCs w:val="24"/>
            </w:rPr>
            <w:fldChar w:fldCharType="separate"/>
          </w:r>
          <w:r>
            <w:rPr>
              <w:sz w:val="24"/>
              <w:szCs w:val="24"/>
            </w:rPr>
            <w:t>3.4运营期污染源分析</w:t>
          </w:r>
          <w:r>
            <w:rPr>
              <w:sz w:val="24"/>
              <w:szCs w:val="24"/>
            </w:rPr>
            <w:tab/>
          </w:r>
          <w:r>
            <w:rPr>
              <w:sz w:val="24"/>
              <w:szCs w:val="24"/>
            </w:rPr>
            <w:fldChar w:fldCharType="begin"/>
          </w:r>
          <w:r>
            <w:rPr>
              <w:sz w:val="24"/>
              <w:szCs w:val="24"/>
            </w:rPr>
            <w:instrText xml:space="preserve"> PAGEREF _Toc32653 \h </w:instrText>
          </w:r>
          <w:r>
            <w:rPr>
              <w:sz w:val="24"/>
              <w:szCs w:val="24"/>
            </w:rPr>
            <w:fldChar w:fldCharType="separate"/>
          </w:r>
          <w:r>
            <w:rPr>
              <w:sz w:val="24"/>
              <w:szCs w:val="24"/>
            </w:rPr>
            <w:t>43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_Toc11470 </w:instrText>
          </w:r>
          <w:r>
            <w:rPr>
              <w:sz w:val="24"/>
              <w:szCs w:val="24"/>
            </w:rPr>
            <w:fldChar w:fldCharType="separate"/>
          </w:r>
          <w:r>
            <w:rPr>
              <w:sz w:val="24"/>
              <w:szCs w:val="24"/>
            </w:rPr>
            <w:t>3.4.1大气污染源分析</w:t>
          </w:r>
          <w:r>
            <w:rPr>
              <w:sz w:val="24"/>
              <w:szCs w:val="24"/>
            </w:rPr>
            <w:tab/>
          </w:r>
          <w:r>
            <w:rPr>
              <w:sz w:val="24"/>
              <w:szCs w:val="24"/>
            </w:rPr>
            <w:fldChar w:fldCharType="begin"/>
          </w:r>
          <w:r>
            <w:rPr>
              <w:sz w:val="24"/>
              <w:szCs w:val="24"/>
            </w:rPr>
            <w:instrText xml:space="preserve"> PAGEREF _Toc11470 \h </w:instrText>
          </w:r>
          <w:r>
            <w:rPr>
              <w:sz w:val="24"/>
              <w:szCs w:val="24"/>
            </w:rPr>
            <w:fldChar w:fldCharType="separate"/>
          </w:r>
          <w:r>
            <w:rPr>
              <w:sz w:val="24"/>
              <w:szCs w:val="24"/>
            </w:rPr>
            <w:t>43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_Toc17433 </w:instrText>
          </w:r>
          <w:r>
            <w:rPr>
              <w:sz w:val="24"/>
              <w:szCs w:val="24"/>
            </w:rPr>
            <w:fldChar w:fldCharType="separate"/>
          </w:r>
          <w:r>
            <w:rPr>
              <w:sz w:val="24"/>
              <w:szCs w:val="24"/>
            </w:rPr>
            <w:t>3.4.2废水污染源分析</w:t>
          </w:r>
          <w:r>
            <w:rPr>
              <w:sz w:val="24"/>
              <w:szCs w:val="24"/>
            </w:rPr>
            <w:tab/>
          </w:r>
          <w:r>
            <w:rPr>
              <w:sz w:val="24"/>
              <w:szCs w:val="24"/>
            </w:rPr>
            <w:fldChar w:fldCharType="begin"/>
          </w:r>
          <w:r>
            <w:rPr>
              <w:sz w:val="24"/>
              <w:szCs w:val="24"/>
            </w:rPr>
            <w:instrText xml:space="preserve"> PAGEREF _Toc17433 \h </w:instrText>
          </w:r>
          <w:r>
            <w:rPr>
              <w:sz w:val="24"/>
              <w:szCs w:val="24"/>
            </w:rPr>
            <w:fldChar w:fldCharType="separate"/>
          </w:r>
          <w:r>
            <w:rPr>
              <w:sz w:val="24"/>
              <w:szCs w:val="24"/>
            </w:rPr>
            <w:t>45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_Toc21441 </w:instrText>
          </w:r>
          <w:r>
            <w:rPr>
              <w:sz w:val="24"/>
              <w:szCs w:val="24"/>
            </w:rPr>
            <w:fldChar w:fldCharType="separate"/>
          </w:r>
          <w:r>
            <w:rPr>
              <w:sz w:val="24"/>
              <w:szCs w:val="24"/>
            </w:rPr>
            <w:t>3.4.3噪声</w:t>
          </w:r>
          <w:r>
            <w:rPr>
              <w:rFonts w:hint="eastAsia"/>
              <w:sz w:val="24"/>
              <w:szCs w:val="24"/>
              <w:lang w:val="en-US" w:eastAsia="zh-CN"/>
            </w:rPr>
            <w:t>污染源分析</w:t>
          </w:r>
          <w:r>
            <w:rPr>
              <w:sz w:val="24"/>
              <w:szCs w:val="24"/>
            </w:rPr>
            <w:tab/>
          </w:r>
          <w:r>
            <w:rPr>
              <w:sz w:val="24"/>
              <w:szCs w:val="24"/>
            </w:rPr>
            <w:fldChar w:fldCharType="begin"/>
          </w:r>
          <w:r>
            <w:rPr>
              <w:sz w:val="24"/>
              <w:szCs w:val="24"/>
            </w:rPr>
            <w:instrText xml:space="preserve"> PAGEREF _Toc21441 \h </w:instrText>
          </w:r>
          <w:r>
            <w:rPr>
              <w:sz w:val="24"/>
              <w:szCs w:val="24"/>
            </w:rPr>
            <w:fldChar w:fldCharType="separate"/>
          </w:r>
          <w:r>
            <w:rPr>
              <w:sz w:val="24"/>
              <w:szCs w:val="24"/>
            </w:rPr>
            <w:t>46</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_Toc19485 </w:instrText>
          </w:r>
          <w:r>
            <w:rPr>
              <w:sz w:val="24"/>
              <w:szCs w:val="24"/>
            </w:rPr>
            <w:fldChar w:fldCharType="separate"/>
          </w:r>
          <w:r>
            <w:rPr>
              <w:sz w:val="24"/>
              <w:szCs w:val="24"/>
            </w:rPr>
            <w:t>3.4.4固体废物污染源分析</w:t>
          </w:r>
          <w:r>
            <w:rPr>
              <w:sz w:val="24"/>
              <w:szCs w:val="24"/>
            </w:rPr>
            <w:tab/>
          </w:r>
          <w:r>
            <w:rPr>
              <w:sz w:val="24"/>
              <w:szCs w:val="24"/>
            </w:rPr>
            <w:fldChar w:fldCharType="begin"/>
          </w:r>
          <w:r>
            <w:rPr>
              <w:sz w:val="24"/>
              <w:szCs w:val="24"/>
            </w:rPr>
            <w:instrText xml:space="preserve"> PAGEREF _Toc19485 \h </w:instrText>
          </w:r>
          <w:r>
            <w:rPr>
              <w:sz w:val="24"/>
              <w:szCs w:val="24"/>
            </w:rPr>
            <w:fldChar w:fldCharType="separate"/>
          </w:r>
          <w:r>
            <w:rPr>
              <w:sz w:val="24"/>
              <w:szCs w:val="24"/>
            </w:rPr>
            <w:t>46</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_Toc13630 </w:instrText>
          </w:r>
          <w:r>
            <w:rPr>
              <w:sz w:val="24"/>
              <w:szCs w:val="24"/>
            </w:rPr>
            <w:fldChar w:fldCharType="separate"/>
          </w:r>
          <w:r>
            <w:rPr>
              <w:sz w:val="24"/>
              <w:szCs w:val="24"/>
            </w:rPr>
            <w:t>3.4.5运营期“三废”产排情况汇总</w:t>
          </w:r>
          <w:r>
            <w:rPr>
              <w:sz w:val="24"/>
              <w:szCs w:val="24"/>
            </w:rPr>
            <w:tab/>
          </w:r>
          <w:r>
            <w:rPr>
              <w:sz w:val="24"/>
              <w:szCs w:val="24"/>
            </w:rPr>
            <w:fldChar w:fldCharType="begin"/>
          </w:r>
          <w:r>
            <w:rPr>
              <w:sz w:val="24"/>
              <w:szCs w:val="24"/>
            </w:rPr>
            <w:instrText xml:space="preserve"> PAGEREF _Toc13630 \h </w:instrText>
          </w:r>
          <w:r>
            <w:rPr>
              <w:sz w:val="24"/>
              <w:szCs w:val="24"/>
            </w:rPr>
            <w:fldChar w:fldCharType="separate"/>
          </w:r>
          <w:r>
            <w:rPr>
              <w:sz w:val="24"/>
              <w:szCs w:val="24"/>
            </w:rPr>
            <w:t>50</w:t>
          </w:r>
          <w:r>
            <w:rPr>
              <w:sz w:val="24"/>
              <w:szCs w:val="24"/>
            </w:rPr>
            <w:fldChar w:fldCharType="end"/>
          </w:r>
          <w:r>
            <w:rPr>
              <w:color w:val="0000FF"/>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_Toc27313 </w:instrText>
          </w:r>
          <w:r>
            <w:rPr>
              <w:sz w:val="24"/>
              <w:szCs w:val="24"/>
            </w:rPr>
            <w:fldChar w:fldCharType="separate"/>
          </w:r>
          <w:r>
            <w:rPr>
              <w:sz w:val="24"/>
              <w:szCs w:val="24"/>
            </w:rPr>
            <w:t>4环境现状调查与评价</w:t>
          </w:r>
          <w:r>
            <w:rPr>
              <w:sz w:val="24"/>
              <w:szCs w:val="24"/>
            </w:rPr>
            <w:tab/>
          </w:r>
          <w:r>
            <w:rPr>
              <w:sz w:val="24"/>
              <w:szCs w:val="24"/>
            </w:rPr>
            <w:fldChar w:fldCharType="begin"/>
          </w:r>
          <w:r>
            <w:rPr>
              <w:sz w:val="24"/>
              <w:szCs w:val="24"/>
            </w:rPr>
            <w:instrText xml:space="preserve"> PAGEREF _Toc27313 \h </w:instrText>
          </w:r>
          <w:r>
            <w:rPr>
              <w:sz w:val="24"/>
              <w:szCs w:val="24"/>
            </w:rPr>
            <w:fldChar w:fldCharType="separate"/>
          </w:r>
          <w:r>
            <w:rPr>
              <w:sz w:val="24"/>
              <w:szCs w:val="24"/>
            </w:rPr>
            <w:t>52</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_Toc387 </w:instrText>
          </w:r>
          <w:r>
            <w:rPr>
              <w:sz w:val="24"/>
              <w:szCs w:val="24"/>
            </w:rPr>
            <w:fldChar w:fldCharType="separate"/>
          </w:r>
          <w:r>
            <w:rPr>
              <w:sz w:val="24"/>
              <w:szCs w:val="24"/>
            </w:rPr>
            <w:t>4.1自然环境概况</w:t>
          </w:r>
          <w:r>
            <w:rPr>
              <w:sz w:val="24"/>
              <w:szCs w:val="24"/>
            </w:rPr>
            <w:tab/>
          </w:r>
          <w:r>
            <w:rPr>
              <w:sz w:val="24"/>
              <w:szCs w:val="24"/>
            </w:rPr>
            <w:fldChar w:fldCharType="begin"/>
          </w:r>
          <w:r>
            <w:rPr>
              <w:sz w:val="24"/>
              <w:szCs w:val="24"/>
            </w:rPr>
            <w:instrText xml:space="preserve"> PAGEREF _Toc387 \h </w:instrText>
          </w:r>
          <w:r>
            <w:rPr>
              <w:sz w:val="24"/>
              <w:szCs w:val="24"/>
            </w:rPr>
            <w:fldChar w:fldCharType="separate"/>
          </w:r>
          <w:r>
            <w:rPr>
              <w:sz w:val="24"/>
              <w:szCs w:val="24"/>
            </w:rPr>
            <w:t>52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_Toc14970 </w:instrText>
          </w:r>
          <w:r>
            <w:rPr>
              <w:sz w:val="24"/>
              <w:szCs w:val="24"/>
            </w:rPr>
            <w:fldChar w:fldCharType="separate"/>
          </w:r>
          <w:r>
            <w:rPr>
              <w:sz w:val="24"/>
              <w:szCs w:val="24"/>
            </w:rPr>
            <w:t>4.1.1地理位置</w:t>
          </w:r>
          <w:r>
            <w:rPr>
              <w:sz w:val="24"/>
              <w:szCs w:val="24"/>
            </w:rPr>
            <w:tab/>
          </w:r>
          <w:r>
            <w:rPr>
              <w:sz w:val="24"/>
              <w:szCs w:val="24"/>
            </w:rPr>
            <w:fldChar w:fldCharType="begin"/>
          </w:r>
          <w:r>
            <w:rPr>
              <w:sz w:val="24"/>
              <w:szCs w:val="24"/>
            </w:rPr>
            <w:instrText xml:space="preserve"> PAGEREF _Toc14970 \h </w:instrText>
          </w:r>
          <w:r>
            <w:rPr>
              <w:sz w:val="24"/>
              <w:szCs w:val="24"/>
            </w:rPr>
            <w:fldChar w:fldCharType="separate"/>
          </w:r>
          <w:r>
            <w:rPr>
              <w:sz w:val="24"/>
              <w:szCs w:val="24"/>
            </w:rPr>
            <w:t>52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_Toc28287 </w:instrText>
          </w:r>
          <w:r>
            <w:rPr>
              <w:sz w:val="24"/>
              <w:szCs w:val="24"/>
            </w:rPr>
            <w:fldChar w:fldCharType="separate"/>
          </w:r>
          <w:r>
            <w:rPr>
              <w:rFonts w:hint="eastAsia"/>
              <w:sz w:val="24"/>
              <w:szCs w:val="24"/>
              <w:lang w:val="en-US" w:eastAsia="zh-CN"/>
            </w:rPr>
            <w:t>4.1.2地形地貌</w:t>
          </w:r>
          <w:r>
            <w:rPr>
              <w:sz w:val="24"/>
              <w:szCs w:val="24"/>
            </w:rPr>
            <w:tab/>
          </w:r>
          <w:r>
            <w:rPr>
              <w:sz w:val="24"/>
              <w:szCs w:val="24"/>
            </w:rPr>
            <w:fldChar w:fldCharType="begin"/>
          </w:r>
          <w:r>
            <w:rPr>
              <w:sz w:val="24"/>
              <w:szCs w:val="24"/>
            </w:rPr>
            <w:instrText xml:space="preserve"> PAGEREF _Toc28287 \h </w:instrText>
          </w:r>
          <w:r>
            <w:rPr>
              <w:sz w:val="24"/>
              <w:szCs w:val="24"/>
            </w:rPr>
            <w:fldChar w:fldCharType="separate"/>
          </w:r>
          <w:r>
            <w:rPr>
              <w:sz w:val="24"/>
              <w:szCs w:val="24"/>
            </w:rPr>
            <w:t>52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_Toc28701 </w:instrText>
          </w:r>
          <w:r>
            <w:rPr>
              <w:sz w:val="24"/>
              <w:szCs w:val="24"/>
            </w:rPr>
            <w:fldChar w:fldCharType="separate"/>
          </w:r>
          <w:r>
            <w:rPr>
              <w:rFonts w:hint="eastAsia"/>
              <w:sz w:val="24"/>
              <w:szCs w:val="24"/>
              <w:lang w:val="en-US" w:eastAsia="zh-CN"/>
            </w:rPr>
            <w:t>4.1.3气候与气象</w:t>
          </w:r>
          <w:r>
            <w:rPr>
              <w:sz w:val="24"/>
              <w:szCs w:val="24"/>
            </w:rPr>
            <w:tab/>
          </w:r>
          <w:r>
            <w:rPr>
              <w:sz w:val="24"/>
              <w:szCs w:val="24"/>
            </w:rPr>
            <w:fldChar w:fldCharType="begin"/>
          </w:r>
          <w:r>
            <w:rPr>
              <w:sz w:val="24"/>
              <w:szCs w:val="24"/>
            </w:rPr>
            <w:instrText xml:space="preserve"> PAGEREF _Toc28701 \h </w:instrText>
          </w:r>
          <w:r>
            <w:rPr>
              <w:sz w:val="24"/>
              <w:szCs w:val="24"/>
            </w:rPr>
            <w:fldChar w:fldCharType="separate"/>
          </w:r>
          <w:r>
            <w:rPr>
              <w:sz w:val="24"/>
              <w:szCs w:val="24"/>
            </w:rPr>
            <w:t>52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_Toc8942 </w:instrText>
          </w:r>
          <w:r>
            <w:rPr>
              <w:sz w:val="24"/>
              <w:szCs w:val="24"/>
            </w:rPr>
            <w:fldChar w:fldCharType="separate"/>
          </w:r>
          <w:r>
            <w:rPr>
              <w:rFonts w:hint="eastAsia"/>
              <w:sz w:val="24"/>
              <w:szCs w:val="24"/>
              <w:lang w:val="en-US" w:eastAsia="zh-CN"/>
            </w:rPr>
            <w:t>4.1.4水文及水文地质</w:t>
          </w:r>
          <w:r>
            <w:rPr>
              <w:sz w:val="24"/>
              <w:szCs w:val="24"/>
            </w:rPr>
            <w:tab/>
          </w:r>
          <w:r>
            <w:rPr>
              <w:sz w:val="24"/>
              <w:szCs w:val="24"/>
            </w:rPr>
            <w:fldChar w:fldCharType="begin"/>
          </w:r>
          <w:r>
            <w:rPr>
              <w:sz w:val="24"/>
              <w:szCs w:val="24"/>
            </w:rPr>
            <w:instrText xml:space="preserve"> PAGEREF _Toc8942 \h </w:instrText>
          </w:r>
          <w:r>
            <w:rPr>
              <w:sz w:val="24"/>
              <w:szCs w:val="24"/>
            </w:rPr>
            <w:fldChar w:fldCharType="separate"/>
          </w:r>
          <w:r>
            <w:rPr>
              <w:sz w:val="24"/>
              <w:szCs w:val="24"/>
            </w:rPr>
            <w:t>53</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_Toc29036 </w:instrText>
          </w:r>
          <w:r>
            <w:rPr>
              <w:sz w:val="24"/>
              <w:szCs w:val="24"/>
            </w:rPr>
            <w:fldChar w:fldCharType="separate"/>
          </w:r>
          <w:r>
            <w:rPr>
              <w:rFonts w:hint="eastAsia"/>
              <w:sz w:val="24"/>
              <w:szCs w:val="24"/>
              <w:lang w:val="en-US" w:eastAsia="zh-CN"/>
            </w:rPr>
            <w:t>4.2环境质量现状评价</w:t>
          </w:r>
          <w:r>
            <w:rPr>
              <w:sz w:val="24"/>
              <w:szCs w:val="24"/>
            </w:rPr>
            <w:tab/>
          </w:r>
          <w:r>
            <w:rPr>
              <w:sz w:val="24"/>
              <w:szCs w:val="24"/>
            </w:rPr>
            <w:fldChar w:fldCharType="begin"/>
          </w:r>
          <w:r>
            <w:rPr>
              <w:sz w:val="24"/>
              <w:szCs w:val="24"/>
            </w:rPr>
            <w:instrText xml:space="preserve"> PAGEREF _Toc29036 \h </w:instrText>
          </w:r>
          <w:r>
            <w:rPr>
              <w:sz w:val="24"/>
              <w:szCs w:val="24"/>
            </w:rPr>
            <w:fldChar w:fldCharType="separate"/>
          </w:r>
          <w:r>
            <w:rPr>
              <w:sz w:val="24"/>
              <w:szCs w:val="24"/>
            </w:rPr>
            <w:t>54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_Toc26450 </w:instrText>
          </w:r>
          <w:r>
            <w:rPr>
              <w:sz w:val="24"/>
              <w:szCs w:val="24"/>
            </w:rPr>
            <w:fldChar w:fldCharType="separate"/>
          </w:r>
          <w:r>
            <w:rPr>
              <w:rFonts w:hint="eastAsia"/>
              <w:sz w:val="24"/>
              <w:szCs w:val="24"/>
              <w:lang w:val="en-US" w:eastAsia="zh-CN"/>
            </w:rPr>
            <w:t>4.3.1环境空气质量现状评价</w:t>
          </w:r>
          <w:r>
            <w:rPr>
              <w:sz w:val="24"/>
              <w:szCs w:val="24"/>
            </w:rPr>
            <w:tab/>
          </w:r>
          <w:r>
            <w:rPr>
              <w:sz w:val="24"/>
              <w:szCs w:val="24"/>
            </w:rPr>
            <w:fldChar w:fldCharType="begin"/>
          </w:r>
          <w:r>
            <w:rPr>
              <w:sz w:val="24"/>
              <w:szCs w:val="24"/>
            </w:rPr>
            <w:instrText xml:space="preserve"> PAGEREF _Toc26450 \h </w:instrText>
          </w:r>
          <w:r>
            <w:rPr>
              <w:sz w:val="24"/>
              <w:szCs w:val="24"/>
            </w:rPr>
            <w:fldChar w:fldCharType="separate"/>
          </w:r>
          <w:r>
            <w:rPr>
              <w:sz w:val="24"/>
              <w:szCs w:val="24"/>
            </w:rPr>
            <w:t>54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_Toc24303 </w:instrText>
          </w:r>
          <w:r>
            <w:rPr>
              <w:sz w:val="24"/>
              <w:szCs w:val="24"/>
            </w:rPr>
            <w:fldChar w:fldCharType="separate"/>
          </w:r>
          <w:r>
            <w:rPr>
              <w:sz w:val="24"/>
              <w:szCs w:val="24"/>
            </w:rPr>
            <w:t>4.2.2地表水环境现状调查及评价</w:t>
          </w:r>
          <w:r>
            <w:rPr>
              <w:sz w:val="24"/>
              <w:szCs w:val="24"/>
            </w:rPr>
            <w:tab/>
          </w:r>
          <w:r>
            <w:rPr>
              <w:sz w:val="24"/>
              <w:szCs w:val="24"/>
            </w:rPr>
            <w:fldChar w:fldCharType="begin"/>
          </w:r>
          <w:r>
            <w:rPr>
              <w:sz w:val="24"/>
              <w:szCs w:val="24"/>
            </w:rPr>
            <w:instrText xml:space="preserve"> PAGEREF _Toc24303 \h </w:instrText>
          </w:r>
          <w:r>
            <w:rPr>
              <w:sz w:val="24"/>
              <w:szCs w:val="24"/>
            </w:rPr>
            <w:fldChar w:fldCharType="separate"/>
          </w:r>
          <w:r>
            <w:rPr>
              <w:sz w:val="24"/>
              <w:szCs w:val="24"/>
            </w:rPr>
            <w:t>57</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_Toc13278 </w:instrText>
          </w:r>
          <w:r>
            <w:rPr>
              <w:sz w:val="24"/>
              <w:szCs w:val="24"/>
            </w:rPr>
            <w:fldChar w:fldCharType="separate"/>
          </w:r>
          <w:r>
            <w:rPr>
              <w:sz w:val="24"/>
              <w:szCs w:val="24"/>
            </w:rPr>
            <w:t>4.2.3地下水质量现状调查与评价</w:t>
          </w:r>
          <w:r>
            <w:rPr>
              <w:sz w:val="24"/>
              <w:szCs w:val="24"/>
            </w:rPr>
            <w:tab/>
          </w:r>
          <w:r>
            <w:rPr>
              <w:sz w:val="24"/>
              <w:szCs w:val="24"/>
            </w:rPr>
            <w:fldChar w:fldCharType="begin"/>
          </w:r>
          <w:r>
            <w:rPr>
              <w:sz w:val="24"/>
              <w:szCs w:val="24"/>
            </w:rPr>
            <w:instrText xml:space="preserve"> PAGEREF _Toc13278 \h </w:instrText>
          </w:r>
          <w:r>
            <w:rPr>
              <w:sz w:val="24"/>
              <w:szCs w:val="24"/>
            </w:rPr>
            <w:fldChar w:fldCharType="separate"/>
          </w:r>
          <w:r>
            <w:rPr>
              <w:sz w:val="24"/>
              <w:szCs w:val="24"/>
            </w:rPr>
            <w:t>58</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_Toc27312 </w:instrText>
          </w:r>
          <w:r>
            <w:rPr>
              <w:sz w:val="24"/>
              <w:szCs w:val="24"/>
            </w:rPr>
            <w:fldChar w:fldCharType="separate"/>
          </w:r>
          <w:r>
            <w:rPr>
              <w:sz w:val="24"/>
              <w:szCs w:val="24"/>
            </w:rPr>
            <w:t>4.2.4声环境质量现状调查与评价</w:t>
          </w:r>
          <w:r>
            <w:rPr>
              <w:sz w:val="24"/>
              <w:szCs w:val="24"/>
            </w:rPr>
            <w:tab/>
          </w:r>
          <w:r>
            <w:rPr>
              <w:sz w:val="24"/>
              <w:szCs w:val="24"/>
            </w:rPr>
            <w:fldChar w:fldCharType="begin"/>
          </w:r>
          <w:r>
            <w:rPr>
              <w:sz w:val="24"/>
              <w:szCs w:val="24"/>
            </w:rPr>
            <w:instrText xml:space="preserve"> PAGEREF _Toc27312 \h </w:instrText>
          </w:r>
          <w:r>
            <w:rPr>
              <w:sz w:val="24"/>
              <w:szCs w:val="24"/>
            </w:rPr>
            <w:fldChar w:fldCharType="separate"/>
          </w:r>
          <w:r>
            <w:rPr>
              <w:sz w:val="24"/>
              <w:szCs w:val="24"/>
            </w:rPr>
            <w:t>59</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_Toc10889 </w:instrText>
          </w:r>
          <w:r>
            <w:rPr>
              <w:sz w:val="24"/>
              <w:szCs w:val="24"/>
            </w:rPr>
            <w:fldChar w:fldCharType="separate"/>
          </w:r>
          <w:r>
            <w:rPr>
              <w:sz w:val="24"/>
              <w:szCs w:val="24"/>
            </w:rPr>
            <w:t>4.2.5土壤环境质量现状调查与评价</w:t>
          </w:r>
          <w:r>
            <w:rPr>
              <w:sz w:val="24"/>
              <w:szCs w:val="24"/>
            </w:rPr>
            <w:tab/>
          </w:r>
          <w:r>
            <w:rPr>
              <w:sz w:val="24"/>
              <w:szCs w:val="24"/>
            </w:rPr>
            <w:fldChar w:fldCharType="begin"/>
          </w:r>
          <w:r>
            <w:rPr>
              <w:sz w:val="24"/>
              <w:szCs w:val="24"/>
            </w:rPr>
            <w:instrText xml:space="preserve"> PAGEREF _Toc10889 \h </w:instrText>
          </w:r>
          <w:r>
            <w:rPr>
              <w:sz w:val="24"/>
              <w:szCs w:val="24"/>
            </w:rPr>
            <w:fldChar w:fldCharType="separate"/>
          </w:r>
          <w:r>
            <w:rPr>
              <w:sz w:val="24"/>
              <w:szCs w:val="24"/>
            </w:rPr>
            <w:t>60</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_Toc28282 </w:instrText>
          </w:r>
          <w:r>
            <w:rPr>
              <w:sz w:val="24"/>
              <w:szCs w:val="24"/>
            </w:rPr>
            <w:fldChar w:fldCharType="separate"/>
          </w:r>
          <w:r>
            <w:rPr>
              <w:rFonts w:hint="eastAsia"/>
              <w:sz w:val="24"/>
              <w:szCs w:val="24"/>
              <w:lang w:val="en-US" w:eastAsia="zh-CN"/>
            </w:rPr>
            <w:t>4.2.6生态环境</w:t>
          </w:r>
          <w:r>
            <w:rPr>
              <w:sz w:val="24"/>
              <w:szCs w:val="24"/>
            </w:rPr>
            <w:tab/>
          </w:r>
          <w:r>
            <w:rPr>
              <w:sz w:val="24"/>
              <w:szCs w:val="24"/>
            </w:rPr>
            <w:fldChar w:fldCharType="begin"/>
          </w:r>
          <w:r>
            <w:rPr>
              <w:sz w:val="24"/>
              <w:szCs w:val="24"/>
            </w:rPr>
            <w:instrText xml:space="preserve"> PAGEREF _Toc28282 \h </w:instrText>
          </w:r>
          <w:r>
            <w:rPr>
              <w:sz w:val="24"/>
              <w:szCs w:val="24"/>
            </w:rPr>
            <w:fldChar w:fldCharType="separate"/>
          </w:r>
          <w:r>
            <w:rPr>
              <w:sz w:val="24"/>
              <w:szCs w:val="24"/>
            </w:rPr>
            <w:t>60</w:t>
          </w:r>
          <w:r>
            <w:rPr>
              <w:sz w:val="24"/>
              <w:szCs w:val="24"/>
            </w:rPr>
            <w:fldChar w:fldCharType="end"/>
          </w:r>
          <w:r>
            <w:rPr>
              <w:color w:val="0000FF"/>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_Toc18148 </w:instrText>
          </w:r>
          <w:r>
            <w:rPr>
              <w:sz w:val="24"/>
              <w:szCs w:val="24"/>
            </w:rPr>
            <w:fldChar w:fldCharType="separate"/>
          </w:r>
          <w:r>
            <w:rPr>
              <w:sz w:val="24"/>
              <w:szCs w:val="24"/>
            </w:rPr>
            <w:t>5环境影响预测与评价</w:t>
          </w:r>
          <w:r>
            <w:rPr>
              <w:sz w:val="24"/>
              <w:szCs w:val="24"/>
            </w:rPr>
            <w:tab/>
          </w:r>
          <w:r>
            <w:rPr>
              <w:sz w:val="24"/>
              <w:szCs w:val="24"/>
            </w:rPr>
            <w:fldChar w:fldCharType="begin"/>
          </w:r>
          <w:r>
            <w:rPr>
              <w:sz w:val="24"/>
              <w:szCs w:val="24"/>
            </w:rPr>
            <w:instrText xml:space="preserve"> PAGEREF _Toc18148 \h </w:instrText>
          </w:r>
          <w:r>
            <w:rPr>
              <w:sz w:val="24"/>
              <w:szCs w:val="24"/>
            </w:rPr>
            <w:fldChar w:fldCharType="separate"/>
          </w:r>
          <w:r>
            <w:rPr>
              <w:sz w:val="24"/>
              <w:szCs w:val="24"/>
            </w:rPr>
            <w:t>63</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_Toc1252 </w:instrText>
          </w:r>
          <w:r>
            <w:rPr>
              <w:sz w:val="24"/>
              <w:szCs w:val="24"/>
            </w:rPr>
            <w:fldChar w:fldCharType="separate"/>
          </w:r>
          <w:r>
            <w:rPr>
              <w:sz w:val="24"/>
              <w:szCs w:val="24"/>
            </w:rPr>
            <w:t>5.1施工期影响分析</w:t>
          </w:r>
          <w:r>
            <w:rPr>
              <w:sz w:val="24"/>
              <w:szCs w:val="24"/>
            </w:rPr>
            <w:tab/>
          </w:r>
          <w:r>
            <w:rPr>
              <w:sz w:val="24"/>
              <w:szCs w:val="24"/>
            </w:rPr>
            <w:fldChar w:fldCharType="begin"/>
          </w:r>
          <w:r>
            <w:rPr>
              <w:sz w:val="24"/>
              <w:szCs w:val="24"/>
            </w:rPr>
            <w:instrText xml:space="preserve"> PAGEREF _Toc1252 \h </w:instrText>
          </w:r>
          <w:r>
            <w:rPr>
              <w:sz w:val="24"/>
              <w:szCs w:val="24"/>
            </w:rPr>
            <w:fldChar w:fldCharType="separate"/>
          </w:r>
          <w:r>
            <w:rPr>
              <w:sz w:val="24"/>
              <w:szCs w:val="24"/>
            </w:rPr>
            <w:t>63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_Toc6498 </w:instrText>
          </w:r>
          <w:r>
            <w:rPr>
              <w:sz w:val="24"/>
              <w:szCs w:val="24"/>
            </w:rPr>
            <w:fldChar w:fldCharType="separate"/>
          </w:r>
          <w:r>
            <w:rPr>
              <w:sz w:val="24"/>
              <w:szCs w:val="24"/>
            </w:rPr>
            <w:t>5.1.1施工大气影响分析</w:t>
          </w:r>
          <w:r>
            <w:rPr>
              <w:sz w:val="24"/>
              <w:szCs w:val="24"/>
            </w:rPr>
            <w:tab/>
          </w:r>
          <w:r>
            <w:rPr>
              <w:sz w:val="24"/>
              <w:szCs w:val="24"/>
            </w:rPr>
            <w:fldChar w:fldCharType="begin"/>
          </w:r>
          <w:r>
            <w:rPr>
              <w:sz w:val="24"/>
              <w:szCs w:val="24"/>
            </w:rPr>
            <w:instrText xml:space="preserve"> PAGEREF _Toc6498 \h </w:instrText>
          </w:r>
          <w:r>
            <w:rPr>
              <w:sz w:val="24"/>
              <w:szCs w:val="24"/>
            </w:rPr>
            <w:fldChar w:fldCharType="separate"/>
          </w:r>
          <w:r>
            <w:rPr>
              <w:sz w:val="24"/>
              <w:szCs w:val="24"/>
            </w:rPr>
            <w:t>63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_Toc17373 </w:instrText>
          </w:r>
          <w:r>
            <w:rPr>
              <w:sz w:val="24"/>
              <w:szCs w:val="24"/>
            </w:rPr>
            <w:fldChar w:fldCharType="separate"/>
          </w:r>
          <w:r>
            <w:rPr>
              <w:rFonts w:hint="eastAsia"/>
              <w:sz w:val="24"/>
              <w:szCs w:val="24"/>
              <w:lang w:val="en-US" w:eastAsia="zh-CN"/>
            </w:rPr>
            <w:t>5.1.2施工废水影响分析</w:t>
          </w:r>
          <w:r>
            <w:rPr>
              <w:sz w:val="24"/>
              <w:szCs w:val="24"/>
            </w:rPr>
            <w:tab/>
          </w:r>
          <w:r>
            <w:rPr>
              <w:sz w:val="24"/>
              <w:szCs w:val="24"/>
            </w:rPr>
            <w:fldChar w:fldCharType="begin"/>
          </w:r>
          <w:r>
            <w:rPr>
              <w:sz w:val="24"/>
              <w:szCs w:val="24"/>
            </w:rPr>
            <w:instrText xml:space="preserve"> PAGEREF _Toc17373 \h </w:instrText>
          </w:r>
          <w:r>
            <w:rPr>
              <w:sz w:val="24"/>
              <w:szCs w:val="24"/>
            </w:rPr>
            <w:fldChar w:fldCharType="separate"/>
          </w:r>
          <w:r>
            <w:rPr>
              <w:sz w:val="24"/>
              <w:szCs w:val="24"/>
            </w:rPr>
            <w:t>64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_Toc21051 </w:instrText>
          </w:r>
          <w:r>
            <w:rPr>
              <w:sz w:val="24"/>
              <w:szCs w:val="24"/>
            </w:rPr>
            <w:fldChar w:fldCharType="separate"/>
          </w:r>
          <w:r>
            <w:rPr>
              <w:rFonts w:hint="eastAsia"/>
              <w:sz w:val="24"/>
              <w:szCs w:val="24"/>
              <w:lang w:val="en-US" w:eastAsia="zh-CN"/>
            </w:rPr>
            <w:t>5.1.3施工期噪声影响分析</w:t>
          </w:r>
          <w:r>
            <w:rPr>
              <w:sz w:val="24"/>
              <w:szCs w:val="24"/>
            </w:rPr>
            <w:tab/>
          </w:r>
          <w:r>
            <w:rPr>
              <w:sz w:val="24"/>
              <w:szCs w:val="24"/>
            </w:rPr>
            <w:fldChar w:fldCharType="begin"/>
          </w:r>
          <w:r>
            <w:rPr>
              <w:sz w:val="24"/>
              <w:szCs w:val="24"/>
            </w:rPr>
            <w:instrText xml:space="preserve"> PAGEREF _Toc21051 \h </w:instrText>
          </w:r>
          <w:r>
            <w:rPr>
              <w:sz w:val="24"/>
              <w:szCs w:val="24"/>
            </w:rPr>
            <w:fldChar w:fldCharType="separate"/>
          </w:r>
          <w:r>
            <w:rPr>
              <w:sz w:val="24"/>
              <w:szCs w:val="24"/>
            </w:rPr>
            <w:t>64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_Toc27811 </w:instrText>
          </w:r>
          <w:r>
            <w:rPr>
              <w:sz w:val="24"/>
              <w:szCs w:val="24"/>
            </w:rPr>
            <w:fldChar w:fldCharType="separate"/>
          </w:r>
          <w:r>
            <w:rPr>
              <w:rFonts w:hint="eastAsia"/>
              <w:sz w:val="24"/>
              <w:szCs w:val="24"/>
              <w:lang w:val="en-US" w:eastAsia="zh-CN"/>
            </w:rPr>
            <w:t>5.1.4</w:t>
          </w:r>
          <w:r>
            <w:rPr>
              <w:rFonts w:hint="default"/>
              <w:sz w:val="24"/>
              <w:szCs w:val="24"/>
              <w:lang w:val="en-US" w:eastAsia="zh-CN"/>
            </w:rPr>
            <w:t>施工期固体废物环境影响分析</w:t>
          </w:r>
          <w:r>
            <w:rPr>
              <w:sz w:val="24"/>
              <w:szCs w:val="24"/>
            </w:rPr>
            <w:tab/>
          </w:r>
          <w:r>
            <w:rPr>
              <w:sz w:val="24"/>
              <w:szCs w:val="24"/>
            </w:rPr>
            <w:fldChar w:fldCharType="begin"/>
          </w:r>
          <w:r>
            <w:rPr>
              <w:sz w:val="24"/>
              <w:szCs w:val="24"/>
            </w:rPr>
            <w:instrText xml:space="preserve"> PAGEREF _Toc27811 \h </w:instrText>
          </w:r>
          <w:r>
            <w:rPr>
              <w:sz w:val="24"/>
              <w:szCs w:val="24"/>
            </w:rPr>
            <w:fldChar w:fldCharType="separate"/>
          </w:r>
          <w:r>
            <w:rPr>
              <w:sz w:val="24"/>
              <w:szCs w:val="24"/>
            </w:rPr>
            <w:t>64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_Toc16403 </w:instrText>
          </w:r>
          <w:r>
            <w:rPr>
              <w:sz w:val="24"/>
              <w:szCs w:val="24"/>
            </w:rPr>
            <w:fldChar w:fldCharType="separate"/>
          </w:r>
          <w:r>
            <w:rPr>
              <w:rFonts w:hint="eastAsia"/>
              <w:sz w:val="24"/>
              <w:szCs w:val="24"/>
              <w:lang w:val="en-US" w:eastAsia="zh-CN"/>
            </w:rPr>
            <w:t>5.1.5</w:t>
          </w:r>
          <w:r>
            <w:rPr>
              <w:sz w:val="24"/>
              <w:szCs w:val="24"/>
            </w:rPr>
            <w:t>施工期生态环境影响分析</w:t>
          </w:r>
          <w:r>
            <w:rPr>
              <w:sz w:val="24"/>
              <w:szCs w:val="24"/>
            </w:rPr>
            <w:tab/>
          </w:r>
          <w:r>
            <w:rPr>
              <w:sz w:val="24"/>
              <w:szCs w:val="24"/>
            </w:rPr>
            <w:fldChar w:fldCharType="begin"/>
          </w:r>
          <w:r>
            <w:rPr>
              <w:sz w:val="24"/>
              <w:szCs w:val="24"/>
            </w:rPr>
            <w:instrText xml:space="preserve"> PAGEREF _Toc16403 \h </w:instrText>
          </w:r>
          <w:r>
            <w:rPr>
              <w:sz w:val="24"/>
              <w:szCs w:val="24"/>
            </w:rPr>
            <w:fldChar w:fldCharType="separate"/>
          </w:r>
          <w:r>
            <w:rPr>
              <w:sz w:val="24"/>
              <w:szCs w:val="24"/>
            </w:rPr>
            <w:t>65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_Toc17469 </w:instrText>
          </w:r>
          <w:r>
            <w:rPr>
              <w:sz w:val="24"/>
              <w:szCs w:val="24"/>
            </w:rPr>
            <w:fldChar w:fldCharType="separate"/>
          </w:r>
          <w:r>
            <w:rPr>
              <w:rFonts w:hint="eastAsia"/>
              <w:sz w:val="24"/>
              <w:szCs w:val="24"/>
              <w:lang w:val="en-US" w:eastAsia="zh-CN"/>
            </w:rPr>
            <w:t>5.1.6防沙治沙</w:t>
          </w:r>
          <w:r>
            <w:rPr>
              <w:sz w:val="24"/>
              <w:szCs w:val="24"/>
            </w:rPr>
            <w:tab/>
          </w:r>
          <w:r>
            <w:rPr>
              <w:sz w:val="24"/>
              <w:szCs w:val="24"/>
            </w:rPr>
            <w:fldChar w:fldCharType="begin"/>
          </w:r>
          <w:r>
            <w:rPr>
              <w:sz w:val="24"/>
              <w:szCs w:val="24"/>
            </w:rPr>
            <w:instrText xml:space="preserve"> PAGEREF _Toc17469 \h </w:instrText>
          </w:r>
          <w:r>
            <w:rPr>
              <w:sz w:val="24"/>
              <w:szCs w:val="24"/>
            </w:rPr>
            <w:fldChar w:fldCharType="separate"/>
          </w:r>
          <w:r>
            <w:rPr>
              <w:sz w:val="24"/>
              <w:szCs w:val="24"/>
            </w:rPr>
            <w:t>65</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_Toc18686 </w:instrText>
          </w:r>
          <w:r>
            <w:rPr>
              <w:sz w:val="24"/>
              <w:szCs w:val="24"/>
            </w:rPr>
            <w:fldChar w:fldCharType="separate"/>
          </w:r>
          <w:r>
            <w:rPr>
              <w:rFonts w:hint="eastAsia"/>
              <w:sz w:val="24"/>
              <w:szCs w:val="24"/>
              <w:lang w:val="en-US" w:eastAsia="zh-CN"/>
            </w:rPr>
            <w:t>5.2</w:t>
          </w:r>
          <w:r>
            <w:rPr>
              <w:sz w:val="24"/>
              <w:szCs w:val="24"/>
            </w:rPr>
            <w:t>运营期环境影响分析</w:t>
          </w:r>
          <w:r>
            <w:rPr>
              <w:sz w:val="24"/>
              <w:szCs w:val="24"/>
            </w:rPr>
            <w:tab/>
          </w:r>
          <w:r>
            <w:rPr>
              <w:sz w:val="24"/>
              <w:szCs w:val="24"/>
            </w:rPr>
            <w:fldChar w:fldCharType="begin"/>
          </w:r>
          <w:r>
            <w:rPr>
              <w:sz w:val="24"/>
              <w:szCs w:val="24"/>
            </w:rPr>
            <w:instrText xml:space="preserve"> PAGEREF _Toc18686 \h </w:instrText>
          </w:r>
          <w:r>
            <w:rPr>
              <w:sz w:val="24"/>
              <w:szCs w:val="24"/>
            </w:rPr>
            <w:fldChar w:fldCharType="separate"/>
          </w:r>
          <w:r>
            <w:rPr>
              <w:sz w:val="24"/>
              <w:szCs w:val="24"/>
            </w:rPr>
            <w:t>66</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color w:val="0000FF"/>
              <w:sz w:val="24"/>
              <w:szCs w:val="24"/>
            </w:rPr>
            <w:sectPr>
              <w:footerReference r:id="rId7" w:type="default"/>
              <w:pgSz w:w="11906" w:h="16838"/>
              <w:pgMar w:top="1440" w:right="1800" w:bottom="1440" w:left="1800" w:header="1077" w:footer="992" w:gutter="0"/>
              <w:pgBorders>
                <w:top w:val="none" w:sz="0" w:space="0"/>
                <w:left w:val="none" w:sz="0" w:space="0"/>
                <w:bottom w:val="none" w:sz="0" w:space="0"/>
                <w:right w:val="none" w:sz="0" w:space="0"/>
              </w:pgBorders>
              <w:pgNumType w:fmt="upperRoman"/>
              <w:cols w:space="425" w:num="1"/>
              <w:docGrid w:type="lines" w:linePitch="312" w:charSpace="0"/>
            </w:sectPr>
          </w:pP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_Toc8432 </w:instrText>
          </w:r>
          <w:r>
            <w:rPr>
              <w:sz w:val="24"/>
              <w:szCs w:val="24"/>
            </w:rPr>
            <w:fldChar w:fldCharType="separate"/>
          </w:r>
          <w:r>
            <w:rPr>
              <w:sz w:val="24"/>
              <w:szCs w:val="24"/>
            </w:rPr>
            <w:t>5.2.</w:t>
          </w:r>
          <w:r>
            <w:rPr>
              <w:rFonts w:hint="eastAsia"/>
              <w:sz w:val="24"/>
              <w:szCs w:val="24"/>
              <w:lang w:val="en-US" w:eastAsia="zh-CN"/>
            </w:rPr>
            <w:t>1</w:t>
          </w:r>
          <w:r>
            <w:rPr>
              <w:sz w:val="24"/>
              <w:szCs w:val="24"/>
            </w:rPr>
            <w:t>大气环境影响分析</w:t>
          </w:r>
          <w:r>
            <w:rPr>
              <w:sz w:val="24"/>
              <w:szCs w:val="24"/>
            </w:rPr>
            <w:tab/>
          </w:r>
          <w:r>
            <w:rPr>
              <w:sz w:val="24"/>
              <w:szCs w:val="24"/>
            </w:rPr>
            <w:fldChar w:fldCharType="begin"/>
          </w:r>
          <w:r>
            <w:rPr>
              <w:sz w:val="24"/>
              <w:szCs w:val="24"/>
            </w:rPr>
            <w:instrText xml:space="preserve"> PAGEREF _Toc8432 \h </w:instrText>
          </w:r>
          <w:r>
            <w:rPr>
              <w:sz w:val="24"/>
              <w:szCs w:val="24"/>
            </w:rPr>
            <w:fldChar w:fldCharType="separate"/>
          </w:r>
          <w:r>
            <w:rPr>
              <w:sz w:val="24"/>
              <w:szCs w:val="24"/>
            </w:rPr>
            <w:t>66</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_Toc22694 </w:instrText>
          </w:r>
          <w:r>
            <w:rPr>
              <w:sz w:val="24"/>
              <w:szCs w:val="24"/>
            </w:rPr>
            <w:fldChar w:fldCharType="separate"/>
          </w:r>
          <w:r>
            <w:rPr>
              <w:sz w:val="24"/>
              <w:szCs w:val="24"/>
            </w:rPr>
            <w:t>5.</w:t>
          </w:r>
          <w:r>
            <w:rPr>
              <w:rFonts w:hint="eastAsia"/>
              <w:sz w:val="24"/>
              <w:szCs w:val="24"/>
              <w:lang w:val="en-US" w:eastAsia="zh-CN"/>
            </w:rPr>
            <w:t>2</w:t>
          </w:r>
          <w:r>
            <w:rPr>
              <w:sz w:val="24"/>
              <w:szCs w:val="24"/>
            </w:rPr>
            <w:t>.</w:t>
          </w:r>
          <w:r>
            <w:rPr>
              <w:rFonts w:hint="eastAsia"/>
              <w:sz w:val="24"/>
              <w:szCs w:val="24"/>
              <w:lang w:val="en-US" w:eastAsia="zh-CN"/>
            </w:rPr>
            <w:t>2地表水</w:t>
          </w:r>
          <w:r>
            <w:rPr>
              <w:sz w:val="24"/>
              <w:szCs w:val="24"/>
            </w:rPr>
            <w:t>环境影响分析</w:t>
          </w:r>
          <w:r>
            <w:rPr>
              <w:sz w:val="24"/>
              <w:szCs w:val="24"/>
            </w:rPr>
            <w:tab/>
          </w:r>
          <w:r>
            <w:rPr>
              <w:sz w:val="24"/>
              <w:szCs w:val="24"/>
            </w:rPr>
            <w:fldChar w:fldCharType="begin"/>
          </w:r>
          <w:r>
            <w:rPr>
              <w:sz w:val="24"/>
              <w:szCs w:val="24"/>
            </w:rPr>
            <w:instrText xml:space="preserve"> PAGEREF _Toc22694 \h </w:instrText>
          </w:r>
          <w:r>
            <w:rPr>
              <w:sz w:val="24"/>
              <w:szCs w:val="24"/>
            </w:rPr>
            <w:fldChar w:fldCharType="separate"/>
          </w:r>
          <w:r>
            <w:rPr>
              <w:sz w:val="24"/>
              <w:szCs w:val="24"/>
            </w:rPr>
            <w:t>75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_Toc23633 </w:instrText>
          </w:r>
          <w:r>
            <w:rPr>
              <w:sz w:val="24"/>
              <w:szCs w:val="24"/>
            </w:rPr>
            <w:fldChar w:fldCharType="separate"/>
          </w:r>
          <w:r>
            <w:rPr>
              <w:sz w:val="24"/>
              <w:szCs w:val="24"/>
            </w:rPr>
            <w:t>5.</w:t>
          </w:r>
          <w:r>
            <w:rPr>
              <w:rFonts w:hint="eastAsia"/>
              <w:sz w:val="24"/>
              <w:szCs w:val="24"/>
              <w:lang w:val="en-US" w:eastAsia="zh-CN"/>
            </w:rPr>
            <w:t>2.3</w:t>
          </w:r>
          <w:r>
            <w:rPr>
              <w:sz w:val="24"/>
              <w:szCs w:val="24"/>
            </w:rPr>
            <w:t>地下水环境影响分析</w:t>
          </w:r>
          <w:r>
            <w:rPr>
              <w:sz w:val="24"/>
              <w:szCs w:val="24"/>
            </w:rPr>
            <w:tab/>
          </w:r>
          <w:r>
            <w:rPr>
              <w:sz w:val="24"/>
              <w:szCs w:val="24"/>
            </w:rPr>
            <w:fldChar w:fldCharType="begin"/>
          </w:r>
          <w:r>
            <w:rPr>
              <w:sz w:val="24"/>
              <w:szCs w:val="24"/>
            </w:rPr>
            <w:instrText xml:space="preserve"> PAGEREF _Toc23633 \h </w:instrText>
          </w:r>
          <w:r>
            <w:rPr>
              <w:sz w:val="24"/>
              <w:szCs w:val="24"/>
            </w:rPr>
            <w:fldChar w:fldCharType="separate"/>
          </w:r>
          <w:r>
            <w:rPr>
              <w:sz w:val="24"/>
              <w:szCs w:val="24"/>
            </w:rPr>
            <w:t>79</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_Toc21657 </w:instrText>
          </w:r>
          <w:r>
            <w:rPr>
              <w:sz w:val="24"/>
              <w:szCs w:val="24"/>
            </w:rPr>
            <w:fldChar w:fldCharType="separate"/>
          </w:r>
          <w:r>
            <w:rPr>
              <w:sz w:val="24"/>
              <w:szCs w:val="24"/>
            </w:rPr>
            <w:t>5.</w:t>
          </w:r>
          <w:r>
            <w:rPr>
              <w:rFonts w:hint="eastAsia"/>
              <w:sz w:val="24"/>
              <w:szCs w:val="24"/>
              <w:lang w:val="en-US" w:eastAsia="zh-CN"/>
            </w:rPr>
            <w:t>2.4</w:t>
          </w:r>
          <w:r>
            <w:rPr>
              <w:sz w:val="24"/>
              <w:szCs w:val="24"/>
            </w:rPr>
            <w:t>声环境影响分析</w:t>
          </w:r>
          <w:r>
            <w:rPr>
              <w:sz w:val="24"/>
              <w:szCs w:val="24"/>
            </w:rPr>
            <w:tab/>
          </w:r>
          <w:r>
            <w:rPr>
              <w:sz w:val="24"/>
              <w:szCs w:val="24"/>
            </w:rPr>
            <w:fldChar w:fldCharType="begin"/>
          </w:r>
          <w:r>
            <w:rPr>
              <w:sz w:val="24"/>
              <w:szCs w:val="24"/>
            </w:rPr>
            <w:instrText xml:space="preserve"> PAGEREF _Toc21657 \h </w:instrText>
          </w:r>
          <w:r>
            <w:rPr>
              <w:sz w:val="24"/>
              <w:szCs w:val="24"/>
            </w:rPr>
            <w:fldChar w:fldCharType="separate"/>
          </w:r>
          <w:r>
            <w:rPr>
              <w:sz w:val="24"/>
              <w:szCs w:val="24"/>
            </w:rPr>
            <w:t>79</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_Toc5848 </w:instrText>
          </w:r>
          <w:r>
            <w:rPr>
              <w:sz w:val="24"/>
              <w:szCs w:val="24"/>
            </w:rPr>
            <w:fldChar w:fldCharType="separate"/>
          </w:r>
          <w:r>
            <w:rPr>
              <w:sz w:val="24"/>
              <w:szCs w:val="24"/>
              <w:highlight w:val="none"/>
            </w:rPr>
            <w:t>5.</w:t>
          </w:r>
          <w:r>
            <w:rPr>
              <w:rFonts w:hint="eastAsia"/>
              <w:sz w:val="24"/>
              <w:szCs w:val="24"/>
              <w:highlight w:val="none"/>
              <w:lang w:val="en-US" w:eastAsia="zh-CN"/>
            </w:rPr>
            <w:t>2</w:t>
          </w:r>
          <w:r>
            <w:rPr>
              <w:sz w:val="24"/>
              <w:szCs w:val="24"/>
              <w:highlight w:val="none"/>
            </w:rPr>
            <w:t>.</w:t>
          </w:r>
          <w:r>
            <w:rPr>
              <w:rFonts w:hint="eastAsia"/>
              <w:sz w:val="24"/>
              <w:szCs w:val="24"/>
              <w:highlight w:val="none"/>
              <w:lang w:val="en-US" w:eastAsia="zh-CN"/>
            </w:rPr>
            <w:t>5</w:t>
          </w:r>
          <w:r>
            <w:rPr>
              <w:sz w:val="24"/>
              <w:szCs w:val="24"/>
              <w:highlight w:val="none"/>
            </w:rPr>
            <w:t>固废环境影响分析</w:t>
          </w:r>
          <w:r>
            <w:rPr>
              <w:sz w:val="24"/>
              <w:szCs w:val="24"/>
            </w:rPr>
            <w:tab/>
          </w:r>
          <w:r>
            <w:rPr>
              <w:sz w:val="24"/>
              <w:szCs w:val="24"/>
            </w:rPr>
            <w:fldChar w:fldCharType="begin"/>
          </w:r>
          <w:r>
            <w:rPr>
              <w:sz w:val="24"/>
              <w:szCs w:val="24"/>
            </w:rPr>
            <w:instrText xml:space="preserve"> PAGEREF _Toc5848 \h </w:instrText>
          </w:r>
          <w:r>
            <w:rPr>
              <w:sz w:val="24"/>
              <w:szCs w:val="24"/>
            </w:rPr>
            <w:fldChar w:fldCharType="separate"/>
          </w:r>
          <w:r>
            <w:rPr>
              <w:sz w:val="24"/>
              <w:szCs w:val="24"/>
            </w:rPr>
            <w:t>81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_Toc28679 </w:instrText>
          </w:r>
          <w:r>
            <w:rPr>
              <w:sz w:val="24"/>
              <w:szCs w:val="24"/>
            </w:rPr>
            <w:fldChar w:fldCharType="separate"/>
          </w:r>
          <w:r>
            <w:rPr>
              <w:sz w:val="24"/>
              <w:szCs w:val="24"/>
            </w:rPr>
            <w:t>5.</w:t>
          </w:r>
          <w:r>
            <w:rPr>
              <w:rFonts w:hint="eastAsia"/>
              <w:sz w:val="24"/>
              <w:szCs w:val="24"/>
              <w:lang w:val="en-US" w:eastAsia="zh-CN"/>
            </w:rPr>
            <w:t>5.6</w:t>
          </w:r>
          <w:r>
            <w:rPr>
              <w:sz w:val="24"/>
              <w:szCs w:val="24"/>
            </w:rPr>
            <w:t>土壤环境影响预测与评价</w:t>
          </w:r>
          <w:r>
            <w:rPr>
              <w:sz w:val="24"/>
              <w:szCs w:val="24"/>
            </w:rPr>
            <w:tab/>
          </w:r>
          <w:r>
            <w:rPr>
              <w:sz w:val="24"/>
              <w:szCs w:val="24"/>
            </w:rPr>
            <w:fldChar w:fldCharType="begin"/>
          </w:r>
          <w:r>
            <w:rPr>
              <w:sz w:val="24"/>
              <w:szCs w:val="24"/>
            </w:rPr>
            <w:instrText xml:space="preserve"> PAGEREF _Toc28679 \h </w:instrText>
          </w:r>
          <w:r>
            <w:rPr>
              <w:sz w:val="24"/>
              <w:szCs w:val="24"/>
            </w:rPr>
            <w:fldChar w:fldCharType="separate"/>
          </w:r>
          <w:r>
            <w:rPr>
              <w:sz w:val="24"/>
              <w:szCs w:val="24"/>
            </w:rPr>
            <w:t>82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_Toc24868 </w:instrText>
          </w:r>
          <w:r>
            <w:rPr>
              <w:sz w:val="24"/>
              <w:szCs w:val="24"/>
            </w:rPr>
            <w:fldChar w:fldCharType="separate"/>
          </w:r>
          <w:r>
            <w:rPr>
              <w:sz w:val="24"/>
              <w:szCs w:val="24"/>
            </w:rPr>
            <w:t>5.</w:t>
          </w:r>
          <w:r>
            <w:rPr>
              <w:rFonts w:hint="eastAsia"/>
              <w:sz w:val="24"/>
              <w:szCs w:val="24"/>
              <w:lang w:val="en-US" w:eastAsia="zh-CN"/>
            </w:rPr>
            <w:t>5</w:t>
          </w:r>
          <w:r>
            <w:rPr>
              <w:sz w:val="24"/>
              <w:szCs w:val="24"/>
            </w:rPr>
            <w:t>.</w:t>
          </w:r>
          <w:r>
            <w:rPr>
              <w:rFonts w:hint="eastAsia"/>
              <w:sz w:val="24"/>
              <w:szCs w:val="24"/>
              <w:lang w:val="en-US" w:eastAsia="zh-CN"/>
            </w:rPr>
            <w:t>7</w:t>
          </w:r>
          <w:r>
            <w:rPr>
              <w:sz w:val="24"/>
              <w:szCs w:val="24"/>
            </w:rPr>
            <w:t>环境风险分析</w:t>
          </w:r>
          <w:r>
            <w:rPr>
              <w:sz w:val="24"/>
              <w:szCs w:val="24"/>
            </w:rPr>
            <w:tab/>
          </w:r>
          <w:r>
            <w:rPr>
              <w:sz w:val="24"/>
              <w:szCs w:val="24"/>
            </w:rPr>
            <w:fldChar w:fldCharType="begin"/>
          </w:r>
          <w:r>
            <w:rPr>
              <w:sz w:val="24"/>
              <w:szCs w:val="24"/>
            </w:rPr>
            <w:instrText xml:space="preserve"> PAGEREF _Toc24868 \h </w:instrText>
          </w:r>
          <w:r>
            <w:rPr>
              <w:sz w:val="24"/>
              <w:szCs w:val="24"/>
            </w:rPr>
            <w:fldChar w:fldCharType="separate"/>
          </w:r>
          <w:r>
            <w:rPr>
              <w:sz w:val="24"/>
              <w:szCs w:val="24"/>
            </w:rPr>
            <w:t>82</w:t>
          </w:r>
          <w:r>
            <w:rPr>
              <w:sz w:val="24"/>
              <w:szCs w:val="24"/>
            </w:rPr>
            <w:fldChar w:fldCharType="end"/>
          </w:r>
          <w:r>
            <w:rPr>
              <w:color w:val="0000FF"/>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_Toc17022 </w:instrText>
          </w:r>
          <w:r>
            <w:rPr>
              <w:sz w:val="24"/>
              <w:szCs w:val="24"/>
            </w:rPr>
            <w:fldChar w:fldCharType="separate"/>
          </w:r>
          <w:r>
            <w:rPr>
              <w:rFonts w:hint="eastAsia"/>
              <w:sz w:val="24"/>
              <w:szCs w:val="24"/>
              <w:lang w:val="en-US" w:eastAsia="zh-CN"/>
            </w:rPr>
            <w:t>6施工期环保措施分析</w:t>
          </w:r>
          <w:r>
            <w:rPr>
              <w:sz w:val="24"/>
              <w:szCs w:val="24"/>
            </w:rPr>
            <w:tab/>
          </w:r>
          <w:r>
            <w:rPr>
              <w:sz w:val="24"/>
              <w:szCs w:val="24"/>
            </w:rPr>
            <w:fldChar w:fldCharType="begin"/>
          </w:r>
          <w:r>
            <w:rPr>
              <w:sz w:val="24"/>
              <w:szCs w:val="24"/>
            </w:rPr>
            <w:instrText xml:space="preserve"> PAGEREF _Toc17022 \h </w:instrText>
          </w:r>
          <w:r>
            <w:rPr>
              <w:sz w:val="24"/>
              <w:szCs w:val="24"/>
            </w:rPr>
            <w:fldChar w:fldCharType="separate"/>
          </w:r>
          <w:r>
            <w:rPr>
              <w:sz w:val="24"/>
              <w:szCs w:val="24"/>
            </w:rPr>
            <w:t>93</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_Toc16467 </w:instrText>
          </w:r>
          <w:r>
            <w:rPr>
              <w:sz w:val="24"/>
              <w:szCs w:val="24"/>
            </w:rPr>
            <w:fldChar w:fldCharType="separate"/>
          </w:r>
          <w:r>
            <w:rPr>
              <w:sz w:val="24"/>
              <w:szCs w:val="24"/>
            </w:rPr>
            <w:t>6.1施工期污染防治措施</w:t>
          </w:r>
          <w:r>
            <w:rPr>
              <w:sz w:val="24"/>
              <w:szCs w:val="24"/>
            </w:rPr>
            <w:tab/>
          </w:r>
          <w:r>
            <w:rPr>
              <w:sz w:val="24"/>
              <w:szCs w:val="24"/>
            </w:rPr>
            <w:fldChar w:fldCharType="begin"/>
          </w:r>
          <w:r>
            <w:rPr>
              <w:sz w:val="24"/>
              <w:szCs w:val="24"/>
            </w:rPr>
            <w:instrText xml:space="preserve"> PAGEREF _Toc16467 \h </w:instrText>
          </w:r>
          <w:r>
            <w:rPr>
              <w:sz w:val="24"/>
              <w:szCs w:val="24"/>
            </w:rPr>
            <w:fldChar w:fldCharType="separate"/>
          </w:r>
          <w:r>
            <w:rPr>
              <w:sz w:val="24"/>
              <w:szCs w:val="24"/>
            </w:rPr>
            <w:t>93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_Toc24924 </w:instrText>
          </w:r>
          <w:r>
            <w:rPr>
              <w:sz w:val="24"/>
              <w:szCs w:val="24"/>
            </w:rPr>
            <w:fldChar w:fldCharType="separate"/>
          </w:r>
          <w:r>
            <w:rPr>
              <w:rFonts w:hint="eastAsia"/>
              <w:sz w:val="24"/>
              <w:szCs w:val="24"/>
              <w:lang w:val="en-US" w:eastAsia="zh-CN"/>
            </w:rPr>
            <w:t>6</w:t>
          </w:r>
          <w:r>
            <w:rPr>
              <w:sz w:val="24"/>
              <w:szCs w:val="24"/>
            </w:rPr>
            <w:t>.1.1</w:t>
          </w:r>
          <w:r>
            <w:rPr>
              <w:rFonts w:hint="eastAsia"/>
              <w:sz w:val="24"/>
              <w:szCs w:val="24"/>
              <w:lang w:val="en-US" w:eastAsia="zh-CN"/>
            </w:rPr>
            <w:t>大气污染防治措施</w:t>
          </w:r>
          <w:r>
            <w:rPr>
              <w:sz w:val="24"/>
              <w:szCs w:val="24"/>
            </w:rPr>
            <w:tab/>
          </w:r>
          <w:r>
            <w:rPr>
              <w:sz w:val="24"/>
              <w:szCs w:val="24"/>
            </w:rPr>
            <w:fldChar w:fldCharType="begin"/>
          </w:r>
          <w:r>
            <w:rPr>
              <w:sz w:val="24"/>
              <w:szCs w:val="24"/>
            </w:rPr>
            <w:instrText xml:space="preserve"> PAGEREF _Toc24924 \h </w:instrText>
          </w:r>
          <w:r>
            <w:rPr>
              <w:sz w:val="24"/>
              <w:szCs w:val="24"/>
            </w:rPr>
            <w:fldChar w:fldCharType="separate"/>
          </w:r>
          <w:r>
            <w:rPr>
              <w:sz w:val="24"/>
              <w:szCs w:val="24"/>
            </w:rPr>
            <w:t>93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_Toc28182 </w:instrText>
          </w:r>
          <w:r>
            <w:rPr>
              <w:sz w:val="24"/>
              <w:szCs w:val="24"/>
            </w:rPr>
            <w:fldChar w:fldCharType="separate"/>
          </w:r>
          <w:r>
            <w:rPr>
              <w:rFonts w:hint="eastAsia"/>
              <w:sz w:val="24"/>
              <w:szCs w:val="24"/>
              <w:lang w:val="en-US" w:eastAsia="zh-CN"/>
            </w:rPr>
            <w:t>6.1.2水污染防治措施</w:t>
          </w:r>
          <w:r>
            <w:rPr>
              <w:sz w:val="24"/>
              <w:szCs w:val="24"/>
            </w:rPr>
            <w:tab/>
          </w:r>
          <w:r>
            <w:rPr>
              <w:sz w:val="24"/>
              <w:szCs w:val="24"/>
            </w:rPr>
            <w:fldChar w:fldCharType="begin"/>
          </w:r>
          <w:r>
            <w:rPr>
              <w:sz w:val="24"/>
              <w:szCs w:val="24"/>
            </w:rPr>
            <w:instrText xml:space="preserve"> PAGEREF _Toc28182 \h </w:instrText>
          </w:r>
          <w:r>
            <w:rPr>
              <w:sz w:val="24"/>
              <w:szCs w:val="24"/>
            </w:rPr>
            <w:fldChar w:fldCharType="separate"/>
          </w:r>
          <w:r>
            <w:rPr>
              <w:sz w:val="24"/>
              <w:szCs w:val="24"/>
            </w:rPr>
            <w:t>94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_Toc31257 </w:instrText>
          </w:r>
          <w:r>
            <w:rPr>
              <w:sz w:val="24"/>
              <w:szCs w:val="24"/>
            </w:rPr>
            <w:fldChar w:fldCharType="separate"/>
          </w:r>
          <w:r>
            <w:rPr>
              <w:rFonts w:hint="eastAsia"/>
              <w:sz w:val="24"/>
              <w:szCs w:val="24"/>
              <w:lang w:val="en-US" w:eastAsia="zh-CN"/>
            </w:rPr>
            <w:t>6.1.3噪声污染防治措施</w:t>
          </w:r>
          <w:r>
            <w:rPr>
              <w:sz w:val="24"/>
              <w:szCs w:val="24"/>
            </w:rPr>
            <w:tab/>
          </w:r>
          <w:r>
            <w:rPr>
              <w:sz w:val="24"/>
              <w:szCs w:val="24"/>
            </w:rPr>
            <w:fldChar w:fldCharType="begin"/>
          </w:r>
          <w:r>
            <w:rPr>
              <w:sz w:val="24"/>
              <w:szCs w:val="24"/>
            </w:rPr>
            <w:instrText xml:space="preserve"> PAGEREF _Toc31257 \h </w:instrText>
          </w:r>
          <w:r>
            <w:rPr>
              <w:sz w:val="24"/>
              <w:szCs w:val="24"/>
            </w:rPr>
            <w:fldChar w:fldCharType="separate"/>
          </w:r>
          <w:r>
            <w:rPr>
              <w:sz w:val="24"/>
              <w:szCs w:val="24"/>
            </w:rPr>
            <w:t>94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_Toc31340 </w:instrText>
          </w:r>
          <w:r>
            <w:rPr>
              <w:sz w:val="24"/>
              <w:szCs w:val="24"/>
            </w:rPr>
            <w:fldChar w:fldCharType="separate"/>
          </w:r>
          <w:r>
            <w:rPr>
              <w:rFonts w:hint="eastAsia"/>
              <w:sz w:val="24"/>
              <w:szCs w:val="24"/>
              <w:lang w:val="en-US" w:eastAsia="zh-CN"/>
            </w:rPr>
            <w:t>6.1.4</w:t>
          </w:r>
          <w:r>
            <w:rPr>
              <w:rFonts w:hint="default"/>
              <w:sz w:val="24"/>
              <w:szCs w:val="24"/>
              <w:lang w:val="en-US" w:eastAsia="zh-CN"/>
            </w:rPr>
            <w:t>固体废物</w:t>
          </w:r>
          <w:r>
            <w:rPr>
              <w:rFonts w:hint="eastAsia"/>
              <w:sz w:val="24"/>
              <w:szCs w:val="24"/>
              <w:lang w:val="en-US" w:eastAsia="zh-CN"/>
            </w:rPr>
            <w:t>污染防治措施</w:t>
          </w:r>
          <w:r>
            <w:rPr>
              <w:sz w:val="24"/>
              <w:szCs w:val="24"/>
            </w:rPr>
            <w:tab/>
          </w:r>
          <w:r>
            <w:rPr>
              <w:sz w:val="24"/>
              <w:szCs w:val="24"/>
            </w:rPr>
            <w:fldChar w:fldCharType="begin"/>
          </w:r>
          <w:r>
            <w:rPr>
              <w:sz w:val="24"/>
              <w:szCs w:val="24"/>
            </w:rPr>
            <w:instrText xml:space="preserve"> PAGEREF _Toc31340 \h </w:instrText>
          </w:r>
          <w:r>
            <w:rPr>
              <w:sz w:val="24"/>
              <w:szCs w:val="24"/>
            </w:rPr>
            <w:fldChar w:fldCharType="separate"/>
          </w:r>
          <w:r>
            <w:rPr>
              <w:sz w:val="24"/>
              <w:szCs w:val="24"/>
            </w:rPr>
            <w:t>94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_Toc7060 </w:instrText>
          </w:r>
          <w:r>
            <w:rPr>
              <w:sz w:val="24"/>
              <w:szCs w:val="24"/>
            </w:rPr>
            <w:fldChar w:fldCharType="separate"/>
          </w:r>
          <w:r>
            <w:rPr>
              <w:rFonts w:hint="eastAsia"/>
              <w:sz w:val="24"/>
              <w:szCs w:val="24"/>
              <w:lang w:val="en-US" w:eastAsia="zh-CN"/>
            </w:rPr>
            <w:t>6.1.5</w:t>
          </w:r>
          <w:r>
            <w:rPr>
              <w:sz w:val="24"/>
              <w:szCs w:val="24"/>
            </w:rPr>
            <w:t>生态环境</w:t>
          </w:r>
          <w:r>
            <w:rPr>
              <w:rFonts w:hint="eastAsia"/>
              <w:sz w:val="24"/>
              <w:szCs w:val="24"/>
              <w:lang w:val="en-US" w:eastAsia="zh-CN"/>
            </w:rPr>
            <w:t>保护措施</w:t>
          </w:r>
          <w:r>
            <w:rPr>
              <w:sz w:val="24"/>
              <w:szCs w:val="24"/>
            </w:rPr>
            <w:tab/>
          </w:r>
          <w:r>
            <w:rPr>
              <w:sz w:val="24"/>
              <w:szCs w:val="24"/>
            </w:rPr>
            <w:fldChar w:fldCharType="begin"/>
          </w:r>
          <w:r>
            <w:rPr>
              <w:sz w:val="24"/>
              <w:szCs w:val="24"/>
            </w:rPr>
            <w:instrText xml:space="preserve"> PAGEREF _Toc7060 \h </w:instrText>
          </w:r>
          <w:r>
            <w:rPr>
              <w:sz w:val="24"/>
              <w:szCs w:val="24"/>
            </w:rPr>
            <w:fldChar w:fldCharType="separate"/>
          </w:r>
          <w:r>
            <w:rPr>
              <w:sz w:val="24"/>
              <w:szCs w:val="24"/>
            </w:rPr>
            <w:t>95</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_Toc25636 </w:instrText>
          </w:r>
          <w:r>
            <w:rPr>
              <w:sz w:val="24"/>
              <w:szCs w:val="24"/>
            </w:rPr>
            <w:fldChar w:fldCharType="separate"/>
          </w:r>
          <w:r>
            <w:rPr>
              <w:sz w:val="24"/>
              <w:szCs w:val="24"/>
            </w:rPr>
            <w:t>6.2运营期环保措施分析</w:t>
          </w:r>
          <w:r>
            <w:rPr>
              <w:sz w:val="24"/>
              <w:szCs w:val="24"/>
            </w:rPr>
            <w:tab/>
          </w:r>
          <w:r>
            <w:rPr>
              <w:sz w:val="24"/>
              <w:szCs w:val="24"/>
            </w:rPr>
            <w:fldChar w:fldCharType="begin"/>
          </w:r>
          <w:r>
            <w:rPr>
              <w:sz w:val="24"/>
              <w:szCs w:val="24"/>
            </w:rPr>
            <w:instrText xml:space="preserve"> PAGEREF _Toc25636 \h </w:instrText>
          </w:r>
          <w:r>
            <w:rPr>
              <w:sz w:val="24"/>
              <w:szCs w:val="24"/>
            </w:rPr>
            <w:fldChar w:fldCharType="separate"/>
          </w:r>
          <w:r>
            <w:rPr>
              <w:sz w:val="24"/>
              <w:szCs w:val="24"/>
            </w:rPr>
            <w:t>95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_Toc3845 </w:instrText>
          </w:r>
          <w:r>
            <w:rPr>
              <w:sz w:val="24"/>
              <w:szCs w:val="24"/>
            </w:rPr>
            <w:fldChar w:fldCharType="separate"/>
          </w:r>
          <w:r>
            <w:rPr>
              <w:sz w:val="24"/>
              <w:szCs w:val="24"/>
            </w:rPr>
            <w:t>6.2.1大气污染防治措施</w:t>
          </w:r>
          <w:r>
            <w:rPr>
              <w:sz w:val="24"/>
              <w:szCs w:val="24"/>
            </w:rPr>
            <w:tab/>
          </w:r>
          <w:r>
            <w:rPr>
              <w:sz w:val="24"/>
              <w:szCs w:val="24"/>
            </w:rPr>
            <w:fldChar w:fldCharType="begin"/>
          </w:r>
          <w:r>
            <w:rPr>
              <w:sz w:val="24"/>
              <w:szCs w:val="24"/>
            </w:rPr>
            <w:instrText xml:space="preserve"> PAGEREF _Toc3845 \h </w:instrText>
          </w:r>
          <w:r>
            <w:rPr>
              <w:sz w:val="24"/>
              <w:szCs w:val="24"/>
            </w:rPr>
            <w:fldChar w:fldCharType="separate"/>
          </w:r>
          <w:r>
            <w:rPr>
              <w:sz w:val="24"/>
              <w:szCs w:val="24"/>
            </w:rPr>
            <w:t>95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_Toc9889 </w:instrText>
          </w:r>
          <w:r>
            <w:rPr>
              <w:sz w:val="24"/>
              <w:szCs w:val="24"/>
            </w:rPr>
            <w:fldChar w:fldCharType="separate"/>
          </w:r>
          <w:r>
            <w:rPr>
              <w:sz w:val="24"/>
              <w:szCs w:val="24"/>
            </w:rPr>
            <w:t>6.2.2水污染防治措施</w:t>
          </w:r>
          <w:r>
            <w:rPr>
              <w:sz w:val="24"/>
              <w:szCs w:val="24"/>
            </w:rPr>
            <w:tab/>
          </w:r>
          <w:r>
            <w:rPr>
              <w:sz w:val="24"/>
              <w:szCs w:val="24"/>
            </w:rPr>
            <w:fldChar w:fldCharType="begin"/>
          </w:r>
          <w:r>
            <w:rPr>
              <w:sz w:val="24"/>
              <w:szCs w:val="24"/>
            </w:rPr>
            <w:instrText xml:space="preserve"> PAGEREF _Toc9889 \h </w:instrText>
          </w:r>
          <w:r>
            <w:rPr>
              <w:sz w:val="24"/>
              <w:szCs w:val="24"/>
            </w:rPr>
            <w:fldChar w:fldCharType="separate"/>
          </w:r>
          <w:r>
            <w:rPr>
              <w:sz w:val="24"/>
              <w:szCs w:val="24"/>
            </w:rPr>
            <w:t>97</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_Toc25923 </w:instrText>
          </w:r>
          <w:r>
            <w:rPr>
              <w:sz w:val="24"/>
              <w:szCs w:val="24"/>
            </w:rPr>
            <w:fldChar w:fldCharType="separate"/>
          </w:r>
          <w:r>
            <w:rPr>
              <w:sz w:val="24"/>
              <w:szCs w:val="24"/>
            </w:rPr>
            <w:t>6.2.3噪声污染防治措施</w:t>
          </w:r>
          <w:r>
            <w:rPr>
              <w:sz w:val="24"/>
              <w:szCs w:val="24"/>
            </w:rPr>
            <w:tab/>
          </w:r>
          <w:r>
            <w:rPr>
              <w:sz w:val="24"/>
              <w:szCs w:val="24"/>
            </w:rPr>
            <w:fldChar w:fldCharType="begin"/>
          </w:r>
          <w:r>
            <w:rPr>
              <w:sz w:val="24"/>
              <w:szCs w:val="24"/>
            </w:rPr>
            <w:instrText xml:space="preserve"> PAGEREF _Toc25923 \h </w:instrText>
          </w:r>
          <w:r>
            <w:rPr>
              <w:sz w:val="24"/>
              <w:szCs w:val="24"/>
            </w:rPr>
            <w:fldChar w:fldCharType="separate"/>
          </w:r>
          <w:r>
            <w:rPr>
              <w:sz w:val="24"/>
              <w:szCs w:val="24"/>
            </w:rPr>
            <w:t>101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_Toc28266 </w:instrText>
          </w:r>
          <w:r>
            <w:rPr>
              <w:sz w:val="24"/>
              <w:szCs w:val="24"/>
            </w:rPr>
            <w:fldChar w:fldCharType="separate"/>
          </w:r>
          <w:r>
            <w:rPr>
              <w:sz w:val="24"/>
              <w:szCs w:val="24"/>
            </w:rPr>
            <w:t>6.2.4固体废弃物污染防治措施</w:t>
          </w:r>
          <w:r>
            <w:rPr>
              <w:sz w:val="24"/>
              <w:szCs w:val="24"/>
            </w:rPr>
            <w:tab/>
          </w:r>
          <w:r>
            <w:rPr>
              <w:sz w:val="24"/>
              <w:szCs w:val="24"/>
            </w:rPr>
            <w:fldChar w:fldCharType="begin"/>
          </w:r>
          <w:r>
            <w:rPr>
              <w:sz w:val="24"/>
              <w:szCs w:val="24"/>
            </w:rPr>
            <w:instrText xml:space="preserve"> PAGEREF _Toc28266 \h </w:instrText>
          </w:r>
          <w:r>
            <w:rPr>
              <w:sz w:val="24"/>
              <w:szCs w:val="24"/>
            </w:rPr>
            <w:fldChar w:fldCharType="separate"/>
          </w:r>
          <w:r>
            <w:rPr>
              <w:sz w:val="24"/>
              <w:szCs w:val="24"/>
            </w:rPr>
            <w:t>101</w:t>
          </w:r>
          <w:r>
            <w:rPr>
              <w:sz w:val="24"/>
              <w:szCs w:val="24"/>
            </w:rPr>
            <w:fldChar w:fldCharType="end"/>
          </w:r>
          <w:r>
            <w:rPr>
              <w:color w:val="0000FF"/>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_Toc17280 </w:instrText>
          </w:r>
          <w:r>
            <w:rPr>
              <w:sz w:val="24"/>
              <w:szCs w:val="24"/>
            </w:rPr>
            <w:fldChar w:fldCharType="separate"/>
          </w:r>
          <w:r>
            <w:rPr>
              <w:sz w:val="24"/>
              <w:szCs w:val="24"/>
            </w:rPr>
            <w:t>7环境影响经济损益分析</w:t>
          </w:r>
          <w:r>
            <w:rPr>
              <w:sz w:val="24"/>
              <w:szCs w:val="24"/>
            </w:rPr>
            <w:tab/>
          </w:r>
          <w:r>
            <w:rPr>
              <w:sz w:val="24"/>
              <w:szCs w:val="24"/>
            </w:rPr>
            <w:fldChar w:fldCharType="begin"/>
          </w:r>
          <w:r>
            <w:rPr>
              <w:sz w:val="24"/>
              <w:szCs w:val="24"/>
            </w:rPr>
            <w:instrText xml:space="preserve"> PAGEREF _Toc17280 \h </w:instrText>
          </w:r>
          <w:r>
            <w:rPr>
              <w:sz w:val="24"/>
              <w:szCs w:val="24"/>
            </w:rPr>
            <w:fldChar w:fldCharType="separate"/>
          </w:r>
          <w:r>
            <w:rPr>
              <w:sz w:val="24"/>
              <w:szCs w:val="24"/>
            </w:rPr>
            <w:t>109</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_Toc29581 </w:instrText>
          </w:r>
          <w:r>
            <w:rPr>
              <w:sz w:val="24"/>
              <w:szCs w:val="24"/>
            </w:rPr>
            <w:fldChar w:fldCharType="separate"/>
          </w:r>
          <w:r>
            <w:rPr>
              <w:rFonts w:hint="eastAsia"/>
              <w:sz w:val="24"/>
              <w:szCs w:val="24"/>
              <w:lang w:val="en-US" w:eastAsia="zh-CN"/>
            </w:rPr>
            <w:t>7.1</w:t>
          </w:r>
          <w:r>
            <w:rPr>
              <w:sz w:val="24"/>
              <w:szCs w:val="24"/>
            </w:rPr>
            <w:t>环境经济损益分析的目的</w:t>
          </w:r>
          <w:r>
            <w:rPr>
              <w:sz w:val="24"/>
              <w:szCs w:val="24"/>
            </w:rPr>
            <w:tab/>
          </w:r>
          <w:r>
            <w:rPr>
              <w:sz w:val="24"/>
              <w:szCs w:val="24"/>
            </w:rPr>
            <w:fldChar w:fldCharType="begin"/>
          </w:r>
          <w:r>
            <w:rPr>
              <w:sz w:val="24"/>
              <w:szCs w:val="24"/>
            </w:rPr>
            <w:instrText xml:space="preserve"> PAGEREF _Toc29581 \h </w:instrText>
          </w:r>
          <w:r>
            <w:rPr>
              <w:sz w:val="24"/>
              <w:szCs w:val="24"/>
            </w:rPr>
            <w:fldChar w:fldCharType="separate"/>
          </w:r>
          <w:r>
            <w:rPr>
              <w:sz w:val="24"/>
              <w:szCs w:val="24"/>
            </w:rPr>
            <w:t>109</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_Toc4781 </w:instrText>
          </w:r>
          <w:r>
            <w:rPr>
              <w:sz w:val="24"/>
              <w:szCs w:val="24"/>
            </w:rPr>
            <w:fldChar w:fldCharType="separate"/>
          </w:r>
          <w:r>
            <w:rPr>
              <w:sz w:val="24"/>
              <w:szCs w:val="24"/>
            </w:rPr>
            <w:t>7.</w:t>
          </w:r>
          <w:r>
            <w:rPr>
              <w:rFonts w:hint="eastAsia"/>
              <w:sz w:val="24"/>
              <w:szCs w:val="24"/>
              <w:lang w:val="en-US" w:eastAsia="zh-CN"/>
            </w:rPr>
            <w:t>2</w:t>
          </w:r>
          <w:r>
            <w:rPr>
              <w:sz w:val="24"/>
              <w:szCs w:val="24"/>
            </w:rPr>
            <w:t>环境投资估算</w:t>
          </w:r>
          <w:r>
            <w:rPr>
              <w:sz w:val="24"/>
              <w:szCs w:val="24"/>
            </w:rPr>
            <w:tab/>
          </w:r>
          <w:r>
            <w:rPr>
              <w:sz w:val="24"/>
              <w:szCs w:val="24"/>
            </w:rPr>
            <w:fldChar w:fldCharType="begin"/>
          </w:r>
          <w:r>
            <w:rPr>
              <w:sz w:val="24"/>
              <w:szCs w:val="24"/>
            </w:rPr>
            <w:instrText xml:space="preserve"> PAGEREF _Toc4781 \h </w:instrText>
          </w:r>
          <w:r>
            <w:rPr>
              <w:sz w:val="24"/>
              <w:szCs w:val="24"/>
            </w:rPr>
            <w:fldChar w:fldCharType="separate"/>
          </w:r>
          <w:r>
            <w:rPr>
              <w:sz w:val="24"/>
              <w:szCs w:val="24"/>
            </w:rPr>
            <w:t>109</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_Toc12262 </w:instrText>
          </w:r>
          <w:r>
            <w:rPr>
              <w:sz w:val="24"/>
              <w:szCs w:val="24"/>
            </w:rPr>
            <w:fldChar w:fldCharType="separate"/>
          </w:r>
          <w:r>
            <w:rPr>
              <w:sz w:val="24"/>
              <w:szCs w:val="24"/>
            </w:rPr>
            <w:t>7.3环境经济效益分析</w:t>
          </w:r>
          <w:r>
            <w:rPr>
              <w:sz w:val="24"/>
              <w:szCs w:val="24"/>
            </w:rPr>
            <w:tab/>
          </w:r>
          <w:r>
            <w:rPr>
              <w:sz w:val="24"/>
              <w:szCs w:val="24"/>
            </w:rPr>
            <w:fldChar w:fldCharType="begin"/>
          </w:r>
          <w:r>
            <w:rPr>
              <w:sz w:val="24"/>
              <w:szCs w:val="24"/>
            </w:rPr>
            <w:instrText xml:space="preserve"> PAGEREF _Toc12262 \h </w:instrText>
          </w:r>
          <w:r>
            <w:rPr>
              <w:sz w:val="24"/>
              <w:szCs w:val="24"/>
            </w:rPr>
            <w:fldChar w:fldCharType="separate"/>
          </w:r>
          <w:r>
            <w:rPr>
              <w:sz w:val="24"/>
              <w:szCs w:val="24"/>
            </w:rPr>
            <w:t>110</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_Toc3868 </w:instrText>
          </w:r>
          <w:r>
            <w:rPr>
              <w:sz w:val="24"/>
              <w:szCs w:val="24"/>
            </w:rPr>
            <w:fldChar w:fldCharType="separate"/>
          </w:r>
          <w:r>
            <w:rPr>
              <w:sz w:val="24"/>
              <w:szCs w:val="24"/>
            </w:rPr>
            <w:t>7.3.1社会效益</w:t>
          </w:r>
          <w:r>
            <w:rPr>
              <w:sz w:val="24"/>
              <w:szCs w:val="24"/>
            </w:rPr>
            <w:tab/>
          </w:r>
          <w:r>
            <w:rPr>
              <w:sz w:val="24"/>
              <w:szCs w:val="24"/>
            </w:rPr>
            <w:fldChar w:fldCharType="begin"/>
          </w:r>
          <w:r>
            <w:rPr>
              <w:sz w:val="24"/>
              <w:szCs w:val="24"/>
            </w:rPr>
            <w:instrText xml:space="preserve"> PAGEREF _Toc3868 \h </w:instrText>
          </w:r>
          <w:r>
            <w:rPr>
              <w:sz w:val="24"/>
              <w:szCs w:val="24"/>
            </w:rPr>
            <w:fldChar w:fldCharType="separate"/>
          </w:r>
          <w:r>
            <w:rPr>
              <w:sz w:val="24"/>
              <w:szCs w:val="24"/>
            </w:rPr>
            <w:t>110</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_Toc6340 </w:instrText>
          </w:r>
          <w:r>
            <w:rPr>
              <w:sz w:val="24"/>
              <w:szCs w:val="24"/>
            </w:rPr>
            <w:fldChar w:fldCharType="separate"/>
          </w:r>
          <w:r>
            <w:rPr>
              <w:sz w:val="24"/>
              <w:szCs w:val="24"/>
            </w:rPr>
            <w:t>7.3.2经济效益</w:t>
          </w:r>
          <w:r>
            <w:rPr>
              <w:sz w:val="24"/>
              <w:szCs w:val="24"/>
            </w:rPr>
            <w:tab/>
          </w:r>
          <w:r>
            <w:rPr>
              <w:sz w:val="24"/>
              <w:szCs w:val="24"/>
            </w:rPr>
            <w:fldChar w:fldCharType="begin"/>
          </w:r>
          <w:r>
            <w:rPr>
              <w:sz w:val="24"/>
              <w:szCs w:val="24"/>
            </w:rPr>
            <w:instrText xml:space="preserve"> PAGEREF _Toc6340 \h </w:instrText>
          </w:r>
          <w:r>
            <w:rPr>
              <w:sz w:val="24"/>
              <w:szCs w:val="24"/>
            </w:rPr>
            <w:fldChar w:fldCharType="separate"/>
          </w:r>
          <w:r>
            <w:rPr>
              <w:sz w:val="24"/>
              <w:szCs w:val="24"/>
            </w:rPr>
            <w:t>110</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_Toc25120 </w:instrText>
          </w:r>
          <w:r>
            <w:rPr>
              <w:sz w:val="24"/>
              <w:szCs w:val="24"/>
            </w:rPr>
            <w:fldChar w:fldCharType="separate"/>
          </w:r>
          <w:r>
            <w:rPr>
              <w:sz w:val="24"/>
              <w:szCs w:val="24"/>
            </w:rPr>
            <w:t>7.3.3环境效益</w:t>
          </w:r>
          <w:r>
            <w:rPr>
              <w:sz w:val="24"/>
              <w:szCs w:val="24"/>
            </w:rPr>
            <w:tab/>
          </w:r>
          <w:r>
            <w:rPr>
              <w:sz w:val="24"/>
              <w:szCs w:val="24"/>
            </w:rPr>
            <w:fldChar w:fldCharType="begin"/>
          </w:r>
          <w:r>
            <w:rPr>
              <w:sz w:val="24"/>
              <w:szCs w:val="24"/>
            </w:rPr>
            <w:instrText xml:space="preserve"> PAGEREF _Toc25120 \h </w:instrText>
          </w:r>
          <w:r>
            <w:rPr>
              <w:sz w:val="24"/>
              <w:szCs w:val="24"/>
            </w:rPr>
            <w:fldChar w:fldCharType="separate"/>
          </w:r>
          <w:r>
            <w:rPr>
              <w:sz w:val="24"/>
              <w:szCs w:val="24"/>
            </w:rPr>
            <w:t>111</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_Toc32383 </w:instrText>
          </w:r>
          <w:r>
            <w:rPr>
              <w:sz w:val="24"/>
              <w:szCs w:val="24"/>
            </w:rPr>
            <w:fldChar w:fldCharType="separate"/>
          </w:r>
          <w:r>
            <w:rPr>
              <w:sz w:val="24"/>
              <w:szCs w:val="24"/>
            </w:rPr>
            <w:t>7.4结论</w:t>
          </w:r>
          <w:r>
            <w:rPr>
              <w:sz w:val="24"/>
              <w:szCs w:val="24"/>
            </w:rPr>
            <w:tab/>
          </w:r>
          <w:r>
            <w:rPr>
              <w:sz w:val="24"/>
              <w:szCs w:val="24"/>
            </w:rPr>
            <w:fldChar w:fldCharType="begin"/>
          </w:r>
          <w:r>
            <w:rPr>
              <w:sz w:val="24"/>
              <w:szCs w:val="24"/>
            </w:rPr>
            <w:instrText xml:space="preserve"> PAGEREF _Toc32383 \h </w:instrText>
          </w:r>
          <w:r>
            <w:rPr>
              <w:sz w:val="24"/>
              <w:szCs w:val="24"/>
            </w:rPr>
            <w:fldChar w:fldCharType="separate"/>
          </w:r>
          <w:r>
            <w:rPr>
              <w:sz w:val="24"/>
              <w:szCs w:val="24"/>
            </w:rPr>
            <w:t>111</w:t>
          </w:r>
          <w:r>
            <w:rPr>
              <w:sz w:val="24"/>
              <w:szCs w:val="24"/>
            </w:rPr>
            <w:fldChar w:fldCharType="end"/>
          </w:r>
          <w:r>
            <w:rPr>
              <w:color w:val="0000FF"/>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_Toc32184 </w:instrText>
          </w:r>
          <w:r>
            <w:rPr>
              <w:sz w:val="24"/>
              <w:szCs w:val="24"/>
            </w:rPr>
            <w:fldChar w:fldCharType="separate"/>
          </w:r>
          <w:r>
            <w:rPr>
              <w:sz w:val="24"/>
              <w:szCs w:val="24"/>
            </w:rPr>
            <w:t>8环境管理与监测计划</w:t>
          </w:r>
          <w:r>
            <w:rPr>
              <w:sz w:val="24"/>
              <w:szCs w:val="24"/>
            </w:rPr>
            <w:tab/>
          </w:r>
          <w:r>
            <w:rPr>
              <w:sz w:val="24"/>
              <w:szCs w:val="24"/>
            </w:rPr>
            <w:fldChar w:fldCharType="begin"/>
          </w:r>
          <w:r>
            <w:rPr>
              <w:sz w:val="24"/>
              <w:szCs w:val="24"/>
            </w:rPr>
            <w:instrText xml:space="preserve"> PAGEREF _Toc32184 \h </w:instrText>
          </w:r>
          <w:r>
            <w:rPr>
              <w:sz w:val="24"/>
              <w:szCs w:val="24"/>
            </w:rPr>
            <w:fldChar w:fldCharType="separate"/>
          </w:r>
          <w:r>
            <w:rPr>
              <w:sz w:val="24"/>
              <w:szCs w:val="24"/>
            </w:rPr>
            <w:t>112</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_Toc2559 </w:instrText>
          </w:r>
          <w:r>
            <w:rPr>
              <w:sz w:val="24"/>
              <w:szCs w:val="24"/>
            </w:rPr>
            <w:fldChar w:fldCharType="separate"/>
          </w:r>
          <w:r>
            <w:rPr>
              <w:sz w:val="24"/>
              <w:szCs w:val="24"/>
            </w:rPr>
            <w:t>8.1环境管理计划</w:t>
          </w:r>
          <w:r>
            <w:rPr>
              <w:sz w:val="24"/>
              <w:szCs w:val="24"/>
            </w:rPr>
            <w:tab/>
          </w:r>
          <w:r>
            <w:rPr>
              <w:sz w:val="24"/>
              <w:szCs w:val="24"/>
            </w:rPr>
            <w:fldChar w:fldCharType="begin"/>
          </w:r>
          <w:r>
            <w:rPr>
              <w:sz w:val="24"/>
              <w:szCs w:val="24"/>
            </w:rPr>
            <w:instrText xml:space="preserve"> PAGEREF _Toc2559 \h </w:instrText>
          </w:r>
          <w:r>
            <w:rPr>
              <w:sz w:val="24"/>
              <w:szCs w:val="24"/>
            </w:rPr>
            <w:fldChar w:fldCharType="separate"/>
          </w:r>
          <w:r>
            <w:rPr>
              <w:sz w:val="24"/>
              <w:szCs w:val="24"/>
            </w:rPr>
            <w:t>112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_Toc29320 </w:instrText>
          </w:r>
          <w:r>
            <w:rPr>
              <w:sz w:val="24"/>
              <w:szCs w:val="24"/>
            </w:rPr>
            <w:fldChar w:fldCharType="separate"/>
          </w:r>
          <w:r>
            <w:rPr>
              <w:sz w:val="24"/>
              <w:szCs w:val="24"/>
            </w:rPr>
            <w:t>8.1.1环境管理目的</w:t>
          </w:r>
          <w:r>
            <w:rPr>
              <w:sz w:val="24"/>
              <w:szCs w:val="24"/>
            </w:rPr>
            <w:tab/>
          </w:r>
          <w:r>
            <w:rPr>
              <w:sz w:val="24"/>
              <w:szCs w:val="24"/>
            </w:rPr>
            <w:fldChar w:fldCharType="begin"/>
          </w:r>
          <w:r>
            <w:rPr>
              <w:sz w:val="24"/>
              <w:szCs w:val="24"/>
            </w:rPr>
            <w:instrText xml:space="preserve"> PAGEREF _Toc29320 \h </w:instrText>
          </w:r>
          <w:r>
            <w:rPr>
              <w:sz w:val="24"/>
              <w:szCs w:val="24"/>
            </w:rPr>
            <w:fldChar w:fldCharType="separate"/>
          </w:r>
          <w:r>
            <w:rPr>
              <w:sz w:val="24"/>
              <w:szCs w:val="24"/>
            </w:rPr>
            <w:t>112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_Toc20294 </w:instrText>
          </w:r>
          <w:r>
            <w:rPr>
              <w:sz w:val="24"/>
              <w:szCs w:val="24"/>
            </w:rPr>
            <w:fldChar w:fldCharType="separate"/>
          </w:r>
          <w:r>
            <w:rPr>
              <w:sz w:val="24"/>
              <w:szCs w:val="24"/>
            </w:rPr>
            <w:t>8.1.2环境管理机构的设置</w:t>
          </w:r>
          <w:r>
            <w:rPr>
              <w:sz w:val="24"/>
              <w:szCs w:val="24"/>
            </w:rPr>
            <w:tab/>
          </w:r>
          <w:r>
            <w:rPr>
              <w:sz w:val="24"/>
              <w:szCs w:val="24"/>
            </w:rPr>
            <w:fldChar w:fldCharType="begin"/>
          </w:r>
          <w:r>
            <w:rPr>
              <w:sz w:val="24"/>
              <w:szCs w:val="24"/>
            </w:rPr>
            <w:instrText xml:space="preserve"> PAGEREF _Toc20294 \h </w:instrText>
          </w:r>
          <w:r>
            <w:rPr>
              <w:sz w:val="24"/>
              <w:szCs w:val="24"/>
            </w:rPr>
            <w:fldChar w:fldCharType="separate"/>
          </w:r>
          <w:r>
            <w:rPr>
              <w:sz w:val="24"/>
              <w:szCs w:val="24"/>
            </w:rPr>
            <w:t>112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_Toc31407 </w:instrText>
          </w:r>
          <w:r>
            <w:rPr>
              <w:sz w:val="24"/>
              <w:szCs w:val="24"/>
            </w:rPr>
            <w:fldChar w:fldCharType="separate"/>
          </w:r>
          <w:r>
            <w:rPr>
              <w:sz w:val="24"/>
              <w:szCs w:val="24"/>
            </w:rPr>
            <w:t>8.1.3环境管理机构的职责</w:t>
          </w:r>
          <w:r>
            <w:rPr>
              <w:sz w:val="24"/>
              <w:szCs w:val="24"/>
            </w:rPr>
            <w:tab/>
          </w:r>
          <w:r>
            <w:rPr>
              <w:sz w:val="24"/>
              <w:szCs w:val="24"/>
            </w:rPr>
            <w:fldChar w:fldCharType="begin"/>
          </w:r>
          <w:r>
            <w:rPr>
              <w:sz w:val="24"/>
              <w:szCs w:val="24"/>
            </w:rPr>
            <w:instrText xml:space="preserve"> PAGEREF _Toc31407 \h </w:instrText>
          </w:r>
          <w:r>
            <w:rPr>
              <w:sz w:val="24"/>
              <w:szCs w:val="24"/>
            </w:rPr>
            <w:fldChar w:fldCharType="separate"/>
          </w:r>
          <w:r>
            <w:rPr>
              <w:sz w:val="24"/>
              <w:szCs w:val="24"/>
            </w:rPr>
            <w:t>112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_Toc25977 </w:instrText>
          </w:r>
          <w:r>
            <w:rPr>
              <w:sz w:val="24"/>
              <w:szCs w:val="24"/>
            </w:rPr>
            <w:fldChar w:fldCharType="separate"/>
          </w:r>
          <w:r>
            <w:rPr>
              <w:sz w:val="24"/>
              <w:szCs w:val="24"/>
            </w:rPr>
            <w:t>8.1.4环境管理计划</w:t>
          </w:r>
          <w:r>
            <w:rPr>
              <w:sz w:val="24"/>
              <w:szCs w:val="24"/>
            </w:rPr>
            <w:tab/>
          </w:r>
          <w:r>
            <w:rPr>
              <w:sz w:val="24"/>
              <w:szCs w:val="24"/>
            </w:rPr>
            <w:fldChar w:fldCharType="begin"/>
          </w:r>
          <w:r>
            <w:rPr>
              <w:sz w:val="24"/>
              <w:szCs w:val="24"/>
            </w:rPr>
            <w:instrText xml:space="preserve"> PAGEREF _Toc25977 \h </w:instrText>
          </w:r>
          <w:r>
            <w:rPr>
              <w:sz w:val="24"/>
              <w:szCs w:val="24"/>
            </w:rPr>
            <w:fldChar w:fldCharType="separate"/>
          </w:r>
          <w:r>
            <w:rPr>
              <w:sz w:val="24"/>
              <w:szCs w:val="24"/>
            </w:rPr>
            <w:t>113</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_Toc2109 </w:instrText>
          </w:r>
          <w:r>
            <w:rPr>
              <w:sz w:val="24"/>
              <w:szCs w:val="24"/>
            </w:rPr>
            <w:fldChar w:fldCharType="separate"/>
          </w:r>
          <w:r>
            <w:rPr>
              <w:sz w:val="24"/>
              <w:szCs w:val="24"/>
            </w:rPr>
            <w:t>8.1.5信息公开</w:t>
          </w:r>
          <w:r>
            <w:rPr>
              <w:sz w:val="24"/>
              <w:szCs w:val="24"/>
            </w:rPr>
            <w:tab/>
          </w:r>
          <w:r>
            <w:rPr>
              <w:sz w:val="24"/>
              <w:szCs w:val="24"/>
            </w:rPr>
            <w:fldChar w:fldCharType="begin"/>
          </w:r>
          <w:r>
            <w:rPr>
              <w:sz w:val="24"/>
              <w:szCs w:val="24"/>
            </w:rPr>
            <w:instrText xml:space="preserve"> PAGEREF _Toc2109 \h </w:instrText>
          </w:r>
          <w:r>
            <w:rPr>
              <w:sz w:val="24"/>
              <w:szCs w:val="24"/>
            </w:rPr>
            <w:fldChar w:fldCharType="separate"/>
          </w:r>
          <w:r>
            <w:rPr>
              <w:sz w:val="24"/>
              <w:szCs w:val="24"/>
            </w:rPr>
            <w:t>114</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_Toc14331 </w:instrText>
          </w:r>
          <w:r>
            <w:rPr>
              <w:sz w:val="24"/>
              <w:szCs w:val="24"/>
            </w:rPr>
            <w:fldChar w:fldCharType="separate"/>
          </w:r>
          <w:r>
            <w:rPr>
              <w:sz w:val="24"/>
              <w:szCs w:val="24"/>
            </w:rPr>
            <w:t>8.1.6</w:t>
          </w:r>
          <w:r>
            <w:rPr>
              <w:rFonts w:hint="eastAsia"/>
              <w:sz w:val="24"/>
              <w:szCs w:val="24"/>
              <w:lang w:val="en-US" w:eastAsia="zh-CN"/>
            </w:rPr>
            <w:t>污染物排放管理</w:t>
          </w:r>
          <w:r>
            <w:rPr>
              <w:sz w:val="24"/>
              <w:szCs w:val="24"/>
            </w:rPr>
            <w:tab/>
          </w:r>
          <w:r>
            <w:rPr>
              <w:sz w:val="24"/>
              <w:szCs w:val="24"/>
            </w:rPr>
            <w:fldChar w:fldCharType="begin"/>
          </w:r>
          <w:r>
            <w:rPr>
              <w:sz w:val="24"/>
              <w:szCs w:val="24"/>
            </w:rPr>
            <w:instrText xml:space="preserve"> PAGEREF _Toc14331 \h </w:instrText>
          </w:r>
          <w:r>
            <w:rPr>
              <w:sz w:val="24"/>
              <w:szCs w:val="24"/>
            </w:rPr>
            <w:fldChar w:fldCharType="separate"/>
          </w:r>
          <w:r>
            <w:rPr>
              <w:sz w:val="24"/>
              <w:szCs w:val="24"/>
            </w:rPr>
            <w:t>114</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_Toc23631 </w:instrText>
          </w:r>
          <w:r>
            <w:rPr>
              <w:sz w:val="24"/>
              <w:szCs w:val="24"/>
            </w:rPr>
            <w:fldChar w:fldCharType="separate"/>
          </w:r>
          <w:r>
            <w:rPr>
              <w:sz w:val="24"/>
              <w:szCs w:val="24"/>
            </w:rPr>
            <w:t>8.2环境监测计划</w:t>
          </w:r>
          <w:r>
            <w:rPr>
              <w:sz w:val="24"/>
              <w:szCs w:val="24"/>
            </w:rPr>
            <w:tab/>
          </w:r>
          <w:r>
            <w:rPr>
              <w:sz w:val="24"/>
              <w:szCs w:val="24"/>
            </w:rPr>
            <w:fldChar w:fldCharType="begin"/>
          </w:r>
          <w:r>
            <w:rPr>
              <w:sz w:val="24"/>
              <w:szCs w:val="24"/>
            </w:rPr>
            <w:instrText xml:space="preserve"> PAGEREF _Toc23631 \h </w:instrText>
          </w:r>
          <w:r>
            <w:rPr>
              <w:sz w:val="24"/>
              <w:szCs w:val="24"/>
            </w:rPr>
            <w:fldChar w:fldCharType="separate"/>
          </w:r>
          <w:r>
            <w:rPr>
              <w:sz w:val="24"/>
              <w:szCs w:val="24"/>
            </w:rPr>
            <w:t>115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_Toc8600 </w:instrText>
          </w:r>
          <w:r>
            <w:rPr>
              <w:sz w:val="24"/>
              <w:szCs w:val="24"/>
            </w:rPr>
            <w:fldChar w:fldCharType="separate"/>
          </w:r>
          <w:r>
            <w:rPr>
              <w:sz w:val="24"/>
              <w:szCs w:val="24"/>
            </w:rPr>
            <w:t>8.2.1环境监测目的</w:t>
          </w:r>
          <w:r>
            <w:rPr>
              <w:sz w:val="24"/>
              <w:szCs w:val="24"/>
            </w:rPr>
            <w:tab/>
          </w:r>
          <w:r>
            <w:rPr>
              <w:sz w:val="24"/>
              <w:szCs w:val="24"/>
            </w:rPr>
            <w:fldChar w:fldCharType="begin"/>
          </w:r>
          <w:r>
            <w:rPr>
              <w:sz w:val="24"/>
              <w:szCs w:val="24"/>
            </w:rPr>
            <w:instrText xml:space="preserve"> PAGEREF _Toc8600 \h </w:instrText>
          </w:r>
          <w:r>
            <w:rPr>
              <w:sz w:val="24"/>
              <w:szCs w:val="24"/>
            </w:rPr>
            <w:fldChar w:fldCharType="separate"/>
          </w:r>
          <w:r>
            <w:rPr>
              <w:sz w:val="24"/>
              <w:szCs w:val="24"/>
            </w:rPr>
            <w:t>115</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_Toc5151 </w:instrText>
          </w:r>
          <w:r>
            <w:rPr>
              <w:sz w:val="24"/>
              <w:szCs w:val="24"/>
            </w:rPr>
            <w:fldChar w:fldCharType="separate"/>
          </w:r>
          <w:r>
            <w:rPr>
              <w:sz w:val="24"/>
              <w:szCs w:val="24"/>
            </w:rPr>
            <w:t>8.2.2环境监测计划</w:t>
          </w:r>
          <w:r>
            <w:rPr>
              <w:sz w:val="24"/>
              <w:szCs w:val="24"/>
            </w:rPr>
            <w:tab/>
          </w:r>
          <w:r>
            <w:rPr>
              <w:sz w:val="24"/>
              <w:szCs w:val="24"/>
            </w:rPr>
            <w:fldChar w:fldCharType="begin"/>
          </w:r>
          <w:r>
            <w:rPr>
              <w:sz w:val="24"/>
              <w:szCs w:val="24"/>
            </w:rPr>
            <w:instrText xml:space="preserve"> PAGEREF _Toc5151 \h </w:instrText>
          </w:r>
          <w:r>
            <w:rPr>
              <w:sz w:val="24"/>
              <w:szCs w:val="24"/>
            </w:rPr>
            <w:fldChar w:fldCharType="separate"/>
          </w:r>
          <w:r>
            <w:rPr>
              <w:sz w:val="24"/>
              <w:szCs w:val="24"/>
            </w:rPr>
            <w:t>115</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_Toc10707 </w:instrText>
          </w:r>
          <w:r>
            <w:rPr>
              <w:sz w:val="24"/>
              <w:szCs w:val="24"/>
            </w:rPr>
            <w:fldChar w:fldCharType="separate"/>
          </w:r>
          <w:r>
            <w:rPr>
              <w:sz w:val="24"/>
              <w:szCs w:val="24"/>
            </w:rPr>
            <w:t>8.3排污口规范化管理</w:t>
          </w:r>
          <w:r>
            <w:rPr>
              <w:sz w:val="24"/>
              <w:szCs w:val="24"/>
            </w:rPr>
            <w:tab/>
          </w:r>
          <w:r>
            <w:rPr>
              <w:sz w:val="24"/>
              <w:szCs w:val="24"/>
            </w:rPr>
            <w:fldChar w:fldCharType="begin"/>
          </w:r>
          <w:r>
            <w:rPr>
              <w:sz w:val="24"/>
              <w:szCs w:val="24"/>
            </w:rPr>
            <w:instrText xml:space="preserve"> PAGEREF _Toc10707 \h </w:instrText>
          </w:r>
          <w:r>
            <w:rPr>
              <w:sz w:val="24"/>
              <w:szCs w:val="24"/>
            </w:rPr>
            <w:fldChar w:fldCharType="separate"/>
          </w:r>
          <w:r>
            <w:rPr>
              <w:sz w:val="24"/>
              <w:szCs w:val="24"/>
            </w:rPr>
            <w:t>116</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_Toc17293 </w:instrText>
          </w:r>
          <w:r>
            <w:rPr>
              <w:sz w:val="24"/>
              <w:szCs w:val="24"/>
            </w:rPr>
            <w:fldChar w:fldCharType="separate"/>
          </w:r>
          <w:r>
            <w:rPr>
              <w:sz w:val="24"/>
              <w:szCs w:val="24"/>
            </w:rPr>
            <w:t>8.4环境管理制度</w:t>
          </w:r>
          <w:r>
            <w:rPr>
              <w:sz w:val="24"/>
              <w:szCs w:val="24"/>
            </w:rPr>
            <w:tab/>
          </w:r>
          <w:r>
            <w:rPr>
              <w:sz w:val="24"/>
              <w:szCs w:val="24"/>
            </w:rPr>
            <w:fldChar w:fldCharType="begin"/>
          </w:r>
          <w:r>
            <w:rPr>
              <w:sz w:val="24"/>
              <w:szCs w:val="24"/>
            </w:rPr>
            <w:instrText xml:space="preserve"> PAGEREF _Toc17293 \h </w:instrText>
          </w:r>
          <w:r>
            <w:rPr>
              <w:sz w:val="24"/>
              <w:szCs w:val="24"/>
            </w:rPr>
            <w:fldChar w:fldCharType="separate"/>
          </w:r>
          <w:r>
            <w:rPr>
              <w:sz w:val="24"/>
              <w:szCs w:val="24"/>
            </w:rPr>
            <w:t>117</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_Toc15824 </w:instrText>
          </w:r>
          <w:r>
            <w:rPr>
              <w:sz w:val="24"/>
              <w:szCs w:val="24"/>
            </w:rPr>
            <w:fldChar w:fldCharType="separate"/>
          </w:r>
          <w:r>
            <w:rPr>
              <w:sz w:val="24"/>
              <w:szCs w:val="24"/>
            </w:rPr>
            <w:t>8.5“三同时”竣工验收一览表</w:t>
          </w:r>
          <w:r>
            <w:rPr>
              <w:sz w:val="24"/>
              <w:szCs w:val="24"/>
            </w:rPr>
            <w:tab/>
          </w:r>
          <w:r>
            <w:rPr>
              <w:sz w:val="24"/>
              <w:szCs w:val="24"/>
            </w:rPr>
            <w:fldChar w:fldCharType="begin"/>
          </w:r>
          <w:r>
            <w:rPr>
              <w:sz w:val="24"/>
              <w:szCs w:val="24"/>
            </w:rPr>
            <w:instrText xml:space="preserve"> PAGEREF _Toc15824 \h </w:instrText>
          </w:r>
          <w:r>
            <w:rPr>
              <w:sz w:val="24"/>
              <w:szCs w:val="24"/>
            </w:rPr>
            <w:fldChar w:fldCharType="separate"/>
          </w:r>
          <w:r>
            <w:rPr>
              <w:sz w:val="24"/>
              <w:szCs w:val="24"/>
            </w:rPr>
            <w:t>117</w:t>
          </w:r>
          <w:r>
            <w:rPr>
              <w:sz w:val="24"/>
              <w:szCs w:val="24"/>
            </w:rPr>
            <w:fldChar w:fldCharType="end"/>
          </w:r>
          <w:r>
            <w:rPr>
              <w:color w:val="0000FF"/>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_Toc12517 </w:instrText>
          </w:r>
          <w:r>
            <w:rPr>
              <w:sz w:val="24"/>
              <w:szCs w:val="24"/>
            </w:rPr>
            <w:fldChar w:fldCharType="separate"/>
          </w:r>
          <w:r>
            <w:rPr>
              <w:sz w:val="24"/>
              <w:szCs w:val="24"/>
            </w:rPr>
            <w:t>9环境影响评价结论</w:t>
          </w:r>
          <w:r>
            <w:rPr>
              <w:sz w:val="24"/>
              <w:szCs w:val="24"/>
            </w:rPr>
            <w:tab/>
          </w:r>
          <w:r>
            <w:rPr>
              <w:sz w:val="24"/>
              <w:szCs w:val="24"/>
            </w:rPr>
            <w:fldChar w:fldCharType="begin"/>
          </w:r>
          <w:r>
            <w:rPr>
              <w:sz w:val="24"/>
              <w:szCs w:val="24"/>
            </w:rPr>
            <w:instrText xml:space="preserve"> PAGEREF _Toc12517 \h </w:instrText>
          </w:r>
          <w:r>
            <w:rPr>
              <w:sz w:val="24"/>
              <w:szCs w:val="24"/>
            </w:rPr>
            <w:fldChar w:fldCharType="separate"/>
          </w:r>
          <w:r>
            <w:rPr>
              <w:sz w:val="24"/>
              <w:szCs w:val="24"/>
            </w:rPr>
            <w:t>120</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_Toc18808 </w:instrText>
          </w:r>
          <w:r>
            <w:rPr>
              <w:sz w:val="24"/>
              <w:szCs w:val="24"/>
            </w:rPr>
            <w:fldChar w:fldCharType="separate"/>
          </w:r>
          <w:r>
            <w:rPr>
              <w:sz w:val="24"/>
              <w:szCs w:val="24"/>
            </w:rPr>
            <w:t>9.1工程概况</w:t>
          </w:r>
          <w:r>
            <w:rPr>
              <w:sz w:val="24"/>
              <w:szCs w:val="24"/>
            </w:rPr>
            <w:tab/>
          </w:r>
          <w:r>
            <w:rPr>
              <w:sz w:val="24"/>
              <w:szCs w:val="24"/>
            </w:rPr>
            <w:fldChar w:fldCharType="begin"/>
          </w:r>
          <w:r>
            <w:rPr>
              <w:sz w:val="24"/>
              <w:szCs w:val="24"/>
            </w:rPr>
            <w:instrText xml:space="preserve"> PAGEREF _Toc18808 \h </w:instrText>
          </w:r>
          <w:r>
            <w:rPr>
              <w:sz w:val="24"/>
              <w:szCs w:val="24"/>
            </w:rPr>
            <w:fldChar w:fldCharType="separate"/>
          </w:r>
          <w:r>
            <w:rPr>
              <w:sz w:val="24"/>
              <w:szCs w:val="24"/>
            </w:rPr>
            <w:t>120</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_Toc9206 </w:instrText>
          </w:r>
          <w:r>
            <w:rPr>
              <w:sz w:val="24"/>
              <w:szCs w:val="24"/>
            </w:rPr>
            <w:fldChar w:fldCharType="separate"/>
          </w:r>
          <w:r>
            <w:rPr>
              <w:sz w:val="24"/>
              <w:szCs w:val="24"/>
            </w:rPr>
            <w:t>9.2环境质量现状评价结论</w:t>
          </w:r>
          <w:r>
            <w:rPr>
              <w:sz w:val="24"/>
              <w:szCs w:val="24"/>
            </w:rPr>
            <w:tab/>
          </w:r>
          <w:r>
            <w:rPr>
              <w:sz w:val="24"/>
              <w:szCs w:val="24"/>
            </w:rPr>
            <w:fldChar w:fldCharType="begin"/>
          </w:r>
          <w:r>
            <w:rPr>
              <w:sz w:val="24"/>
              <w:szCs w:val="24"/>
            </w:rPr>
            <w:instrText xml:space="preserve"> PAGEREF _Toc9206 \h </w:instrText>
          </w:r>
          <w:r>
            <w:rPr>
              <w:sz w:val="24"/>
              <w:szCs w:val="24"/>
            </w:rPr>
            <w:fldChar w:fldCharType="separate"/>
          </w:r>
          <w:r>
            <w:rPr>
              <w:sz w:val="24"/>
              <w:szCs w:val="24"/>
            </w:rPr>
            <w:t>120</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color w:val="0000FF"/>
              <w:sz w:val="24"/>
              <w:szCs w:val="24"/>
            </w:rPr>
            <w:sectPr>
              <w:footerReference r:id="rId8" w:type="default"/>
              <w:pgSz w:w="11906" w:h="16838"/>
              <w:pgMar w:top="1440" w:right="1800" w:bottom="1440" w:left="1800" w:header="1077" w:footer="992" w:gutter="0"/>
              <w:pgBorders>
                <w:top w:val="none" w:sz="0" w:space="0"/>
                <w:left w:val="none" w:sz="0" w:space="0"/>
                <w:bottom w:val="none" w:sz="0" w:space="0"/>
                <w:right w:val="none" w:sz="0" w:space="0"/>
              </w:pgBorders>
              <w:pgNumType w:fmt="upperRoman"/>
              <w:cols w:space="425" w:num="1"/>
              <w:docGrid w:type="lines" w:linePitch="312" w:charSpace="0"/>
            </w:sectPr>
          </w:pP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_Toc31429 </w:instrText>
          </w:r>
          <w:r>
            <w:rPr>
              <w:sz w:val="24"/>
              <w:szCs w:val="24"/>
            </w:rPr>
            <w:fldChar w:fldCharType="separate"/>
          </w:r>
          <w:r>
            <w:rPr>
              <w:sz w:val="24"/>
              <w:szCs w:val="24"/>
            </w:rPr>
            <w:t>9.3产业政策结论</w:t>
          </w:r>
          <w:r>
            <w:rPr>
              <w:sz w:val="24"/>
              <w:szCs w:val="24"/>
            </w:rPr>
            <w:tab/>
          </w:r>
          <w:r>
            <w:rPr>
              <w:sz w:val="24"/>
              <w:szCs w:val="24"/>
            </w:rPr>
            <w:fldChar w:fldCharType="begin"/>
          </w:r>
          <w:r>
            <w:rPr>
              <w:sz w:val="24"/>
              <w:szCs w:val="24"/>
            </w:rPr>
            <w:instrText xml:space="preserve"> PAGEREF _Toc31429 \h </w:instrText>
          </w:r>
          <w:r>
            <w:rPr>
              <w:sz w:val="24"/>
              <w:szCs w:val="24"/>
            </w:rPr>
            <w:fldChar w:fldCharType="separate"/>
          </w:r>
          <w:r>
            <w:rPr>
              <w:sz w:val="24"/>
              <w:szCs w:val="24"/>
            </w:rPr>
            <w:t>120</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_Toc2738 </w:instrText>
          </w:r>
          <w:r>
            <w:rPr>
              <w:sz w:val="24"/>
              <w:szCs w:val="24"/>
            </w:rPr>
            <w:fldChar w:fldCharType="separate"/>
          </w:r>
          <w:r>
            <w:rPr>
              <w:sz w:val="24"/>
              <w:szCs w:val="24"/>
            </w:rPr>
            <w:t>9.4环境影响分析</w:t>
          </w:r>
          <w:r>
            <w:rPr>
              <w:sz w:val="24"/>
              <w:szCs w:val="24"/>
            </w:rPr>
            <w:tab/>
          </w:r>
          <w:r>
            <w:rPr>
              <w:sz w:val="24"/>
              <w:szCs w:val="24"/>
            </w:rPr>
            <w:fldChar w:fldCharType="begin"/>
          </w:r>
          <w:r>
            <w:rPr>
              <w:sz w:val="24"/>
              <w:szCs w:val="24"/>
            </w:rPr>
            <w:instrText xml:space="preserve"> PAGEREF _Toc2738 \h </w:instrText>
          </w:r>
          <w:r>
            <w:rPr>
              <w:sz w:val="24"/>
              <w:szCs w:val="24"/>
            </w:rPr>
            <w:fldChar w:fldCharType="separate"/>
          </w:r>
          <w:r>
            <w:rPr>
              <w:sz w:val="24"/>
              <w:szCs w:val="24"/>
            </w:rPr>
            <w:t>121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_Toc2130 </w:instrText>
          </w:r>
          <w:r>
            <w:rPr>
              <w:sz w:val="24"/>
              <w:szCs w:val="24"/>
            </w:rPr>
            <w:fldChar w:fldCharType="separate"/>
          </w:r>
          <w:r>
            <w:rPr>
              <w:sz w:val="24"/>
              <w:szCs w:val="24"/>
            </w:rPr>
            <w:t>9.4.1大气环境影响评价</w:t>
          </w:r>
          <w:r>
            <w:rPr>
              <w:sz w:val="24"/>
              <w:szCs w:val="24"/>
            </w:rPr>
            <w:tab/>
          </w:r>
          <w:r>
            <w:rPr>
              <w:sz w:val="24"/>
              <w:szCs w:val="24"/>
            </w:rPr>
            <w:fldChar w:fldCharType="begin"/>
          </w:r>
          <w:r>
            <w:rPr>
              <w:sz w:val="24"/>
              <w:szCs w:val="24"/>
            </w:rPr>
            <w:instrText xml:space="preserve"> PAGEREF _Toc2130 \h </w:instrText>
          </w:r>
          <w:r>
            <w:rPr>
              <w:sz w:val="24"/>
              <w:szCs w:val="24"/>
            </w:rPr>
            <w:fldChar w:fldCharType="separate"/>
          </w:r>
          <w:r>
            <w:rPr>
              <w:sz w:val="24"/>
              <w:szCs w:val="24"/>
            </w:rPr>
            <w:t>121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_Toc2025 </w:instrText>
          </w:r>
          <w:r>
            <w:rPr>
              <w:sz w:val="24"/>
              <w:szCs w:val="24"/>
            </w:rPr>
            <w:fldChar w:fldCharType="separate"/>
          </w:r>
          <w:r>
            <w:rPr>
              <w:sz w:val="24"/>
              <w:szCs w:val="24"/>
            </w:rPr>
            <w:t>9.4.2水环境影响评价</w:t>
          </w:r>
          <w:r>
            <w:rPr>
              <w:sz w:val="24"/>
              <w:szCs w:val="24"/>
            </w:rPr>
            <w:tab/>
          </w:r>
          <w:r>
            <w:rPr>
              <w:sz w:val="24"/>
              <w:szCs w:val="24"/>
            </w:rPr>
            <w:fldChar w:fldCharType="begin"/>
          </w:r>
          <w:r>
            <w:rPr>
              <w:sz w:val="24"/>
              <w:szCs w:val="24"/>
            </w:rPr>
            <w:instrText xml:space="preserve"> PAGEREF _Toc2025 \h </w:instrText>
          </w:r>
          <w:r>
            <w:rPr>
              <w:sz w:val="24"/>
              <w:szCs w:val="24"/>
            </w:rPr>
            <w:fldChar w:fldCharType="separate"/>
          </w:r>
          <w:r>
            <w:rPr>
              <w:sz w:val="24"/>
              <w:szCs w:val="24"/>
            </w:rPr>
            <w:t>121</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_Toc23983 </w:instrText>
          </w:r>
          <w:r>
            <w:rPr>
              <w:sz w:val="24"/>
              <w:szCs w:val="24"/>
            </w:rPr>
            <w:fldChar w:fldCharType="separate"/>
          </w:r>
          <w:r>
            <w:rPr>
              <w:sz w:val="24"/>
              <w:szCs w:val="24"/>
            </w:rPr>
            <w:t>9.4.3声环境影响评价</w:t>
          </w:r>
          <w:r>
            <w:rPr>
              <w:sz w:val="24"/>
              <w:szCs w:val="24"/>
            </w:rPr>
            <w:tab/>
          </w:r>
          <w:r>
            <w:rPr>
              <w:sz w:val="24"/>
              <w:szCs w:val="24"/>
            </w:rPr>
            <w:fldChar w:fldCharType="begin"/>
          </w:r>
          <w:r>
            <w:rPr>
              <w:sz w:val="24"/>
              <w:szCs w:val="24"/>
            </w:rPr>
            <w:instrText xml:space="preserve"> PAGEREF _Toc23983 \h </w:instrText>
          </w:r>
          <w:r>
            <w:rPr>
              <w:sz w:val="24"/>
              <w:szCs w:val="24"/>
            </w:rPr>
            <w:fldChar w:fldCharType="separate"/>
          </w:r>
          <w:r>
            <w:rPr>
              <w:sz w:val="24"/>
              <w:szCs w:val="24"/>
            </w:rPr>
            <w:t>122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_Toc25833 </w:instrText>
          </w:r>
          <w:r>
            <w:rPr>
              <w:sz w:val="24"/>
              <w:szCs w:val="24"/>
            </w:rPr>
            <w:fldChar w:fldCharType="separate"/>
          </w:r>
          <w:r>
            <w:rPr>
              <w:sz w:val="24"/>
              <w:szCs w:val="24"/>
            </w:rPr>
            <w:t>9.4.4固体废物影响评价</w:t>
          </w:r>
          <w:r>
            <w:rPr>
              <w:sz w:val="24"/>
              <w:szCs w:val="24"/>
            </w:rPr>
            <w:tab/>
          </w:r>
          <w:r>
            <w:rPr>
              <w:sz w:val="24"/>
              <w:szCs w:val="24"/>
            </w:rPr>
            <w:fldChar w:fldCharType="begin"/>
          </w:r>
          <w:r>
            <w:rPr>
              <w:sz w:val="24"/>
              <w:szCs w:val="24"/>
            </w:rPr>
            <w:instrText xml:space="preserve"> PAGEREF _Toc25833 \h </w:instrText>
          </w:r>
          <w:r>
            <w:rPr>
              <w:sz w:val="24"/>
              <w:szCs w:val="24"/>
            </w:rPr>
            <w:fldChar w:fldCharType="separate"/>
          </w:r>
          <w:r>
            <w:rPr>
              <w:sz w:val="24"/>
              <w:szCs w:val="24"/>
            </w:rPr>
            <w:t>122</w:t>
          </w:r>
          <w:r>
            <w:rPr>
              <w:sz w:val="24"/>
              <w:szCs w:val="24"/>
            </w:rPr>
            <w:fldChar w:fldCharType="end"/>
          </w:r>
          <w:r>
            <w:rPr>
              <w:color w:val="0000FF"/>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_Toc25349 </w:instrText>
          </w:r>
          <w:r>
            <w:rPr>
              <w:sz w:val="24"/>
              <w:szCs w:val="24"/>
            </w:rPr>
            <w:fldChar w:fldCharType="separate"/>
          </w:r>
          <w:r>
            <w:rPr>
              <w:sz w:val="24"/>
              <w:szCs w:val="24"/>
            </w:rPr>
            <w:t>9.4.5环境风险评价</w:t>
          </w:r>
          <w:r>
            <w:rPr>
              <w:sz w:val="24"/>
              <w:szCs w:val="24"/>
            </w:rPr>
            <w:tab/>
          </w:r>
          <w:r>
            <w:rPr>
              <w:sz w:val="24"/>
              <w:szCs w:val="24"/>
            </w:rPr>
            <w:fldChar w:fldCharType="begin"/>
          </w:r>
          <w:r>
            <w:rPr>
              <w:sz w:val="24"/>
              <w:szCs w:val="24"/>
            </w:rPr>
            <w:instrText xml:space="preserve"> PAGEREF _Toc25349 \h </w:instrText>
          </w:r>
          <w:r>
            <w:rPr>
              <w:sz w:val="24"/>
              <w:szCs w:val="24"/>
            </w:rPr>
            <w:fldChar w:fldCharType="separate"/>
          </w:r>
          <w:r>
            <w:rPr>
              <w:sz w:val="24"/>
              <w:szCs w:val="24"/>
            </w:rPr>
            <w:t>122</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_Toc25860 </w:instrText>
          </w:r>
          <w:r>
            <w:rPr>
              <w:sz w:val="24"/>
              <w:szCs w:val="24"/>
            </w:rPr>
            <w:fldChar w:fldCharType="separate"/>
          </w:r>
          <w:r>
            <w:rPr>
              <w:sz w:val="24"/>
              <w:szCs w:val="24"/>
            </w:rPr>
            <w:t>9.5总量控制结论</w:t>
          </w:r>
          <w:r>
            <w:rPr>
              <w:sz w:val="24"/>
              <w:szCs w:val="24"/>
            </w:rPr>
            <w:tab/>
          </w:r>
          <w:r>
            <w:rPr>
              <w:sz w:val="24"/>
              <w:szCs w:val="24"/>
            </w:rPr>
            <w:fldChar w:fldCharType="begin"/>
          </w:r>
          <w:r>
            <w:rPr>
              <w:sz w:val="24"/>
              <w:szCs w:val="24"/>
            </w:rPr>
            <w:instrText xml:space="preserve"> PAGEREF _Toc25860 \h </w:instrText>
          </w:r>
          <w:r>
            <w:rPr>
              <w:sz w:val="24"/>
              <w:szCs w:val="24"/>
            </w:rPr>
            <w:fldChar w:fldCharType="separate"/>
          </w:r>
          <w:r>
            <w:rPr>
              <w:sz w:val="24"/>
              <w:szCs w:val="24"/>
            </w:rPr>
            <w:t>122</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_Toc771 </w:instrText>
          </w:r>
          <w:r>
            <w:rPr>
              <w:sz w:val="24"/>
              <w:szCs w:val="24"/>
            </w:rPr>
            <w:fldChar w:fldCharType="separate"/>
          </w:r>
          <w:r>
            <w:rPr>
              <w:sz w:val="24"/>
              <w:szCs w:val="24"/>
            </w:rPr>
            <w:t>9.6环境经济损益分析</w:t>
          </w:r>
          <w:r>
            <w:rPr>
              <w:sz w:val="24"/>
              <w:szCs w:val="24"/>
            </w:rPr>
            <w:tab/>
          </w:r>
          <w:r>
            <w:rPr>
              <w:sz w:val="24"/>
              <w:szCs w:val="24"/>
            </w:rPr>
            <w:fldChar w:fldCharType="begin"/>
          </w:r>
          <w:r>
            <w:rPr>
              <w:sz w:val="24"/>
              <w:szCs w:val="24"/>
            </w:rPr>
            <w:instrText xml:space="preserve"> PAGEREF _Toc771 \h </w:instrText>
          </w:r>
          <w:r>
            <w:rPr>
              <w:sz w:val="24"/>
              <w:szCs w:val="24"/>
            </w:rPr>
            <w:fldChar w:fldCharType="separate"/>
          </w:r>
          <w:r>
            <w:rPr>
              <w:sz w:val="24"/>
              <w:szCs w:val="24"/>
            </w:rPr>
            <w:t>122</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_Toc12867 </w:instrText>
          </w:r>
          <w:r>
            <w:rPr>
              <w:sz w:val="24"/>
              <w:szCs w:val="24"/>
            </w:rPr>
            <w:fldChar w:fldCharType="separate"/>
          </w:r>
          <w:r>
            <w:rPr>
              <w:sz w:val="24"/>
              <w:szCs w:val="24"/>
            </w:rPr>
            <w:t>9.7公众参与</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122</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_Toc26939 </w:instrText>
          </w:r>
          <w:r>
            <w:rPr>
              <w:sz w:val="24"/>
              <w:szCs w:val="24"/>
            </w:rPr>
            <w:fldChar w:fldCharType="separate"/>
          </w:r>
          <w:r>
            <w:rPr>
              <w:sz w:val="24"/>
              <w:szCs w:val="24"/>
            </w:rPr>
            <w:t>9.8综合评价结论</w:t>
          </w:r>
          <w:r>
            <w:rPr>
              <w:sz w:val="24"/>
              <w:szCs w:val="24"/>
            </w:rPr>
            <w:tab/>
          </w:r>
          <w:r>
            <w:rPr>
              <w:sz w:val="24"/>
              <w:szCs w:val="24"/>
            </w:rPr>
            <w:fldChar w:fldCharType="begin"/>
          </w:r>
          <w:r>
            <w:rPr>
              <w:sz w:val="24"/>
              <w:szCs w:val="24"/>
            </w:rPr>
            <w:instrText xml:space="preserve"> PAGEREF _Toc26939 \h </w:instrText>
          </w:r>
          <w:r>
            <w:rPr>
              <w:sz w:val="24"/>
              <w:szCs w:val="24"/>
            </w:rPr>
            <w:fldChar w:fldCharType="separate"/>
          </w:r>
          <w:r>
            <w:rPr>
              <w:sz w:val="24"/>
              <w:szCs w:val="24"/>
            </w:rPr>
            <w:t>123</w:t>
          </w:r>
          <w:r>
            <w:rPr>
              <w:sz w:val="24"/>
              <w:szCs w:val="24"/>
            </w:rPr>
            <w:fldChar w:fldCharType="end"/>
          </w:r>
          <w:r>
            <w:rPr>
              <w:color w:val="0000FF"/>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sz w:val="24"/>
              <w:szCs w:val="24"/>
            </w:rPr>
          </w:pPr>
          <w:r>
            <w:rPr>
              <w:color w:val="0000FF"/>
              <w:sz w:val="24"/>
              <w:szCs w:val="24"/>
            </w:rPr>
            <w:fldChar w:fldCharType="begin"/>
          </w:r>
          <w:r>
            <w:rPr>
              <w:sz w:val="24"/>
              <w:szCs w:val="24"/>
            </w:rPr>
            <w:instrText xml:space="preserve"> HYPERLINK \l _Toc5340 </w:instrText>
          </w:r>
          <w:r>
            <w:rPr>
              <w:sz w:val="24"/>
              <w:szCs w:val="24"/>
            </w:rPr>
            <w:fldChar w:fldCharType="separate"/>
          </w:r>
          <w:r>
            <w:rPr>
              <w:sz w:val="24"/>
              <w:szCs w:val="24"/>
            </w:rPr>
            <w:t>9.9建议和要求</w:t>
          </w:r>
          <w:r>
            <w:rPr>
              <w:sz w:val="24"/>
              <w:szCs w:val="24"/>
            </w:rPr>
            <w:tab/>
          </w:r>
          <w:r>
            <w:rPr>
              <w:sz w:val="24"/>
              <w:szCs w:val="24"/>
            </w:rPr>
            <w:fldChar w:fldCharType="begin"/>
          </w:r>
          <w:r>
            <w:rPr>
              <w:sz w:val="24"/>
              <w:szCs w:val="24"/>
            </w:rPr>
            <w:instrText xml:space="preserve"> PAGEREF _Toc5340 \h </w:instrText>
          </w:r>
          <w:r>
            <w:rPr>
              <w:sz w:val="24"/>
              <w:szCs w:val="24"/>
            </w:rPr>
            <w:fldChar w:fldCharType="separate"/>
          </w:r>
          <w:r>
            <w:rPr>
              <w:sz w:val="24"/>
              <w:szCs w:val="24"/>
            </w:rPr>
            <w:t>123</w:t>
          </w:r>
          <w:r>
            <w:rPr>
              <w:sz w:val="24"/>
              <w:szCs w:val="24"/>
            </w:rPr>
            <w:fldChar w:fldCharType="end"/>
          </w:r>
          <w:r>
            <w:rPr>
              <w:color w:val="0000FF"/>
              <w:sz w:val="24"/>
              <w:szCs w:val="24"/>
            </w:rPr>
            <w:fldChar w:fldCharType="end"/>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0000FF"/>
            </w:rPr>
          </w:pPr>
          <w:r>
            <w:rPr>
              <w:color w:val="0000FF"/>
              <w:sz w:val="24"/>
              <w:szCs w:val="24"/>
            </w:rPr>
            <w:fldChar w:fldCharType="end"/>
          </w:r>
        </w:p>
      </w:sdtContent>
    </w:sdt>
    <w:p>
      <w:pPr>
        <w:pStyle w:val="4"/>
        <w:bidi w:val="0"/>
        <w:rPr>
          <w:rFonts w:hint="eastAsia"/>
          <w:color w:val="0000FF"/>
          <w:lang w:val="en-US" w:eastAsia="zh-CN"/>
        </w:rPr>
        <w:sectPr>
          <w:footerReference r:id="rId9" w:type="default"/>
          <w:pgSz w:w="11906" w:h="16838"/>
          <w:pgMar w:top="1440" w:right="1800" w:bottom="1440" w:left="1800" w:header="1077" w:footer="992" w:gutter="0"/>
          <w:pgBorders>
            <w:top w:val="none" w:sz="0" w:space="0"/>
            <w:left w:val="none" w:sz="0" w:space="0"/>
            <w:bottom w:val="none" w:sz="0" w:space="0"/>
            <w:right w:val="none" w:sz="0" w:space="0"/>
          </w:pgBorders>
          <w:pgNumType w:fmt="upperRoman"/>
          <w:cols w:space="425" w:num="1"/>
          <w:docGrid w:type="lines" w:linePitch="312" w:charSpace="0"/>
        </w:sectPr>
      </w:pPr>
      <w:bookmarkStart w:id="0" w:name="_Toc12453"/>
    </w:p>
    <w:p>
      <w:pPr>
        <w:pStyle w:val="4"/>
        <w:bidi w:val="0"/>
        <w:rPr>
          <w:rFonts w:hint="eastAsia"/>
          <w:color w:val="0000FF"/>
          <w:lang w:val="en-US" w:eastAsia="zh-CN"/>
        </w:rPr>
      </w:pPr>
      <w:r>
        <w:rPr>
          <w:rFonts w:hint="eastAsia"/>
          <w:color w:val="0000FF"/>
          <w:lang w:val="en-US" w:eastAsia="zh-CN"/>
        </w:rPr>
        <w:t>1概述</w:t>
      </w:r>
      <w:bookmarkEnd w:id="0"/>
    </w:p>
    <w:p>
      <w:pPr>
        <w:pStyle w:val="5"/>
        <w:bidi w:val="0"/>
        <w:rPr>
          <w:rFonts w:hint="default"/>
          <w:lang w:val="en-US" w:eastAsia="zh-CN"/>
        </w:rPr>
      </w:pPr>
      <w:bookmarkStart w:id="1" w:name="_Toc12223"/>
      <w:r>
        <w:rPr>
          <w:rFonts w:hint="eastAsia"/>
          <w:lang w:val="en-US" w:eastAsia="zh-CN"/>
        </w:rPr>
        <w:t>1.1项目特点</w:t>
      </w:r>
      <w:bookmarkEnd w:id="1"/>
    </w:p>
    <w:p>
      <w:pPr>
        <w:bidi w:val="0"/>
        <w:rPr>
          <w:rFonts w:hint="eastAsia" w:eastAsia="宋体"/>
          <w:color w:val="0000FF"/>
          <w:lang w:val="en-US" w:eastAsia="zh-CN"/>
        </w:rPr>
      </w:pPr>
      <w:r>
        <w:rPr>
          <w:color w:val="0000FF"/>
        </w:rPr>
        <w:t>2016年225团挂牌成立，又称于田县“两场一区”兵地共建农场，辖拉依苏农场、昆仑种羊场、喀孜纳克开发区，225团设疾病预防控制中心。负责全团计划免疫、健康教育、传染病和地方病监测、食品卫生、学校卫生、妇幼保健。由于投入不足，原有设施一直未得到很好地改善，科研、办公条件十分简陋，已成为制约科研、影响服务工作水平和突发公共卫生事件应急处理能力提高的主要因素，此种状况已极不适应当前疾病预防控制新形势的要求。</w:t>
      </w:r>
    </w:p>
    <w:p>
      <w:pPr>
        <w:bidi w:val="0"/>
        <w:rPr>
          <w:color w:val="0000FF"/>
        </w:rPr>
      </w:pPr>
      <w:r>
        <w:rPr>
          <w:color w:val="0000FF"/>
        </w:rPr>
        <w:t>项目区疾病预防控制技术相对落后，人才和投资的相对匮乏，从而造成常见急慢性传染病时有发生，地方病未得到有效控制，环境卫生、健康教育等工作相对落后，卫生防疫的现状与兵团肩负的屯垦戍边的特殊历史使命不符，与国家</w:t>
      </w:r>
      <w:r>
        <w:rPr>
          <w:rFonts w:hint="eastAsia"/>
          <w:color w:val="0000FF"/>
          <w:lang w:eastAsia="zh-CN"/>
        </w:rPr>
        <w:t>制定</w:t>
      </w:r>
      <w:r>
        <w:rPr>
          <w:color w:val="0000FF"/>
        </w:rPr>
        <w:t>的一系列应对突发公共卫生事件的应急管理的具体要求不符。</w:t>
      </w:r>
    </w:p>
    <w:p>
      <w:pPr>
        <w:bidi w:val="0"/>
        <w:rPr>
          <w:color w:val="0000FF"/>
        </w:rPr>
      </w:pPr>
      <w:r>
        <w:rPr>
          <w:color w:val="0000FF"/>
        </w:rPr>
        <w:t>本项目的提出，是本着全面实施建设规划，加快疾病预防控制体系的建设，提高应对突发公共卫生事件的能力。是认真贯彻落实《中共中央、国务院卫生改革与发展的决定》及落实《传染病防治法》和《突发公共卫生事件应急条例》等文件精神，为方便职工群众，更好地服务于225团场社会和经济建设，以人为本促进经济社会协调可持续全面发展，把国家对兵团职工群众的关怀落到实处，建设该项目在国家和兵、师的大力支持下，得以尽快实施。</w:t>
      </w:r>
    </w:p>
    <w:p>
      <w:pPr>
        <w:bidi w:val="0"/>
        <w:rPr>
          <w:color w:val="0000FF"/>
        </w:rPr>
      </w:pPr>
      <w:r>
        <w:rPr>
          <w:color w:val="0000FF"/>
        </w:rPr>
        <w:t>该项目建成后，225团将建立起较高水平的检测检验中心，成为全区卫生监督和疾病控制工作的重要基地，为225团的疾病预防控制事业的发展提供良好的发展环境，充分发挥疾病预防控制专业机构的技术和人才优势，提高卫生检验监测、疾病控制水平，更好地满足人民需求，推动社会发展，以承担全团疾病预防</w:t>
      </w:r>
      <w:r>
        <w:rPr>
          <w:color w:val="0000FF"/>
        </w:rPr>
        <w:drawing>
          <wp:anchor distT="0" distB="0" distL="114300" distR="114300" simplePos="0" relativeHeight="251659264" behindDoc="1" locked="1" layoutInCell="1" allowOverlap="1">
            <wp:simplePos x="0" y="0"/>
            <wp:positionH relativeFrom="column">
              <wp:posOffset>2680970</wp:posOffset>
            </wp:positionH>
            <wp:positionV relativeFrom="paragraph">
              <wp:posOffset>6315710</wp:posOffset>
            </wp:positionV>
            <wp:extent cx="1397000" cy="203200"/>
            <wp:effectExtent l="0" t="0" r="12700" b="6350"/>
            <wp:wrapNone/>
            <wp:docPr id="5" name="图片 5"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8"/>
                    <pic:cNvPicPr>
                      <a:picLocks noChangeAspect="1"/>
                    </pic:cNvPicPr>
                  </pic:nvPicPr>
                  <pic:blipFill>
                    <a:blip r:embed="rId17"/>
                    <a:stretch>
                      <a:fillRect/>
                    </a:stretch>
                  </pic:blipFill>
                  <pic:spPr>
                    <a:xfrm>
                      <a:off x="0" y="0"/>
                      <a:ext cx="1397000" cy="203200"/>
                    </a:xfrm>
                    <a:prstGeom prst="rect">
                      <a:avLst/>
                    </a:prstGeom>
                    <a:noFill/>
                    <a:ln>
                      <a:noFill/>
                    </a:ln>
                  </pic:spPr>
                </pic:pic>
              </a:graphicData>
            </a:graphic>
          </wp:anchor>
        </w:drawing>
      </w:r>
      <w:r>
        <w:rPr>
          <w:color w:val="0000FF"/>
        </w:rPr>
        <w:t>控制、卫生监督的检验检测工作，建立健全食品药品质量安全检验检测体系，提高一师225团食品、药品质量安全检测水平。增强对重大疫情、中毒等突发公共卫生事件调查处理能力和对生化恐怖事件的应对能力。225团疾病预防控制中心的建设有利于充分发挥该区域内的卫生专业技术和人才优势，提高疾病预防控制和卫生检验检测水平，更好的满足人民防病灭病的需求，推动社会发展。</w:t>
      </w:r>
    </w:p>
    <w:p>
      <w:pPr>
        <w:pStyle w:val="5"/>
        <w:bidi w:val="0"/>
        <w:rPr>
          <w:rFonts w:hint="eastAsia"/>
          <w:lang w:val="en-US" w:eastAsia="zh-CN"/>
        </w:rPr>
      </w:pPr>
      <w:bookmarkStart w:id="2" w:name="_Toc22671"/>
      <w:r>
        <w:rPr>
          <w:rFonts w:hint="eastAsia"/>
          <w:lang w:val="en-US" w:eastAsia="zh-CN"/>
        </w:rPr>
        <w:t>1.2环境影响评价过程</w:t>
      </w:r>
      <w:bookmarkEnd w:id="2"/>
    </w:p>
    <w:p>
      <w:pPr>
        <w:bidi w:val="0"/>
        <w:rPr>
          <w:rFonts w:hint="eastAsia"/>
          <w:color w:val="0000FF"/>
          <w:lang w:val="en-US" w:eastAsia="zh-CN"/>
        </w:rPr>
      </w:pPr>
      <w:r>
        <w:rPr>
          <w:rFonts w:hint="eastAsia"/>
          <w:color w:val="0000FF"/>
          <w:lang w:val="en-US" w:eastAsia="zh-CN"/>
        </w:rPr>
        <w:t>根据《中华人民共和国环境影响评价法》、《建设项目环境保护管理条例》和《建设项目环境影响评价分类管理名录（</w:t>
      </w:r>
      <w:r>
        <w:rPr>
          <w:rFonts w:hint="default"/>
          <w:color w:val="0000FF"/>
          <w:lang w:val="en-US" w:eastAsia="zh-CN"/>
        </w:rPr>
        <w:t>2021</w:t>
      </w:r>
      <w:r>
        <w:rPr>
          <w:rFonts w:hint="eastAsia"/>
          <w:color w:val="0000FF"/>
          <w:lang w:val="en-US" w:eastAsia="zh-CN"/>
        </w:rPr>
        <w:t>版）》（生态环境部令第</w:t>
      </w:r>
      <w:r>
        <w:rPr>
          <w:rFonts w:hint="default"/>
          <w:color w:val="0000FF"/>
          <w:lang w:val="en-US" w:eastAsia="zh-CN"/>
        </w:rPr>
        <w:t>16</w:t>
      </w:r>
      <w:r>
        <w:rPr>
          <w:rFonts w:hint="eastAsia"/>
          <w:color w:val="0000FF"/>
          <w:lang w:val="en-US" w:eastAsia="zh-CN"/>
        </w:rPr>
        <w:t>号）等环境保护法律、法规、规章的规定，本项目应进行环境影响评价。经分析后确定本项目属“四十九、卫生；</w:t>
      </w:r>
      <w:r>
        <w:rPr>
          <w:rFonts w:hint="default"/>
          <w:color w:val="0000FF"/>
          <w:lang w:val="en-US" w:eastAsia="zh-CN"/>
        </w:rPr>
        <w:t>109</w:t>
      </w:r>
      <w:r>
        <w:rPr>
          <w:rFonts w:hint="eastAsia"/>
          <w:color w:val="0000FF"/>
          <w:lang w:val="en-US" w:eastAsia="zh-CN"/>
        </w:rPr>
        <w:t>、疾病预防控制中心”，本项目为新建项目，应编制环境影响报告书。</w:t>
      </w:r>
      <w:r>
        <w:rPr>
          <w:color w:val="0000FF"/>
          <w:lang w:val="en-US" w:eastAsia="zh-CN"/>
        </w:rPr>
        <w:t>新疆生产建设兵团第十四师卫生健康委员会</w:t>
      </w:r>
      <w:r>
        <w:rPr>
          <w:rFonts w:hint="eastAsia"/>
          <w:color w:val="0000FF"/>
          <w:lang w:val="en-US" w:eastAsia="zh-CN"/>
        </w:rPr>
        <w:t>于</w:t>
      </w:r>
      <w:r>
        <w:rPr>
          <w:rFonts w:hint="default"/>
          <w:color w:val="0000FF"/>
          <w:lang w:val="en-US" w:eastAsia="zh-CN"/>
        </w:rPr>
        <w:t>202</w:t>
      </w:r>
      <w:r>
        <w:rPr>
          <w:rFonts w:hint="eastAsia"/>
          <w:color w:val="0000FF"/>
          <w:lang w:val="en-US" w:eastAsia="zh-CN"/>
        </w:rPr>
        <w:t>2年1月委托乌鲁木齐水木森潮环保科技有限公司对项目进行环境影响评价工作。</w:t>
      </w:r>
    </w:p>
    <w:p>
      <w:pPr>
        <w:bidi w:val="0"/>
        <w:rPr>
          <w:rFonts w:hint="eastAsia"/>
          <w:color w:val="0000FF"/>
          <w:lang w:val="en-US" w:eastAsia="zh-CN"/>
        </w:rPr>
      </w:pPr>
      <w:r>
        <w:rPr>
          <w:rFonts w:hint="eastAsia"/>
          <w:color w:val="0000FF"/>
          <w:lang w:val="en-US" w:eastAsia="zh-CN"/>
        </w:rPr>
        <w:t>在接受委托后，评价单位按照环境影响评价的有关工作程序，依据《环境影响评价技术导则》的有关技术要求，组织专业人员认真研究建设单位提供的相关文件和技术资料，对项目厂址及周围区域现场进行实地踏勘和调研、收集当地资料和水文地质资料等其它相关支撑性文件、开展环境现状监测、公众参与调查和公示，根据公众意见和建议，提出了相关的污染治理措施，对建设项目进行了认真细致的工程分析，根据各环境要素的评价等级筛选及其相应评价等级要求，对各环境要素进行了环境影响预测和评价，提出了相应的环境保护措施并进行了技术经济论证，在此基础上，编制完成了《十四师225团疾控中心建设项目环境影响报告书》，并提交主管部门和专家审查。</w:t>
      </w:r>
    </w:p>
    <w:p>
      <w:pPr>
        <w:pStyle w:val="5"/>
        <w:bidi w:val="0"/>
        <w:rPr>
          <w:rFonts w:hint="eastAsia"/>
          <w:lang w:val="en-US" w:eastAsia="zh-CN"/>
        </w:rPr>
      </w:pPr>
      <w:bookmarkStart w:id="3" w:name="_Toc24240"/>
      <w:r>
        <w:rPr>
          <w:rFonts w:hint="eastAsia"/>
          <w:lang w:val="en-US" w:eastAsia="zh-CN"/>
        </w:rPr>
        <w:t>1.3分析判定情况</w:t>
      </w:r>
      <w:bookmarkEnd w:id="3"/>
    </w:p>
    <w:p>
      <w:pPr>
        <w:pStyle w:val="2"/>
        <w:keepNext w:val="0"/>
        <w:keepLines w:val="0"/>
        <w:pageBreakBefore w:val="0"/>
        <w:widowControl w:val="0"/>
        <w:kinsoku/>
        <w:wordWrap/>
        <w:overflowPunct/>
        <w:topLinePunct w:val="0"/>
        <w:autoSpaceDE w:val="0"/>
        <w:autoSpaceDN w:val="0"/>
        <w:bidi w:val="0"/>
        <w:adjustRightInd/>
        <w:snapToGrid/>
        <w:spacing w:before="7" w:line="360" w:lineRule="auto"/>
        <w:ind w:left="0" w:firstLine="480" w:firstLineChars="200"/>
        <w:textAlignment w:val="auto"/>
        <w:rPr>
          <w:rFonts w:hint="default" w:ascii="Times New Roman" w:hAnsi="Times New Roman" w:eastAsia="宋体" w:cs="Times New Roman"/>
          <w:color w:val="0000FF"/>
        </w:rPr>
      </w:pPr>
      <w:bookmarkStart w:id="4" w:name="_Toc28689"/>
      <w:r>
        <w:rPr>
          <w:rFonts w:hint="default" w:ascii="Times New Roman" w:hAnsi="Times New Roman" w:eastAsia="宋体" w:cs="Times New Roman"/>
          <w:color w:val="0000FF"/>
        </w:rPr>
        <w:t>本工程环境影响评价工作的指导思想是在充分调查和摸清本工程厂址地区环境特点和环境现状，深入分析本工程污染源状况的基础上，运用国家环境保护行业标准和《环境影响评价技术导则》中的有关模型，预测本工程所排污染物对周边区域环境质量的影响程度，分析建设项目污染物排放及影响是否符合当地环境功能及环境质量标准的要求。</w:t>
      </w:r>
    </w:p>
    <w:p>
      <w:pPr>
        <w:bidi w:val="0"/>
        <w:rPr>
          <w:rFonts w:hint="eastAsia" w:eastAsia="宋体"/>
          <w:color w:val="0000FF"/>
          <w:lang w:eastAsia="zh-CN"/>
        </w:rPr>
      </w:pPr>
      <w:r>
        <w:rPr>
          <w:color w:val="0000FF"/>
        </w:rPr>
        <w:t>根据中华人民共和国国家发展和改革委员会《产业结构调整指导目录》（2019年本）</w:t>
      </w:r>
      <w:r>
        <w:rPr>
          <w:rFonts w:hint="eastAsia"/>
          <w:color w:val="0000FF"/>
          <w:lang w:eastAsia="zh-CN"/>
        </w:rPr>
        <w:t>，</w:t>
      </w:r>
      <w:r>
        <w:rPr>
          <w:color w:val="0000FF"/>
        </w:rPr>
        <w:t>项目属于第一类鼓励类，第三十七款</w:t>
      </w:r>
      <w:r>
        <w:rPr>
          <w:rFonts w:hint="eastAsia"/>
          <w:color w:val="0000FF"/>
          <w:lang w:eastAsia="zh-CN"/>
        </w:rPr>
        <w:t>“</w:t>
      </w:r>
      <w:r>
        <w:rPr>
          <w:rFonts w:hint="eastAsia"/>
          <w:color w:val="0000FF"/>
          <w:lang w:val="en-US" w:eastAsia="zh-CN"/>
        </w:rPr>
        <w:t>卫生健康</w:t>
      </w:r>
      <w:r>
        <w:rPr>
          <w:rFonts w:hint="eastAsia"/>
          <w:color w:val="0000FF"/>
          <w:lang w:eastAsia="zh-CN"/>
        </w:rPr>
        <w:t>”</w:t>
      </w:r>
      <w:r>
        <w:rPr>
          <w:color w:val="0000FF"/>
        </w:rPr>
        <w:t>第1条中的</w:t>
      </w:r>
      <w:r>
        <w:rPr>
          <w:rFonts w:hint="eastAsia"/>
          <w:color w:val="0000FF"/>
          <w:lang w:eastAsia="zh-CN"/>
        </w:rPr>
        <w:t>“</w:t>
      </w:r>
      <w:r>
        <w:rPr>
          <w:color w:val="0000FF"/>
        </w:rPr>
        <w:t>预防保健、卫生应急、卫生监督服务设施建设</w:t>
      </w:r>
      <w:r>
        <w:rPr>
          <w:rFonts w:hint="eastAsia"/>
          <w:color w:val="0000FF"/>
          <w:lang w:eastAsia="zh-CN"/>
        </w:rPr>
        <w:t>”</w:t>
      </w:r>
      <w:r>
        <w:rPr>
          <w:color w:val="0000FF"/>
        </w:rPr>
        <w:t>项目，因此本项目符合国家产业政策。</w:t>
      </w:r>
    </w:p>
    <w:bookmarkEnd w:id="4"/>
    <w:p>
      <w:pPr>
        <w:pStyle w:val="5"/>
        <w:bidi w:val="0"/>
        <w:rPr>
          <w:rFonts w:hint="eastAsia"/>
          <w:lang w:val="en-US" w:eastAsia="zh-CN"/>
        </w:rPr>
      </w:pPr>
      <w:bookmarkStart w:id="5" w:name="_Toc12751"/>
      <w:r>
        <w:rPr>
          <w:rFonts w:hint="eastAsia"/>
          <w:lang w:val="en-US" w:eastAsia="zh-CN"/>
        </w:rPr>
        <w:t>1.4项目关注的主要环境问题</w:t>
      </w:r>
      <w:bookmarkEnd w:id="5"/>
    </w:p>
    <w:p>
      <w:pPr>
        <w:bidi w:val="0"/>
        <w:rPr>
          <w:color w:val="0000FF"/>
        </w:rPr>
      </w:pPr>
      <w:r>
        <w:rPr>
          <w:rFonts w:hint="eastAsia"/>
          <w:color w:val="0000FF"/>
          <w:lang w:val="en-US" w:eastAsia="zh-CN"/>
        </w:rPr>
        <w:t>本次评价主要关注的环境问题是建设项目投入营运后主要污染物的产生、控制和环境风险。本项目关注的环境问题是：</w:t>
      </w:r>
    </w:p>
    <w:p>
      <w:pPr>
        <w:bidi w:val="0"/>
        <w:rPr>
          <w:rFonts w:hint="eastAsia"/>
          <w:color w:val="0000FF"/>
          <w:lang w:val="en-US" w:eastAsia="zh-CN"/>
        </w:rPr>
      </w:pPr>
      <w:r>
        <w:rPr>
          <w:rFonts w:hint="eastAsia"/>
          <w:color w:val="0000FF"/>
          <w:lang w:val="en-US" w:eastAsia="zh-CN"/>
        </w:rPr>
        <w:t>（1）建设项目是否满足国家产业政策及相关规定；</w:t>
      </w:r>
    </w:p>
    <w:p>
      <w:pPr>
        <w:bidi w:val="0"/>
        <w:rPr>
          <w:rFonts w:hint="eastAsia"/>
          <w:color w:val="0000FF"/>
          <w:lang w:val="en-US" w:eastAsia="zh-CN"/>
        </w:rPr>
      </w:pPr>
      <w:r>
        <w:rPr>
          <w:rFonts w:hint="eastAsia"/>
          <w:color w:val="0000FF"/>
          <w:lang w:val="en-US" w:eastAsia="zh-CN"/>
        </w:rPr>
        <w:t>（2）根据项目建设内容及建设规模，明确项目废水处理方式及最终去向；</w:t>
      </w:r>
    </w:p>
    <w:p>
      <w:pPr>
        <w:bidi w:val="0"/>
        <w:rPr>
          <w:rFonts w:hint="eastAsia"/>
          <w:color w:val="0000FF"/>
          <w:lang w:val="en-US" w:eastAsia="zh-CN"/>
        </w:rPr>
      </w:pPr>
      <w:r>
        <w:rPr>
          <w:rFonts w:hint="eastAsia"/>
          <w:color w:val="0000FF"/>
          <w:lang w:val="en-US" w:eastAsia="zh-CN"/>
        </w:rPr>
        <w:t>（3）明确项目产生的废气处理措施和固废处理措施；</w:t>
      </w:r>
    </w:p>
    <w:p>
      <w:pPr>
        <w:bidi w:val="0"/>
        <w:rPr>
          <w:rFonts w:hint="eastAsia"/>
          <w:color w:val="0000FF"/>
          <w:lang w:val="en-US" w:eastAsia="zh-CN"/>
        </w:rPr>
      </w:pPr>
      <w:r>
        <w:rPr>
          <w:rFonts w:hint="eastAsia"/>
          <w:color w:val="0000FF"/>
          <w:lang w:val="en-US" w:eastAsia="zh-CN"/>
        </w:rPr>
        <w:t>（4）项目建设运营期间产生的环境影响及主要污染物是否能够达标排放，</w:t>
      </w:r>
    </w:p>
    <w:p>
      <w:pPr>
        <w:bidi w:val="0"/>
        <w:rPr>
          <w:rFonts w:hint="eastAsia"/>
          <w:color w:val="0000FF"/>
          <w:lang w:val="en-US" w:eastAsia="zh-CN"/>
        </w:rPr>
      </w:pPr>
      <w:r>
        <w:rPr>
          <w:rFonts w:hint="eastAsia"/>
          <w:color w:val="0000FF"/>
          <w:lang w:val="en-US" w:eastAsia="zh-CN"/>
        </w:rPr>
        <w:t>采取的污染防治措施是否合理可行。</w:t>
      </w:r>
    </w:p>
    <w:p>
      <w:pPr>
        <w:bidi w:val="0"/>
        <w:rPr>
          <w:color w:val="0000FF"/>
        </w:rPr>
      </w:pPr>
      <w:r>
        <w:rPr>
          <w:rFonts w:hint="eastAsia"/>
          <w:color w:val="0000FF"/>
          <w:lang w:val="en-US" w:eastAsia="zh-CN"/>
        </w:rPr>
        <w:t>（5）环境风险防范措施和应急体系的建立。</w:t>
      </w:r>
    </w:p>
    <w:p>
      <w:pPr>
        <w:pStyle w:val="5"/>
        <w:bidi w:val="0"/>
      </w:pPr>
      <w:bookmarkStart w:id="6" w:name="_Toc4706"/>
      <w:r>
        <w:rPr>
          <w:rFonts w:hint="default"/>
          <w:lang w:val="en-US" w:eastAsia="zh-CN"/>
        </w:rPr>
        <w:t>1.5</w:t>
      </w:r>
      <w:r>
        <w:rPr>
          <w:rFonts w:hint="eastAsia"/>
          <w:lang w:val="en-US" w:eastAsia="zh-CN"/>
        </w:rPr>
        <w:t>环境影响评价的主要结论</w:t>
      </w:r>
      <w:bookmarkEnd w:id="6"/>
    </w:p>
    <w:p>
      <w:pPr>
        <w:bidi w:val="0"/>
        <w:rPr>
          <w:color w:val="0000FF"/>
        </w:rPr>
      </w:pPr>
      <w:r>
        <w:rPr>
          <w:rFonts w:hint="eastAsia"/>
          <w:color w:val="0000FF"/>
          <w:lang w:val="en-US" w:eastAsia="zh-CN"/>
        </w:rPr>
        <w:t>本项目属于《产业结构调整指导目录（</w:t>
      </w:r>
      <w:r>
        <w:rPr>
          <w:rFonts w:hint="default"/>
          <w:color w:val="0000FF"/>
          <w:lang w:val="en-US" w:eastAsia="zh-CN"/>
        </w:rPr>
        <w:t>2019</w:t>
      </w:r>
      <w:r>
        <w:rPr>
          <w:rFonts w:hint="eastAsia"/>
          <w:color w:val="0000FF"/>
          <w:lang w:val="en-US" w:eastAsia="zh-CN"/>
        </w:rPr>
        <w:t>年本）》鼓励类中的：“三十七、卫生健康；</w:t>
      </w:r>
      <w:r>
        <w:rPr>
          <w:rFonts w:hint="default"/>
          <w:color w:val="0000FF"/>
          <w:lang w:val="en-US" w:eastAsia="zh-CN"/>
        </w:rPr>
        <w:t>1</w:t>
      </w:r>
      <w:r>
        <w:rPr>
          <w:rFonts w:hint="eastAsia"/>
          <w:color w:val="0000FF"/>
          <w:lang w:val="en-US" w:eastAsia="zh-CN"/>
        </w:rPr>
        <w:t>、预防保健、卫生应急、卫生监督服务设施建设”，同时根据《关于第十四师225团疾控中心建设项目可行性研究报告的批复》（师发改发〔</w:t>
      </w:r>
      <w:r>
        <w:rPr>
          <w:rFonts w:hint="default"/>
          <w:color w:val="0000FF"/>
          <w:lang w:val="en-US" w:eastAsia="zh-CN"/>
        </w:rPr>
        <w:t>20</w:t>
      </w:r>
      <w:r>
        <w:rPr>
          <w:rFonts w:hint="eastAsia"/>
          <w:color w:val="0000FF"/>
          <w:lang w:val="en-US" w:eastAsia="zh-CN"/>
        </w:rPr>
        <w:t>16〕141号），本项目符合国家产业政策要求。</w:t>
      </w:r>
    </w:p>
    <w:p>
      <w:pPr>
        <w:bidi w:val="0"/>
        <w:rPr>
          <w:color w:val="0000FF"/>
        </w:rPr>
      </w:pPr>
      <w:r>
        <w:rPr>
          <w:rFonts w:hint="eastAsia"/>
          <w:color w:val="0000FF"/>
          <w:lang w:val="en-US" w:eastAsia="zh-CN"/>
        </w:rPr>
        <w:t>本项目的建设符合国家产业政策、选址基本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pPr>
        <w:bidi w:val="0"/>
        <w:rPr>
          <w:color w:val="0000FF"/>
        </w:rPr>
      </w:pPr>
      <w:r>
        <w:rPr>
          <w:rFonts w:hint="eastAsia"/>
          <w:color w:val="0000FF"/>
          <w:lang w:val="en-US" w:eastAsia="zh-CN"/>
        </w:rPr>
        <w:t>本评价认为，项目在设计和运行时应严格执行安全生产的各项规章制度，根据生产的安全要求，制定事故应急预案，配套相应的安全防范措施，杜绝事故对环境产生的风险。项目建设过程中应严格认真执行环境保护“三同时”制度，切实落实本报告书各项污染防治措施和环境管理措施，确保各类污染物稳定达标排放和污染物排放总量控制。在此基础上，本项目的建设在环境保护方面是可行的。</w:t>
      </w:r>
    </w:p>
    <w:p>
      <w:pPr>
        <w:rPr>
          <w:rFonts w:hint="default"/>
          <w:color w:val="0000FF"/>
          <w:lang w:val="en-US" w:eastAsia="zh-CN"/>
        </w:rPr>
      </w:pPr>
      <w:r>
        <w:rPr>
          <w:rFonts w:hint="default"/>
          <w:color w:val="0000FF"/>
          <w:lang w:val="en-US" w:eastAsia="zh-CN"/>
        </w:rPr>
        <w:br w:type="page"/>
      </w:r>
    </w:p>
    <w:p>
      <w:pPr>
        <w:pStyle w:val="4"/>
        <w:bidi w:val="0"/>
        <w:rPr>
          <w:rFonts w:hint="eastAsia"/>
          <w:color w:val="0000FF"/>
          <w:lang w:val="en-US" w:eastAsia="zh-CN"/>
        </w:rPr>
      </w:pPr>
      <w:bookmarkStart w:id="7" w:name="_Toc903"/>
      <w:r>
        <w:rPr>
          <w:rFonts w:hint="eastAsia"/>
          <w:color w:val="0000FF"/>
          <w:lang w:val="en-US" w:eastAsia="zh-CN"/>
        </w:rPr>
        <w:t>2总则</w:t>
      </w:r>
      <w:bookmarkEnd w:id="7"/>
    </w:p>
    <w:p>
      <w:pPr>
        <w:pStyle w:val="5"/>
        <w:bidi w:val="0"/>
        <w:rPr>
          <w:rFonts w:hint="eastAsia"/>
          <w:lang w:val="en-US" w:eastAsia="zh-CN"/>
        </w:rPr>
      </w:pPr>
      <w:bookmarkStart w:id="8" w:name="_Toc21868"/>
      <w:r>
        <w:rPr>
          <w:rFonts w:hint="eastAsia"/>
          <w:lang w:val="en-US" w:eastAsia="zh-CN"/>
        </w:rPr>
        <w:t>2.1评价目的和原则</w:t>
      </w:r>
      <w:bookmarkEnd w:id="8"/>
    </w:p>
    <w:p>
      <w:pPr>
        <w:pStyle w:val="6"/>
        <w:bidi w:val="0"/>
        <w:rPr>
          <w:rFonts w:hint="eastAsia"/>
          <w:lang w:val="en-US" w:eastAsia="zh-CN"/>
        </w:rPr>
      </w:pPr>
      <w:bookmarkStart w:id="9" w:name="_Toc5617"/>
      <w:r>
        <w:rPr>
          <w:rFonts w:hint="eastAsia"/>
          <w:lang w:val="en-US" w:eastAsia="zh-CN"/>
        </w:rPr>
        <w:t>2.1.1评价目的</w:t>
      </w:r>
      <w:bookmarkEnd w:id="9"/>
    </w:p>
    <w:p>
      <w:pPr>
        <w:bidi w:val="0"/>
        <w:rPr>
          <w:color w:val="0000FF"/>
        </w:rPr>
      </w:pPr>
      <w:r>
        <w:rPr>
          <w:rFonts w:hint="eastAsia"/>
          <w:color w:val="0000FF"/>
          <w:lang w:val="en-US" w:eastAsia="zh-CN"/>
        </w:rPr>
        <w:t>本次环评的目的在于通过对疾控中心区域环境质量现状的调查与监测，以及对建设期和运营期污染源分析，评价本项目对疾控中心和周围环境造成的影响程度和范围，了解项目区的环境质量现状，为本项目的环境影响评价提供背景资料，根据对当地环境质量可能发生的变化情况，提出切实可行的污染防治措施。通过环评主要解决如下问题：</w:t>
      </w:r>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）按照国家环境保护法及有关规定，从保护环境的目的出发，事实求是地论证本项目建设期和运营期间对周围环境的影响。</w:t>
      </w:r>
    </w:p>
    <w:p>
      <w:pPr>
        <w:bidi w:val="0"/>
        <w:rPr>
          <w:color w:val="0000FF"/>
        </w:rPr>
      </w:pPr>
      <w:r>
        <w:rPr>
          <w:rFonts w:hint="eastAsia"/>
          <w:color w:val="0000FF"/>
          <w:lang w:val="en-US" w:eastAsia="zh-CN"/>
        </w:rPr>
        <w:t>（</w:t>
      </w:r>
      <w:r>
        <w:rPr>
          <w:rFonts w:hint="default"/>
          <w:color w:val="0000FF"/>
          <w:lang w:val="en-US" w:eastAsia="zh-CN"/>
        </w:rPr>
        <w:t>2</w:t>
      </w:r>
      <w:r>
        <w:rPr>
          <w:rFonts w:hint="eastAsia"/>
          <w:color w:val="0000FF"/>
          <w:lang w:val="en-US" w:eastAsia="zh-CN"/>
        </w:rPr>
        <w:t>）在资料分析、现场踏勘及现状环境的监测基础上，客观地分析该项目污染源、污染物的产生及排放情况，根据所确定的环境保护目标和污染控制目标，结合项目采取的污染治理措施，针对项目存在的环境问题，提出环保措施，使本项目周围环境的不利影响降低到最低程度。</w:t>
      </w:r>
    </w:p>
    <w:p>
      <w:pPr>
        <w:bidi w:val="0"/>
        <w:rPr>
          <w:rFonts w:hint="eastAsia"/>
          <w:color w:val="0000FF"/>
          <w:lang w:val="en-US" w:eastAsia="zh-CN"/>
        </w:rPr>
      </w:pPr>
      <w:r>
        <w:rPr>
          <w:rFonts w:hint="eastAsia"/>
          <w:color w:val="0000FF"/>
          <w:lang w:val="en-US" w:eastAsia="zh-CN"/>
        </w:rPr>
        <w:t>（</w:t>
      </w:r>
      <w:r>
        <w:rPr>
          <w:rFonts w:hint="default"/>
          <w:color w:val="0000FF"/>
          <w:lang w:val="en-US" w:eastAsia="zh-CN"/>
        </w:rPr>
        <w:t>3</w:t>
      </w:r>
      <w:r>
        <w:rPr>
          <w:rFonts w:hint="eastAsia"/>
          <w:color w:val="0000FF"/>
          <w:lang w:val="en-US" w:eastAsia="zh-CN"/>
        </w:rPr>
        <w:t>）为疾控中心不断提高环境管理提供科学依据，为保护和改善项目所在区域的环境质量服务。</w:t>
      </w:r>
    </w:p>
    <w:p>
      <w:pPr>
        <w:pStyle w:val="6"/>
        <w:bidi w:val="0"/>
        <w:rPr>
          <w:rFonts w:hint="eastAsia"/>
          <w:lang w:val="en-US" w:eastAsia="zh-CN"/>
        </w:rPr>
      </w:pPr>
      <w:bookmarkStart w:id="10" w:name="_Toc32566"/>
      <w:r>
        <w:rPr>
          <w:rFonts w:hint="eastAsia"/>
          <w:lang w:val="en-US" w:eastAsia="zh-CN"/>
        </w:rPr>
        <w:t>2.1.2评价原则分析</w:t>
      </w:r>
      <w:bookmarkEnd w:id="10"/>
    </w:p>
    <w:p>
      <w:pPr>
        <w:bidi w:val="0"/>
        <w:rPr>
          <w:color w:val="0000FF"/>
        </w:rPr>
      </w:pPr>
      <w:r>
        <w:rPr>
          <w:rFonts w:hint="eastAsia"/>
          <w:color w:val="0000FF"/>
          <w:lang w:val="en-US" w:eastAsia="zh-CN"/>
        </w:rPr>
        <w:t>突出环境影响评价的源头预防作用，坚持保护和改善环境质量：</w:t>
      </w:r>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）依法评价：贯彻执行我国环境保护相关法律法规、标准、政策和规划等，优化建设项目，服务环境管理；</w:t>
      </w:r>
    </w:p>
    <w:p>
      <w:pPr>
        <w:bidi w:val="0"/>
        <w:rPr>
          <w:color w:val="0000FF"/>
        </w:rPr>
      </w:pPr>
      <w:r>
        <w:rPr>
          <w:rFonts w:hint="eastAsia"/>
          <w:color w:val="0000FF"/>
          <w:lang w:val="en-US" w:eastAsia="zh-CN"/>
        </w:rPr>
        <w:t>（</w:t>
      </w:r>
      <w:r>
        <w:rPr>
          <w:rFonts w:hint="default"/>
          <w:color w:val="0000FF"/>
          <w:lang w:val="en-US" w:eastAsia="zh-CN"/>
        </w:rPr>
        <w:t>2</w:t>
      </w:r>
      <w:r>
        <w:rPr>
          <w:rFonts w:hint="eastAsia"/>
          <w:color w:val="0000FF"/>
          <w:lang w:val="en-US" w:eastAsia="zh-CN"/>
        </w:rPr>
        <w:t>）科学评价：规范环境影响评价法，科学地分析项目建设对环境质量的影响。</w:t>
      </w:r>
    </w:p>
    <w:p>
      <w:pPr>
        <w:bidi w:val="0"/>
        <w:rPr>
          <w:rFonts w:hint="default"/>
          <w:color w:val="0000FF"/>
          <w:lang w:val="en-US" w:eastAsia="zh-CN"/>
        </w:rPr>
      </w:pPr>
      <w:r>
        <w:rPr>
          <w:rFonts w:hint="eastAsia"/>
          <w:color w:val="0000FF"/>
          <w:lang w:val="en-US" w:eastAsia="zh-CN"/>
        </w:rPr>
        <w:t>（3）突出重点：根据建设项目的工程内容及其特点，明确与环境要素间的作用效应关系，对建设项目主要环境影响予以重点分析和评价。</w:t>
      </w:r>
    </w:p>
    <w:p>
      <w:pPr>
        <w:pStyle w:val="5"/>
        <w:bidi w:val="0"/>
        <w:rPr>
          <w:rFonts w:hint="default"/>
          <w:lang w:val="en-US" w:eastAsia="zh-CN"/>
        </w:rPr>
      </w:pPr>
      <w:bookmarkStart w:id="11" w:name="_Toc6816"/>
      <w:r>
        <w:rPr>
          <w:rFonts w:hint="eastAsia"/>
          <w:lang w:val="en-US" w:eastAsia="zh-CN"/>
        </w:rPr>
        <w:t>2.2评价工作程序</w:t>
      </w:r>
      <w:bookmarkEnd w:id="11"/>
    </w:p>
    <w:p>
      <w:pPr>
        <w:bidi w:val="0"/>
        <w:rPr>
          <w:color w:val="0000FF"/>
        </w:rPr>
      </w:pPr>
      <w:r>
        <w:rPr>
          <w:rFonts w:hint="eastAsia"/>
          <w:color w:val="0000FF"/>
          <w:lang w:val="en-US" w:eastAsia="zh-CN"/>
        </w:rPr>
        <w:t>环境影响评价工作一般分为三个阶段，即调查分析和工作方案制定阶段，分析论证和预测评价阶段，环境影响报告书（表）编制阶段。环境影响评价工作程序见图</w:t>
      </w:r>
      <w:r>
        <w:rPr>
          <w:rFonts w:hint="default"/>
          <w:color w:val="0000FF"/>
          <w:lang w:val="en-US" w:eastAsia="zh-CN"/>
        </w:rPr>
        <w:t>2-1</w:t>
      </w:r>
      <w:r>
        <w:rPr>
          <w:rFonts w:hint="eastAsia"/>
          <w:color w:val="0000FF"/>
          <w:lang w:val="en-US" w:eastAsia="zh-CN"/>
        </w:rPr>
        <w:t>。</w:t>
      </w:r>
    </w:p>
    <w:p>
      <w:pPr>
        <w:bidi w:val="0"/>
        <w:rPr>
          <w:rFonts w:hint="eastAsia"/>
          <w:color w:val="0000FF"/>
          <w:lang w:val="en-US" w:eastAsia="zh-CN"/>
        </w:rPr>
      </w:pPr>
    </w:p>
    <w:p>
      <w:pPr>
        <w:pStyle w:val="2"/>
        <w:rPr>
          <w:color w:val="0000FF"/>
        </w:rPr>
      </w:pPr>
      <w:r>
        <w:rPr>
          <w:color w:val="0000FF"/>
        </w:rPr>
        <w:drawing>
          <wp:inline distT="0" distB="0" distL="114300" distR="114300">
            <wp:extent cx="5268595" cy="5957570"/>
            <wp:effectExtent l="0" t="0" r="825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8595" cy="5957570"/>
                    </a:xfrm>
                    <a:prstGeom prst="rect">
                      <a:avLst/>
                    </a:prstGeom>
                    <a:noFill/>
                    <a:ln>
                      <a:noFill/>
                    </a:ln>
                  </pic:spPr>
                </pic:pic>
              </a:graphicData>
            </a:graphic>
          </wp:inline>
        </w:drawing>
      </w:r>
    </w:p>
    <w:p>
      <w:pPr>
        <w:bidi w:val="0"/>
        <w:jc w:val="center"/>
        <w:rPr>
          <w:rFonts w:hint="eastAsia"/>
          <w:b/>
          <w:bCs/>
          <w:color w:val="0000FF"/>
          <w:sz w:val="21"/>
          <w:szCs w:val="21"/>
          <w:lang w:val="en-US" w:eastAsia="zh-CN"/>
        </w:rPr>
      </w:pPr>
      <w:r>
        <w:rPr>
          <w:rFonts w:hint="eastAsia"/>
          <w:b/>
          <w:bCs/>
          <w:color w:val="0000FF"/>
          <w:sz w:val="21"/>
          <w:szCs w:val="21"/>
          <w:lang w:val="en-US" w:eastAsia="zh-CN"/>
        </w:rPr>
        <w:t>图2-1本项目环境影响评价工作程序图</w:t>
      </w:r>
    </w:p>
    <w:p>
      <w:pPr>
        <w:pStyle w:val="5"/>
        <w:bidi w:val="0"/>
        <w:rPr>
          <w:rFonts w:hint="eastAsia"/>
          <w:lang w:val="en-US" w:eastAsia="zh-CN"/>
        </w:rPr>
      </w:pPr>
      <w:bookmarkStart w:id="12" w:name="_Toc31653"/>
      <w:r>
        <w:rPr>
          <w:rFonts w:hint="eastAsia"/>
          <w:lang w:val="en-US" w:eastAsia="zh-CN"/>
        </w:rPr>
        <w:t>2.3编制依据</w:t>
      </w:r>
      <w:bookmarkEnd w:id="12"/>
    </w:p>
    <w:p>
      <w:pPr>
        <w:pStyle w:val="6"/>
        <w:bidi w:val="0"/>
      </w:pPr>
      <w:bookmarkStart w:id="13" w:name="_Toc21498"/>
      <w:r>
        <w:rPr>
          <w:rFonts w:hint="eastAsia"/>
          <w:lang w:val="en-US" w:eastAsia="zh-CN"/>
        </w:rPr>
        <w:t>2.3.1环境保护法律、法规及有关规定</w:t>
      </w:r>
      <w:bookmarkEnd w:id="13"/>
    </w:p>
    <w:p>
      <w:pPr>
        <w:bidi w:val="0"/>
        <w:rPr>
          <w:rFonts w:hint="eastAsia" w:eastAsia="宋体"/>
          <w:color w:val="0000FF"/>
          <w:lang w:val="en-US" w:eastAsia="zh-CN"/>
        </w:rPr>
      </w:pPr>
      <w:r>
        <w:rPr>
          <w:color w:val="0000FF"/>
        </w:rPr>
        <w:t>（1）《中华人民共和国环境保护法》（主席令第9号，2015年1月1日）；</w:t>
      </w:r>
    </w:p>
    <w:p>
      <w:pPr>
        <w:bidi w:val="0"/>
        <w:rPr>
          <w:color w:val="0000FF"/>
        </w:rPr>
      </w:pPr>
      <w:r>
        <w:rPr>
          <w:color w:val="0000FF"/>
        </w:rPr>
        <w:t>（2）《中华人民共和国环境影响评价法》（2018年12月29日修订）；</w:t>
      </w:r>
    </w:p>
    <w:p>
      <w:pPr>
        <w:bidi w:val="0"/>
        <w:rPr>
          <w:color w:val="0000FF"/>
        </w:rPr>
      </w:pPr>
      <w:r>
        <w:rPr>
          <w:color w:val="0000FF"/>
        </w:rPr>
        <w:t>（3）《中华人民共和国环境噪声污染防治法》（2018年12月29日）；</w:t>
      </w:r>
    </w:p>
    <w:p>
      <w:pPr>
        <w:bidi w:val="0"/>
        <w:rPr>
          <w:color w:val="0000FF"/>
        </w:rPr>
      </w:pPr>
      <w:r>
        <w:rPr>
          <w:color w:val="0000FF"/>
        </w:rPr>
        <w:t>（4）《中华人民共和国水污染防治法》（2018年1月1日）；</w:t>
      </w:r>
    </w:p>
    <w:p>
      <w:pPr>
        <w:bidi w:val="0"/>
        <w:rPr>
          <w:color w:val="0000FF"/>
        </w:rPr>
      </w:pPr>
      <w:r>
        <w:rPr>
          <w:color w:val="0000FF"/>
        </w:rPr>
        <w:t>（5）《中华人民共和国固体废物污染环境防治法》（2020年9月1日）；</w:t>
      </w:r>
    </w:p>
    <w:p>
      <w:pPr>
        <w:bidi w:val="0"/>
        <w:rPr>
          <w:rFonts w:hint="eastAsia" w:eastAsia="宋体"/>
          <w:color w:val="0000FF"/>
          <w:lang w:eastAsia="zh-CN"/>
        </w:rPr>
      </w:pPr>
      <w:r>
        <w:rPr>
          <w:color w:val="0000FF"/>
        </w:rPr>
        <w:t>（6）《中华人民共和国大气污染防治法》（2018年10月26日）</w:t>
      </w:r>
      <w:r>
        <w:rPr>
          <w:rFonts w:hint="eastAsia"/>
          <w:color w:val="0000FF"/>
          <w:lang w:eastAsia="zh-CN"/>
        </w:rPr>
        <w:t>；</w:t>
      </w:r>
    </w:p>
    <w:p>
      <w:pPr>
        <w:bidi w:val="0"/>
        <w:rPr>
          <w:color w:val="0000FF"/>
        </w:rPr>
      </w:pPr>
      <w:r>
        <w:rPr>
          <w:color w:val="0000FF"/>
        </w:rPr>
        <w:t>（7）《中华人民共和国土壤污染防治法》（2019年1月1日）；</w:t>
      </w:r>
    </w:p>
    <w:p>
      <w:pPr>
        <w:bidi w:val="0"/>
        <w:rPr>
          <w:color w:val="0000FF"/>
        </w:rPr>
      </w:pPr>
      <w:r>
        <w:rPr>
          <w:color w:val="0000FF"/>
        </w:rPr>
        <w:t>（8）《中华人民共和国水法》（2016年7月2日）；</w:t>
      </w:r>
    </w:p>
    <w:p>
      <w:pPr>
        <w:bidi w:val="0"/>
        <w:rPr>
          <w:color w:val="0000FF"/>
        </w:rPr>
      </w:pPr>
      <w:r>
        <w:rPr>
          <w:color w:val="0000FF"/>
        </w:rPr>
        <w:t>（9）《中华人民共和国清洁生产促进法》（2012年修正，2012年7月1日）；</w:t>
      </w:r>
    </w:p>
    <w:p>
      <w:pPr>
        <w:keepNext w:val="0"/>
        <w:keepLines w:val="0"/>
        <w:widowControl/>
        <w:suppressLineNumbers w:val="0"/>
        <w:jc w:val="left"/>
        <w:rPr>
          <w:color w:val="0000FF"/>
        </w:rPr>
      </w:pP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1</w:t>
      </w:r>
      <w:r>
        <w:rPr>
          <w:rFonts w:hint="eastAsia" w:cs="Times New Roman"/>
          <w:color w:val="0000FF"/>
          <w:kern w:val="0"/>
          <w:sz w:val="24"/>
          <w:szCs w:val="24"/>
          <w:lang w:val="en-US" w:eastAsia="zh-CN" w:bidi="ar"/>
        </w:rPr>
        <w:t>0</w:t>
      </w:r>
      <w:r>
        <w:rPr>
          <w:rFonts w:hint="eastAsia" w:ascii="宋体" w:hAnsi="宋体" w:eastAsia="宋体" w:cs="宋体"/>
          <w:color w:val="0000FF"/>
          <w:kern w:val="0"/>
          <w:sz w:val="24"/>
          <w:szCs w:val="24"/>
          <w:lang w:val="en-US" w:eastAsia="zh-CN" w:bidi="ar"/>
        </w:rPr>
        <w:t>）《中华人民共和国传染病防治法》，</w:t>
      </w:r>
      <w:r>
        <w:rPr>
          <w:rFonts w:hint="default" w:ascii="Times New Roman" w:hAnsi="Times New Roman" w:eastAsia="宋体" w:cs="Times New Roman"/>
          <w:color w:val="0000FF"/>
          <w:kern w:val="0"/>
          <w:sz w:val="24"/>
          <w:szCs w:val="24"/>
          <w:lang w:val="en-US" w:eastAsia="zh-CN" w:bidi="ar"/>
        </w:rPr>
        <w:t>2013</w:t>
      </w:r>
      <w:r>
        <w:rPr>
          <w:rFonts w:hint="eastAsia" w:ascii="宋体" w:hAnsi="宋体" w:eastAsia="宋体" w:cs="宋体"/>
          <w:color w:val="0000FF"/>
          <w:kern w:val="0"/>
          <w:sz w:val="24"/>
          <w:szCs w:val="24"/>
          <w:lang w:val="en-US" w:eastAsia="zh-CN" w:bidi="ar"/>
        </w:rPr>
        <w:t>年</w:t>
      </w:r>
      <w:r>
        <w:rPr>
          <w:rFonts w:hint="default" w:ascii="Times New Roman" w:hAnsi="Times New Roman" w:eastAsia="宋体" w:cs="Times New Roman"/>
          <w:color w:val="0000FF"/>
          <w:kern w:val="0"/>
          <w:sz w:val="24"/>
          <w:szCs w:val="24"/>
          <w:lang w:val="en-US" w:eastAsia="zh-CN" w:bidi="ar"/>
        </w:rPr>
        <w:t>6</w:t>
      </w:r>
      <w:r>
        <w:rPr>
          <w:rFonts w:hint="eastAsia" w:ascii="宋体" w:hAnsi="宋体" w:eastAsia="宋体" w:cs="宋体"/>
          <w:color w:val="0000FF"/>
          <w:kern w:val="0"/>
          <w:sz w:val="24"/>
          <w:szCs w:val="24"/>
          <w:lang w:val="en-US" w:eastAsia="zh-CN" w:bidi="ar"/>
        </w:rPr>
        <w:t>月</w:t>
      </w:r>
      <w:r>
        <w:rPr>
          <w:rFonts w:hint="default" w:ascii="Times New Roman" w:hAnsi="Times New Roman" w:eastAsia="宋体" w:cs="Times New Roman"/>
          <w:color w:val="0000FF"/>
          <w:kern w:val="0"/>
          <w:sz w:val="24"/>
          <w:szCs w:val="24"/>
          <w:lang w:val="en-US" w:eastAsia="zh-CN" w:bidi="ar"/>
        </w:rPr>
        <w:t>29</w:t>
      </w:r>
      <w:r>
        <w:rPr>
          <w:rFonts w:hint="eastAsia" w:ascii="宋体" w:hAnsi="宋体" w:eastAsia="宋体" w:cs="宋体"/>
          <w:color w:val="0000FF"/>
          <w:kern w:val="0"/>
          <w:sz w:val="24"/>
          <w:szCs w:val="24"/>
          <w:lang w:val="en-US" w:eastAsia="zh-CN" w:bidi="ar"/>
        </w:rPr>
        <w:t>日修正</w:t>
      </w:r>
      <w:r>
        <w:rPr>
          <w:rFonts w:hint="eastAsia" w:ascii="宋体" w:hAnsi="宋体" w:cs="宋体"/>
          <w:color w:val="0000FF"/>
          <w:kern w:val="0"/>
          <w:sz w:val="24"/>
          <w:szCs w:val="24"/>
          <w:lang w:val="en-US" w:eastAsia="zh-CN" w:bidi="ar"/>
        </w:rPr>
        <w:t>；</w:t>
      </w:r>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1）《中华人民共和国水土保持法》，</w:t>
      </w:r>
      <w:r>
        <w:rPr>
          <w:rFonts w:hint="default"/>
          <w:color w:val="0000FF"/>
          <w:lang w:val="en-US" w:eastAsia="zh-CN"/>
        </w:rPr>
        <w:t>2010</w:t>
      </w:r>
      <w:r>
        <w:rPr>
          <w:rFonts w:hint="eastAsia"/>
          <w:color w:val="0000FF"/>
          <w:lang w:val="en-US" w:eastAsia="zh-CN"/>
        </w:rPr>
        <w:t>年</w:t>
      </w:r>
      <w:r>
        <w:rPr>
          <w:rFonts w:hint="default"/>
          <w:color w:val="0000FF"/>
          <w:lang w:val="en-US" w:eastAsia="zh-CN"/>
        </w:rPr>
        <w:t>12</w:t>
      </w:r>
      <w:r>
        <w:rPr>
          <w:rFonts w:hint="eastAsia"/>
          <w:color w:val="0000FF"/>
          <w:lang w:val="en-US" w:eastAsia="zh-CN"/>
        </w:rPr>
        <w:t>月</w:t>
      </w:r>
      <w:r>
        <w:rPr>
          <w:rFonts w:hint="default"/>
          <w:color w:val="0000FF"/>
          <w:lang w:val="en-US" w:eastAsia="zh-CN"/>
        </w:rPr>
        <w:t>25</w:t>
      </w:r>
      <w:r>
        <w:rPr>
          <w:rFonts w:hint="eastAsia"/>
          <w:color w:val="0000FF"/>
          <w:lang w:val="en-US" w:eastAsia="zh-CN"/>
        </w:rPr>
        <w:t>日修订，</w:t>
      </w:r>
      <w:r>
        <w:rPr>
          <w:rFonts w:hint="default"/>
          <w:color w:val="0000FF"/>
          <w:lang w:val="en-US" w:eastAsia="zh-CN"/>
        </w:rPr>
        <w:t>2011</w:t>
      </w:r>
      <w:r>
        <w:rPr>
          <w:rFonts w:hint="eastAsia"/>
          <w:color w:val="0000FF"/>
          <w:lang w:val="en-US" w:eastAsia="zh-CN"/>
        </w:rPr>
        <w:t>年</w:t>
      </w:r>
      <w:r>
        <w:rPr>
          <w:rFonts w:hint="default"/>
          <w:color w:val="0000FF"/>
          <w:lang w:val="en-US" w:eastAsia="zh-CN"/>
        </w:rPr>
        <w:t>3</w:t>
      </w:r>
      <w:r>
        <w:rPr>
          <w:rFonts w:hint="eastAsia"/>
          <w:color w:val="0000FF"/>
          <w:lang w:val="en-US" w:eastAsia="zh-CN"/>
        </w:rPr>
        <w:t>月</w:t>
      </w:r>
      <w:r>
        <w:rPr>
          <w:rFonts w:hint="default"/>
          <w:color w:val="0000FF"/>
          <w:lang w:val="en-US" w:eastAsia="zh-CN"/>
        </w:rPr>
        <w:t>1</w:t>
      </w:r>
      <w:r>
        <w:rPr>
          <w:rFonts w:hint="eastAsia"/>
          <w:color w:val="0000FF"/>
          <w:lang w:val="en-US" w:eastAsia="zh-CN"/>
        </w:rPr>
        <w:t>日起施行；</w:t>
      </w:r>
    </w:p>
    <w:p>
      <w:pPr>
        <w:bidi w:val="0"/>
        <w:rPr>
          <w:color w:val="0000FF"/>
        </w:rPr>
      </w:pPr>
      <w:r>
        <w:rPr>
          <w:color w:val="0000FF"/>
        </w:rPr>
        <w:t>（1</w:t>
      </w:r>
      <w:r>
        <w:rPr>
          <w:rFonts w:hint="eastAsia"/>
          <w:color w:val="0000FF"/>
          <w:lang w:val="en-US" w:eastAsia="zh-CN"/>
        </w:rPr>
        <w:t>2</w:t>
      </w:r>
      <w:r>
        <w:rPr>
          <w:color w:val="0000FF"/>
        </w:rPr>
        <w:t>）《国务院关于环境保护若干问题的决定》（1996年8月3日）；</w:t>
      </w:r>
    </w:p>
    <w:p>
      <w:pPr>
        <w:bidi w:val="0"/>
        <w:rPr>
          <w:color w:val="0000FF"/>
        </w:rPr>
      </w:pPr>
      <w:r>
        <w:rPr>
          <w:color w:val="0000FF"/>
        </w:rPr>
        <w:t>（1</w:t>
      </w:r>
      <w:r>
        <w:rPr>
          <w:rFonts w:hint="eastAsia"/>
          <w:color w:val="0000FF"/>
          <w:lang w:val="en-US" w:eastAsia="zh-CN"/>
        </w:rPr>
        <w:t>3</w:t>
      </w:r>
      <w:r>
        <w:rPr>
          <w:color w:val="0000FF"/>
        </w:rPr>
        <w:t>）</w:t>
      </w:r>
      <w:r>
        <w:rPr>
          <w:rFonts w:hint="eastAsia"/>
          <w:color w:val="0000FF"/>
          <w:lang w:eastAsia="zh-CN"/>
        </w:rPr>
        <w:t>《</w:t>
      </w:r>
      <w:r>
        <w:rPr>
          <w:color w:val="0000FF"/>
        </w:rPr>
        <w:t>建设项目环境保护管理条例》（国务院第682号令，2017年10月1日）；</w:t>
      </w:r>
    </w:p>
    <w:p>
      <w:pPr>
        <w:bidi w:val="0"/>
        <w:rPr>
          <w:color w:val="0000FF"/>
        </w:rPr>
      </w:pPr>
      <w:r>
        <w:rPr>
          <w:color w:val="0000FF"/>
        </w:rPr>
        <w:t>（1</w:t>
      </w:r>
      <w:r>
        <w:rPr>
          <w:rFonts w:hint="eastAsia"/>
          <w:color w:val="0000FF"/>
          <w:lang w:val="en-US" w:eastAsia="zh-CN"/>
        </w:rPr>
        <w:t>4</w:t>
      </w:r>
      <w:r>
        <w:rPr>
          <w:color w:val="0000FF"/>
        </w:rPr>
        <w:t>）《国务院关于落实科学发展观加强环境保护的决定》（国发〔2005〕39号）；</w:t>
      </w:r>
    </w:p>
    <w:p>
      <w:pPr>
        <w:bidi w:val="0"/>
        <w:rPr>
          <w:color w:val="0000FF"/>
        </w:rPr>
      </w:pPr>
      <w:r>
        <w:rPr>
          <w:color w:val="0000FF"/>
        </w:rPr>
        <w:t>（1</w:t>
      </w:r>
      <w:r>
        <w:rPr>
          <w:rFonts w:hint="eastAsia"/>
          <w:color w:val="0000FF"/>
          <w:lang w:val="en-US" w:eastAsia="zh-CN"/>
        </w:rPr>
        <w:t>5</w:t>
      </w:r>
      <w:r>
        <w:rPr>
          <w:color w:val="0000FF"/>
        </w:rPr>
        <w:t>）《国务院关于印发水污染防治行动计划的通知》（国发</w:t>
      </w:r>
      <w:r>
        <w:rPr>
          <w:rFonts w:hint="eastAsia"/>
          <w:color w:val="0000FF"/>
          <w:lang w:eastAsia="zh-CN"/>
        </w:rPr>
        <w:t>〔</w:t>
      </w:r>
      <w:r>
        <w:rPr>
          <w:color w:val="0000FF"/>
        </w:rPr>
        <w:t>2015</w:t>
      </w:r>
      <w:r>
        <w:rPr>
          <w:rFonts w:hint="eastAsia"/>
          <w:color w:val="0000FF"/>
          <w:lang w:eastAsia="zh-CN"/>
        </w:rPr>
        <w:t>〕</w:t>
      </w:r>
      <w:r>
        <w:rPr>
          <w:color w:val="0000FF"/>
        </w:rPr>
        <w:t>17号）；</w:t>
      </w:r>
    </w:p>
    <w:p>
      <w:pPr>
        <w:bidi w:val="0"/>
        <w:rPr>
          <w:color w:val="0000FF"/>
        </w:rPr>
      </w:pPr>
      <w:r>
        <w:rPr>
          <w:color w:val="0000FF"/>
        </w:rPr>
        <w:t>（1</w:t>
      </w:r>
      <w:r>
        <w:rPr>
          <w:rFonts w:hint="eastAsia"/>
          <w:color w:val="0000FF"/>
          <w:lang w:val="en-US" w:eastAsia="zh-CN"/>
        </w:rPr>
        <w:t>6</w:t>
      </w:r>
      <w:r>
        <w:rPr>
          <w:color w:val="0000FF"/>
        </w:rPr>
        <w:t>）《国务院关于印发大气污染防治行动计划的通知》（国发</w:t>
      </w:r>
      <w:r>
        <w:rPr>
          <w:rFonts w:hint="eastAsia"/>
          <w:color w:val="0000FF"/>
          <w:lang w:eastAsia="zh-CN"/>
        </w:rPr>
        <w:t>〔</w:t>
      </w:r>
      <w:r>
        <w:rPr>
          <w:color w:val="0000FF"/>
        </w:rPr>
        <w:t>2013</w:t>
      </w:r>
      <w:r>
        <w:rPr>
          <w:rFonts w:hint="eastAsia"/>
          <w:color w:val="0000FF"/>
          <w:lang w:eastAsia="zh-CN"/>
        </w:rPr>
        <w:t>〕</w:t>
      </w:r>
      <w:r>
        <w:rPr>
          <w:color w:val="0000FF"/>
        </w:rPr>
        <w:t>37号）；</w:t>
      </w:r>
    </w:p>
    <w:p>
      <w:pPr>
        <w:bidi w:val="0"/>
        <w:rPr>
          <w:color w:val="0000FF"/>
        </w:rPr>
      </w:pPr>
      <w:r>
        <w:rPr>
          <w:color w:val="0000FF"/>
        </w:rPr>
        <w:t>（1</w:t>
      </w:r>
      <w:r>
        <w:rPr>
          <w:rFonts w:hint="eastAsia"/>
          <w:color w:val="0000FF"/>
          <w:lang w:val="en-US" w:eastAsia="zh-CN"/>
        </w:rPr>
        <w:t>7</w:t>
      </w:r>
      <w:r>
        <w:rPr>
          <w:color w:val="0000FF"/>
        </w:rPr>
        <w:t>）《国务院关于印发土壤污染防治行动计划》（国发〔2015</w:t>
      </w:r>
      <w:r>
        <w:rPr>
          <w:rFonts w:hint="eastAsia"/>
          <w:color w:val="0000FF"/>
          <w:lang w:eastAsia="zh-CN"/>
        </w:rPr>
        <w:t>〕</w:t>
      </w:r>
      <w:r>
        <w:rPr>
          <w:color w:val="0000FF"/>
        </w:rPr>
        <w:t>17号）；</w:t>
      </w:r>
    </w:p>
    <w:p>
      <w:pPr>
        <w:bidi w:val="0"/>
        <w:rPr>
          <w:rFonts w:hint="eastAsia" w:eastAsia="宋体"/>
          <w:color w:val="0000FF"/>
          <w:lang w:eastAsia="zh-CN"/>
        </w:rPr>
      </w:pPr>
      <w:r>
        <w:rPr>
          <w:color w:val="0000FF"/>
        </w:rPr>
        <w:t>（1</w:t>
      </w:r>
      <w:r>
        <w:rPr>
          <w:rFonts w:hint="eastAsia"/>
          <w:color w:val="0000FF"/>
          <w:lang w:val="en-US" w:eastAsia="zh-CN"/>
        </w:rPr>
        <w:t>8</w:t>
      </w:r>
      <w:r>
        <w:rPr>
          <w:color w:val="0000FF"/>
        </w:rPr>
        <w:t>）《建设项目环境影响评价分类管理名录》（2021年版）</w:t>
      </w:r>
      <w:r>
        <w:rPr>
          <w:rFonts w:hint="eastAsia"/>
          <w:color w:val="0000FF"/>
          <w:lang w:eastAsia="zh-CN"/>
        </w:rPr>
        <w:t>；</w:t>
      </w:r>
    </w:p>
    <w:p>
      <w:pPr>
        <w:bidi w:val="0"/>
        <w:rPr>
          <w:color w:val="0000FF"/>
        </w:rPr>
      </w:pPr>
      <w:r>
        <w:rPr>
          <w:color w:val="0000FF"/>
        </w:rPr>
        <w:t>（1</w:t>
      </w:r>
      <w:r>
        <w:rPr>
          <w:rFonts w:hint="eastAsia"/>
          <w:color w:val="0000FF"/>
          <w:lang w:val="en-US" w:eastAsia="zh-CN"/>
        </w:rPr>
        <w:t>9</w:t>
      </w:r>
      <w:r>
        <w:rPr>
          <w:color w:val="0000FF"/>
        </w:rPr>
        <w:t>）《产业结构调整指导目录》（2019年本）；</w:t>
      </w:r>
    </w:p>
    <w:p>
      <w:pPr>
        <w:bidi w:val="0"/>
        <w:rPr>
          <w:color w:val="0000FF"/>
        </w:rPr>
      </w:pPr>
      <w:r>
        <w:rPr>
          <w:color w:val="0000FF"/>
        </w:rPr>
        <w:t>（</w:t>
      </w:r>
      <w:r>
        <w:rPr>
          <w:rFonts w:hint="eastAsia"/>
          <w:color w:val="0000FF"/>
          <w:lang w:val="en-US" w:eastAsia="zh-CN"/>
        </w:rPr>
        <w:t>20</w:t>
      </w:r>
      <w:r>
        <w:rPr>
          <w:color w:val="0000FF"/>
        </w:rPr>
        <w:t>）《关于切实加强风险防范严格环境影响评价管理的通知》（环发</w:t>
      </w:r>
      <w:r>
        <w:rPr>
          <w:rFonts w:hint="eastAsia"/>
          <w:color w:val="0000FF"/>
          <w:lang w:val="en-US" w:eastAsia="zh-CN"/>
        </w:rPr>
        <w:t>〔</w:t>
      </w:r>
      <w:r>
        <w:rPr>
          <w:rFonts w:hint="default"/>
          <w:color w:val="0000FF"/>
          <w:lang w:val="en-US" w:eastAsia="zh-CN"/>
        </w:rPr>
        <w:t>20</w:t>
      </w:r>
      <w:r>
        <w:rPr>
          <w:rFonts w:hint="eastAsia"/>
          <w:color w:val="0000FF"/>
          <w:lang w:val="en-US" w:eastAsia="zh-CN"/>
        </w:rPr>
        <w:t>12〕</w:t>
      </w:r>
      <w:r>
        <w:rPr>
          <w:color w:val="0000FF"/>
        </w:rPr>
        <w:t>98号）；</w:t>
      </w:r>
    </w:p>
    <w:p>
      <w:pPr>
        <w:bidi w:val="0"/>
        <w:rPr>
          <w:color w:val="0000FF"/>
        </w:rPr>
      </w:pPr>
      <w:r>
        <w:rPr>
          <w:color w:val="0000FF"/>
        </w:rPr>
        <w:t>（</w:t>
      </w:r>
      <w:r>
        <w:rPr>
          <w:rFonts w:hint="eastAsia"/>
          <w:color w:val="0000FF"/>
          <w:lang w:val="en-US" w:eastAsia="zh-CN"/>
        </w:rPr>
        <w:t>21</w:t>
      </w:r>
      <w:r>
        <w:rPr>
          <w:color w:val="0000FF"/>
        </w:rPr>
        <w:t>）《关于进一步加强环境影响评价管理防范环境风险的通知》（环发</w:t>
      </w:r>
      <w:r>
        <w:rPr>
          <w:rFonts w:hint="eastAsia"/>
          <w:color w:val="0000FF"/>
          <w:lang w:val="en-US" w:eastAsia="zh-CN"/>
        </w:rPr>
        <w:t>〔</w:t>
      </w:r>
      <w:r>
        <w:rPr>
          <w:rFonts w:hint="default"/>
          <w:color w:val="0000FF"/>
          <w:lang w:val="en-US" w:eastAsia="zh-CN"/>
        </w:rPr>
        <w:t>20</w:t>
      </w:r>
      <w:r>
        <w:rPr>
          <w:rFonts w:hint="eastAsia"/>
          <w:color w:val="0000FF"/>
          <w:lang w:val="en-US" w:eastAsia="zh-CN"/>
        </w:rPr>
        <w:t>12〕</w:t>
      </w:r>
      <w:r>
        <w:rPr>
          <w:color w:val="0000FF"/>
        </w:rPr>
        <w:t>77号）；</w:t>
      </w:r>
    </w:p>
    <w:p>
      <w:pPr>
        <w:keepNext w:val="0"/>
        <w:keepLines w:val="0"/>
        <w:widowControl/>
        <w:suppressLineNumbers w:val="0"/>
        <w:jc w:val="left"/>
        <w:rPr>
          <w:color w:val="0000FF"/>
        </w:rPr>
      </w:pPr>
      <w:r>
        <w:rPr>
          <w:color w:val="0000FF"/>
        </w:rPr>
        <w:t>（2</w:t>
      </w:r>
      <w:r>
        <w:rPr>
          <w:rFonts w:hint="eastAsia"/>
          <w:color w:val="0000FF"/>
          <w:lang w:val="en-US" w:eastAsia="zh-CN"/>
        </w:rPr>
        <w:t>2</w:t>
      </w:r>
      <w:r>
        <w:rPr>
          <w:color w:val="0000FF"/>
        </w:rPr>
        <w:t>）《环境影响评价公众参与办法》（生态环境部部令第4号）</w:t>
      </w:r>
      <w:r>
        <w:rPr>
          <w:rFonts w:hint="default" w:ascii="Times New Roman" w:hAnsi="Times New Roman" w:eastAsia="宋体" w:cs="Times New Roman"/>
          <w:color w:val="0000FF"/>
          <w:kern w:val="0"/>
          <w:sz w:val="24"/>
          <w:szCs w:val="24"/>
          <w:lang w:val="en-US" w:eastAsia="zh-CN" w:bidi="ar"/>
        </w:rPr>
        <w:t>2019</w:t>
      </w:r>
      <w:r>
        <w:rPr>
          <w:rFonts w:hint="eastAsia" w:ascii="宋体" w:hAnsi="宋体" w:eastAsia="宋体" w:cs="宋体"/>
          <w:color w:val="0000FF"/>
          <w:kern w:val="0"/>
          <w:sz w:val="24"/>
          <w:szCs w:val="24"/>
          <w:lang w:val="en-US" w:eastAsia="zh-CN" w:bidi="ar"/>
        </w:rPr>
        <w:t>年</w:t>
      </w:r>
      <w:r>
        <w:rPr>
          <w:rFonts w:hint="default" w:ascii="Times New Roman" w:hAnsi="Times New Roman" w:eastAsia="宋体" w:cs="Times New Roman"/>
          <w:color w:val="0000FF"/>
          <w:kern w:val="0"/>
          <w:sz w:val="24"/>
          <w:szCs w:val="24"/>
          <w:lang w:val="en-US" w:eastAsia="zh-CN" w:bidi="ar"/>
        </w:rPr>
        <w:t>1</w:t>
      </w:r>
      <w:r>
        <w:rPr>
          <w:rFonts w:hint="eastAsia" w:ascii="宋体" w:hAnsi="宋体" w:eastAsia="宋体" w:cs="宋体"/>
          <w:color w:val="0000FF"/>
          <w:kern w:val="0"/>
          <w:sz w:val="24"/>
          <w:szCs w:val="24"/>
          <w:lang w:val="en-US" w:eastAsia="zh-CN" w:bidi="ar"/>
        </w:rPr>
        <w:t>月</w:t>
      </w:r>
      <w:r>
        <w:rPr>
          <w:rFonts w:hint="default" w:ascii="Times New Roman" w:hAnsi="Times New Roman" w:eastAsia="宋体" w:cs="Times New Roman"/>
          <w:color w:val="0000FF"/>
          <w:kern w:val="0"/>
          <w:sz w:val="24"/>
          <w:szCs w:val="24"/>
          <w:lang w:val="en-US" w:eastAsia="zh-CN" w:bidi="ar"/>
        </w:rPr>
        <w:t>1</w:t>
      </w:r>
      <w:r>
        <w:rPr>
          <w:rFonts w:hint="eastAsia" w:ascii="宋体" w:hAnsi="宋体" w:eastAsia="宋体" w:cs="宋体"/>
          <w:color w:val="0000FF"/>
          <w:kern w:val="0"/>
          <w:sz w:val="24"/>
          <w:szCs w:val="24"/>
          <w:lang w:val="en-US" w:eastAsia="zh-CN" w:bidi="ar"/>
        </w:rPr>
        <w:t>日起施行；</w:t>
      </w:r>
    </w:p>
    <w:p>
      <w:pPr>
        <w:bidi w:val="0"/>
        <w:rPr>
          <w:color w:val="0000FF"/>
        </w:rPr>
      </w:pPr>
      <w:r>
        <w:rPr>
          <w:color w:val="0000FF"/>
        </w:rPr>
        <w:t>（2</w:t>
      </w:r>
      <w:r>
        <w:rPr>
          <w:rFonts w:hint="eastAsia"/>
          <w:color w:val="0000FF"/>
          <w:lang w:val="en-US" w:eastAsia="zh-CN"/>
        </w:rPr>
        <w:t>3</w:t>
      </w:r>
      <w:r>
        <w:rPr>
          <w:color w:val="0000FF"/>
        </w:rPr>
        <w:t>）《国家危险废物名录（2021）》2021年1月1日）；</w:t>
      </w:r>
    </w:p>
    <w:p>
      <w:pPr>
        <w:bidi w:val="0"/>
        <w:rPr>
          <w:color w:val="0000FF"/>
        </w:rPr>
      </w:pPr>
      <w:r>
        <w:rPr>
          <w:color w:val="0000FF"/>
        </w:rPr>
        <w:t>（2</w:t>
      </w:r>
      <w:r>
        <w:rPr>
          <w:rFonts w:hint="eastAsia"/>
          <w:color w:val="0000FF"/>
          <w:lang w:val="en-US" w:eastAsia="zh-CN"/>
        </w:rPr>
        <w:t>4</w:t>
      </w:r>
      <w:r>
        <w:rPr>
          <w:color w:val="0000FF"/>
        </w:rPr>
        <w:t>）《危险化学品名录</w:t>
      </w:r>
      <w:r>
        <w:rPr>
          <w:rFonts w:hint="eastAsia"/>
          <w:color w:val="0000FF"/>
          <w:lang w:eastAsia="zh-CN"/>
        </w:rPr>
        <w:t>（</w:t>
      </w:r>
      <w:r>
        <w:rPr>
          <w:color w:val="0000FF"/>
        </w:rPr>
        <w:t>2015版</w:t>
      </w:r>
      <w:r>
        <w:rPr>
          <w:rFonts w:hint="eastAsia"/>
          <w:color w:val="0000FF"/>
          <w:lang w:eastAsia="zh-CN"/>
        </w:rPr>
        <w:t>）</w:t>
      </w:r>
      <w:r>
        <w:rPr>
          <w:color w:val="0000FF"/>
        </w:rPr>
        <w:t>》（国家安全生产监督管理局公告，2015年第5号）；</w:t>
      </w:r>
    </w:p>
    <w:p>
      <w:pPr>
        <w:bidi w:val="0"/>
        <w:rPr>
          <w:color w:val="0000FF"/>
        </w:rPr>
      </w:pPr>
      <w:r>
        <w:rPr>
          <w:color w:val="0000FF"/>
        </w:rPr>
        <w:t>（2</w:t>
      </w:r>
      <w:r>
        <w:rPr>
          <w:rFonts w:hint="eastAsia"/>
          <w:color w:val="0000FF"/>
          <w:lang w:val="en-US" w:eastAsia="zh-CN"/>
        </w:rPr>
        <w:t>5</w:t>
      </w:r>
      <w:r>
        <w:rPr>
          <w:color w:val="0000FF"/>
        </w:rPr>
        <w:t>）《危险废物污染防治技术政策》（环发</w:t>
      </w:r>
      <w:r>
        <w:rPr>
          <w:rFonts w:hint="eastAsia"/>
          <w:color w:val="0000FF"/>
          <w:lang w:val="en-US" w:eastAsia="zh-CN"/>
        </w:rPr>
        <w:t>〔</w:t>
      </w:r>
      <w:r>
        <w:rPr>
          <w:rFonts w:hint="default"/>
          <w:color w:val="0000FF"/>
          <w:lang w:val="en-US" w:eastAsia="zh-CN"/>
        </w:rPr>
        <w:t>200</w:t>
      </w:r>
      <w:r>
        <w:rPr>
          <w:rFonts w:hint="eastAsia"/>
          <w:color w:val="0000FF"/>
          <w:lang w:val="en-US" w:eastAsia="zh-CN"/>
        </w:rPr>
        <w:t>1〕</w:t>
      </w:r>
      <w:r>
        <w:rPr>
          <w:color w:val="0000FF"/>
        </w:rPr>
        <w:t>199号）；</w:t>
      </w:r>
    </w:p>
    <w:p>
      <w:pPr>
        <w:bidi w:val="0"/>
        <w:rPr>
          <w:color w:val="0000FF"/>
        </w:rPr>
      </w:pPr>
      <w:r>
        <w:rPr>
          <w:color w:val="0000FF"/>
        </w:rPr>
        <w:t>（2</w:t>
      </w:r>
      <w:r>
        <w:rPr>
          <w:rFonts w:hint="eastAsia"/>
          <w:color w:val="0000FF"/>
          <w:lang w:val="en-US" w:eastAsia="zh-CN"/>
        </w:rPr>
        <w:t>6</w:t>
      </w:r>
      <w:r>
        <w:rPr>
          <w:color w:val="0000FF"/>
        </w:rPr>
        <w:t>）《危险废物转移联单管理办法》</w:t>
      </w:r>
      <w:r>
        <w:rPr>
          <w:rFonts w:hint="eastAsia"/>
          <w:color w:val="0000FF"/>
          <w:lang w:eastAsia="zh-CN"/>
        </w:rPr>
        <w:t>（</w:t>
      </w:r>
      <w:r>
        <w:rPr>
          <w:color w:val="0000FF"/>
        </w:rPr>
        <w:t>原国家环境保护总局令第5号，1999年10月1日</w:t>
      </w:r>
      <w:r>
        <w:rPr>
          <w:rFonts w:hint="eastAsia"/>
          <w:color w:val="0000FF"/>
          <w:lang w:eastAsia="zh-CN"/>
        </w:rPr>
        <w:t>）</w:t>
      </w:r>
      <w:r>
        <w:rPr>
          <w:color w:val="0000FF"/>
        </w:rPr>
        <w:t>；</w:t>
      </w:r>
    </w:p>
    <w:p>
      <w:pPr>
        <w:bidi w:val="0"/>
        <w:rPr>
          <w:color w:val="0000FF"/>
        </w:rPr>
      </w:pPr>
      <w:r>
        <w:rPr>
          <w:color w:val="0000FF"/>
        </w:rPr>
        <w:t>（2</w:t>
      </w:r>
      <w:r>
        <w:rPr>
          <w:rFonts w:hint="eastAsia"/>
          <w:color w:val="0000FF"/>
          <w:lang w:val="en-US" w:eastAsia="zh-CN"/>
        </w:rPr>
        <w:t>7</w:t>
      </w:r>
      <w:r>
        <w:rPr>
          <w:color w:val="0000FF"/>
        </w:rPr>
        <w:t>）《危险化学品安全管理条例》（国务院2011年第591号令）；</w:t>
      </w:r>
    </w:p>
    <w:p>
      <w:pPr>
        <w:bidi w:val="0"/>
        <w:rPr>
          <w:color w:val="0000FF"/>
        </w:rPr>
      </w:pPr>
      <w:r>
        <w:rPr>
          <w:color w:val="0000FF"/>
        </w:rPr>
        <w:t>（2</w:t>
      </w:r>
      <w:r>
        <w:rPr>
          <w:rFonts w:hint="eastAsia"/>
          <w:color w:val="0000FF"/>
          <w:lang w:val="en-US" w:eastAsia="zh-CN"/>
        </w:rPr>
        <w:t>8</w:t>
      </w:r>
      <w:r>
        <w:rPr>
          <w:color w:val="0000FF"/>
        </w:rPr>
        <w:t>）《废弃危险化学品污染环境防治办法》（2005年10月）；</w:t>
      </w:r>
    </w:p>
    <w:p>
      <w:pPr>
        <w:bidi w:val="0"/>
        <w:rPr>
          <w:color w:val="0000FF"/>
        </w:rPr>
      </w:pPr>
      <w:r>
        <w:rPr>
          <w:color w:val="0000FF"/>
        </w:rPr>
        <w:t>（2</w:t>
      </w:r>
      <w:r>
        <w:rPr>
          <w:rFonts w:hint="eastAsia"/>
          <w:color w:val="0000FF"/>
          <w:lang w:val="en-US" w:eastAsia="zh-CN"/>
        </w:rPr>
        <w:t>9</w:t>
      </w:r>
      <w:r>
        <w:rPr>
          <w:color w:val="0000FF"/>
        </w:rPr>
        <w:t>）《医疗卫生机构医疗废物管理办法》（中华人民共和国卫生部令，第36号）；</w:t>
      </w:r>
    </w:p>
    <w:p>
      <w:pPr>
        <w:bidi w:val="0"/>
        <w:rPr>
          <w:color w:val="0000FF"/>
        </w:rPr>
      </w:pPr>
      <w:r>
        <w:rPr>
          <w:color w:val="0000FF"/>
        </w:rPr>
        <w:t>（</w:t>
      </w:r>
      <w:r>
        <w:rPr>
          <w:rFonts w:hint="eastAsia"/>
          <w:color w:val="0000FF"/>
          <w:lang w:val="en-US" w:eastAsia="zh-CN"/>
        </w:rPr>
        <w:t>30</w:t>
      </w:r>
      <w:r>
        <w:rPr>
          <w:color w:val="0000FF"/>
        </w:rPr>
        <w:t>）《医疗废物管理条例》（国务院令第380号，2003.6）；</w:t>
      </w:r>
    </w:p>
    <w:p>
      <w:pPr>
        <w:bidi w:val="0"/>
        <w:rPr>
          <w:color w:val="0000FF"/>
        </w:rPr>
      </w:pPr>
      <w:r>
        <w:rPr>
          <w:color w:val="0000FF"/>
        </w:rPr>
        <w:t>（</w:t>
      </w:r>
      <w:r>
        <w:rPr>
          <w:rFonts w:hint="eastAsia"/>
          <w:color w:val="0000FF"/>
          <w:lang w:val="en-US" w:eastAsia="zh-CN"/>
        </w:rPr>
        <w:t>31</w:t>
      </w:r>
      <w:r>
        <w:rPr>
          <w:color w:val="0000FF"/>
        </w:rPr>
        <w:t>）《医疗废物分类目录》（卫生部和国家环境保护总局，2003.10）；</w:t>
      </w:r>
    </w:p>
    <w:p>
      <w:pPr>
        <w:bidi w:val="0"/>
        <w:rPr>
          <w:color w:val="0000FF"/>
        </w:rPr>
      </w:pPr>
      <w:r>
        <w:rPr>
          <w:color w:val="0000FF"/>
        </w:rPr>
        <w:t>（3</w:t>
      </w:r>
      <w:r>
        <w:rPr>
          <w:rFonts w:hint="eastAsia"/>
          <w:color w:val="0000FF"/>
          <w:lang w:val="en-US" w:eastAsia="zh-CN"/>
        </w:rPr>
        <w:t>2</w:t>
      </w:r>
      <w:r>
        <w:rPr>
          <w:color w:val="0000FF"/>
        </w:rPr>
        <w:t>）《关于进一步加强危险废物和医疗废物监管工作的意见》（环发</w:t>
      </w:r>
      <w:r>
        <w:rPr>
          <w:rFonts w:hint="eastAsia"/>
          <w:color w:val="0000FF"/>
          <w:lang w:val="en-US" w:eastAsia="zh-CN"/>
        </w:rPr>
        <w:t>〔</w:t>
      </w:r>
      <w:r>
        <w:rPr>
          <w:rFonts w:hint="default"/>
          <w:color w:val="0000FF"/>
          <w:lang w:val="en-US" w:eastAsia="zh-CN"/>
        </w:rPr>
        <w:t>20</w:t>
      </w:r>
      <w:r>
        <w:rPr>
          <w:rFonts w:hint="eastAsia"/>
          <w:color w:val="0000FF"/>
          <w:lang w:val="en-US" w:eastAsia="zh-CN"/>
        </w:rPr>
        <w:t>11〕</w:t>
      </w:r>
      <w:r>
        <w:rPr>
          <w:color w:val="0000FF"/>
        </w:rPr>
        <w:t>19号）；</w:t>
      </w:r>
    </w:p>
    <w:p>
      <w:pPr>
        <w:bidi w:val="0"/>
        <w:rPr>
          <w:color w:val="0000FF"/>
        </w:rPr>
      </w:pPr>
      <w:r>
        <w:rPr>
          <w:color w:val="0000FF"/>
        </w:rPr>
        <w:t>（3</w:t>
      </w:r>
      <w:r>
        <w:rPr>
          <w:rFonts w:hint="eastAsia"/>
          <w:color w:val="0000FF"/>
          <w:lang w:val="en-US" w:eastAsia="zh-CN"/>
        </w:rPr>
        <w:t>3</w:t>
      </w:r>
      <w:r>
        <w:rPr>
          <w:color w:val="0000FF"/>
        </w:rPr>
        <w:t>）《医疗废物集中处置技术规范（试行）》（环发</w:t>
      </w:r>
      <w:r>
        <w:rPr>
          <w:rFonts w:hint="eastAsia"/>
          <w:color w:val="0000FF"/>
          <w:lang w:val="en-US" w:eastAsia="zh-CN"/>
        </w:rPr>
        <w:t>〔</w:t>
      </w:r>
      <w:r>
        <w:rPr>
          <w:rFonts w:hint="default"/>
          <w:color w:val="0000FF"/>
          <w:lang w:val="en-US" w:eastAsia="zh-CN"/>
        </w:rPr>
        <w:t>2003</w:t>
      </w:r>
      <w:r>
        <w:rPr>
          <w:rFonts w:hint="eastAsia"/>
          <w:color w:val="0000FF"/>
          <w:lang w:val="en-US" w:eastAsia="zh-CN"/>
        </w:rPr>
        <w:t>〕</w:t>
      </w:r>
      <w:r>
        <w:rPr>
          <w:color w:val="0000FF"/>
        </w:rPr>
        <w:t>206号）；</w:t>
      </w:r>
    </w:p>
    <w:p>
      <w:pPr>
        <w:bidi w:val="0"/>
        <w:rPr>
          <w:color w:val="0000FF"/>
        </w:rPr>
      </w:pPr>
      <w:r>
        <w:rPr>
          <w:color w:val="0000FF"/>
        </w:rPr>
        <w:t>（3</w:t>
      </w:r>
      <w:r>
        <w:rPr>
          <w:rFonts w:hint="eastAsia"/>
          <w:color w:val="0000FF"/>
          <w:lang w:val="en-US" w:eastAsia="zh-CN"/>
        </w:rPr>
        <w:t>4</w:t>
      </w:r>
      <w:r>
        <w:rPr>
          <w:color w:val="0000FF"/>
        </w:rPr>
        <w:t>）《中共中央国务院关于全面加强生态环境保护坚决打好污染防治攻坚战的意见》；</w:t>
      </w:r>
    </w:p>
    <w:p>
      <w:pPr>
        <w:bidi w:val="0"/>
        <w:rPr>
          <w:color w:val="0000FF"/>
        </w:rPr>
      </w:pPr>
      <w:r>
        <w:rPr>
          <w:color w:val="0000FF"/>
        </w:rPr>
        <w:t>（3</w:t>
      </w:r>
      <w:r>
        <w:rPr>
          <w:rFonts w:hint="eastAsia"/>
          <w:color w:val="0000FF"/>
          <w:lang w:val="en-US" w:eastAsia="zh-CN"/>
        </w:rPr>
        <w:t>5</w:t>
      </w:r>
      <w:r>
        <w:rPr>
          <w:color w:val="0000FF"/>
        </w:rPr>
        <w:t>）《关于以改善环境质量为核心加强环境评价管理的通知》（环环评</w:t>
      </w:r>
      <w:r>
        <w:rPr>
          <w:rFonts w:hint="eastAsia"/>
          <w:color w:val="0000FF"/>
          <w:lang w:val="en-US" w:eastAsia="zh-CN"/>
        </w:rPr>
        <w:t>〔</w:t>
      </w:r>
      <w:r>
        <w:rPr>
          <w:rFonts w:hint="default"/>
          <w:color w:val="0000FF"/>
          <w:lang w:val="en-US" w:eastAsia="zh-CN"/>
        </w:rPr>
        <w:t>20</w:t>
      </w:r>
      <w:r>
        <w:rPr>
          <w:rFonts w:hint="eastAsia"/>
          <w:color w:val="0000FF"/>
          <w:lang w:val="en-US" w:eastAsia="zh-CN"/>
        </w:rPr>
        <w:t>16〕</w:t>
      </w:r>
      <w:r>
        <w:rPr>
          <w:color w:val="0000FF"/>
        </w:rPr>
        <w:t>150号）；</w:t>
      </w:r>
    </w:p>
    <w:p>
      <w:pPr>
        <w:bidi w:val="0"/>
        <w:rPr>
          <w:color w:val="0000FF"/>
        </w:rPr>
      </w:pPr>
      <w:r>
        <w:rPr>
          <w:color w:val="0000FF"/>
        </w:rPr>
        <w:t>（3</w:t>
      </w:r>
      <w:r>
        <w:rPr>
          <w:rFonts w:hint="eastAsia"/>
          <w:color w:val="0000FF"/>
          <w:lang w:val="en-US" w:eastAsia="zh-CN"/>
        </w:rPr>
        <w:t>6</w:t>
      </w:r>
      <w:r>
        <w:rPr>
          <w:color w:val="0000FF"/>
        </w:rPr>
        <w:t>）《关于发布</w:t>
      </w:r>
      <w:r>
        <w:rPr>
          <w:rFonts w:hint="eastAsia"/>
          <w:color w:val="0000FF"/>
          <w:lang w:eastAsia="zh-CN"/>
        </w:rPr>
        <w:t>“</w:t>
      </w:r>
      <w:r>
        <w:rPr>
          <w:color w:val="0000FF"/>
        </w:rPr>
        <w:t>医疗废物专用包装物、容器标准和警示标识规定</w:t>
      </w:r>
      <w:r>
        <w:rPr>
          <w:rFonts w:hint="eastAsia"/>
          <w:color w:val="0000FF"/>
          <w:lang w:eastAsia="zh-CN"/>
        </w:rPr>
        <w:t>”</w:t>
      </w:r>
      <w:r>
        <w:rPr>
          <w:color w:val="0000FF"/>
        </w:rPr>
        <w:t>的通知》（环发</w:t>
      </w:r>
      <w:r>
        <w:rPr>
          <w:rFonts w:hint="eastAsia"/>
          <w:color w:val="0000FF"/>
          <w:lang w:val="en-US" w:eastAsia="zh-CN"/>
        </w:rPr>
        <w:t>〔</w:t>
      </w:r>
      <w:r>
        <w:rPr>
          <w:rFonts w:hint="default"/>
          <w:color w:val="0000FF"/>
          <w:lang w:val="en-US" w:eastAsia="zh-CN"/>
        </w:rPr>
        <w:t>2003</w:t>
      </w:r>
      <w:r>
        <w:rPr>
          <w:rFonts w:hint="eastAsia"/>
          <w:color w:val="0000FF"/>
          <w:lang w:val="en-US" w:eastAsia="zh-CN"/>
        </w:rPr>
        <w:t>〕</w:t>
      </w:r>
      <w:r>
        <w:rPr>
          <w:color w:val="0000FF"/>
        </w:rPr>
        <w:t>118号）；</w:t>
      </w:r>
    </w:p>
    <w:p>
      <w:pPr>
        <w:bidi w:val="0"/>
        <w:rPr>
          <w:color w:val="0000FF"/>
        </w:rPr>
      </w:pPr>
      <w:r>
        <w:rPr>
          <w:color w:val="0000FF"/>
        </w:rPr>
        <w:t>（3</w:t>
      </w:r>
      <w:r>
        <w:rPr>
          <w:rFonts w:hint="eastAsia"/>
          <w:color w:val="0000FF"/>
          <w:lang w:val="en-US" w:eastAsia="zh-CN"/>
        </w:rPr>
        <w:t>7</w:t>
      </w:r>
      <w:r>
        <w:rPr>
          <w:color w:val="0000FF"/>
        </w:rPr>
        <w:t>）《自治区打赢蓝天保卫战三年行动计划（2018-2020年）》（自治区人民政府新政发</w:t>
      </w:r>
      <w:r>
        <w:rPr>
          <w:rFonts w:hint="eastAsia"/>
          <w:color w:val="0000FF"/>
          <w:lang w:val="en-US" w:eastAsia="zh-CN"/>
        </w:rPr>
        <w:t>〔</w:t>
      </w:r>
      <w:r>
        <w:rPr>
          <w:rFonts w:hint="default"/>
          <w:color w:val="0000FF"/>
          <w:lang w:val="en-US" w:eastAsia="zh-CN"/>
        </w:rPr>
        <w:t>20</w:t>
      </w:r>
      <w:r>
        <w:rPr>
          <w:rFonts w:hint="eastAsia"/>
          <w:color w:val="0000FF"/>
          <w:lang w:val="en-US" w:eastAsia="zh-CN"/>
        </w:rPr>
        <w:t>18〕</w:t>
      </w:r>
      <w:r>
        <w:rPr>
          <w:color w:val="0000FF"/>
        </w:rPr>
        <w:t>66号）；</w:t>
      </w:r>
    </w:p>
    <w:p>
      <w:pPr>
        <w:bidi w:val="0"/>
        <w:rPr>
          <w:color w:val="0000FF"/>
        </w:rPr>
      </w:pPr>
      <w:r>
        <w:rPr>
          <w:color w:val="0000FF"/>
        </w:rPr>
        <w:t>（3</w:t>
      </w:r>
      <w:r>
        <w:rPr>
          <w:rFonts w:hint="eastAsia"/>
          <w:color w:val="0000FF"/>
          <w:lang w:val="en-US" w:eastAsia="zh-CN"/>
        </w:rPr>
        <w:t>8</w:t>
      </w:r>
      <w:r>
        <w:rPr>
          <w:color w:val="0000FF"/>
        </w:rPr>
        <w:t>）《危险化学品重大危险源辨识》（GB18218-2018）（市场监管总局标准委2018年第15号）；</w:t>
      </w:r>
    </w:p>
    <w:p>
      <w:pPr>
        <w:bidi w:val="0"/>
        <w:rPr>
          <w:color w:val="0000FF"/>
        </w:rPr>
      </w:pPr>
      <w:r>
        <w:rPr>
          <w:color w:val="0000FF"/>
        </w:rPr>
        <w:t>（3</w:t>
      </w:r>
      <w:r>
        <w:rPr>
          <w:rFonts w:hint="eastAsia"/>
          <w:color w:val="0000FF"/>
          <w:lang w:val="en-US" w:eastAsia="zh-CN"/>
        </w:rPr>
        <w:t>9</w:t>
      </w:r>
      <w:r>
        <w:rPr>
          <w:color w:val="0000FF"/>
        </w:rPr>
        <w:t>）《蓝天保卫战三年行动计划》（2018年6月27日）；</w:t>
      </w:r>
    </w:p>
    <w:p>
      <w:pPr>
        <w:bidi w:val="0"/>
        <w:rPr>
          <w:rFonts w:hint="eastAsia"/>
          <w:color w:val="0000FF"/>
          <w:lang w:eastAsia="zh-CN"/>
        </w:rPr>
      </w:pPr>
      <w:r>
        <w:rPr>
          <w:color w:val="0000FF"/>
        </w:rPr>
        <w:t>（</w:t>
      </w:r>
      <w:r>
        <w:rPr>
          <w:rFonts w:hint="eastAsia"/>
          <w:color w:val="0000FF"/>
          <w:lang w:val="en-US" w:eastAsia="zh-CN"/>
        </w:rPr>
        <w:t>40</w:t>
      </w:r>
      <w:r>
        <w:rPr>
          <w:color w:val="0000FF"/>
        </w:rPr>
        <w:t>）《中共中央国务院关于全面加强生态环境保护坚决打好污染防治攻坚战的意见》（2018年6月16日）</w:t>
      </w:r>
      <w:r>
        <w:rPr>
          <w:rFonts w:hint="eastAsia"/>
          <w:color w:val="0000FF"/>
          <w:lang w:eastAsia="zh-CN"/>
        </w:rPr>
        <w:t>；</w:t>
      </w:r>
    </w:p>
    <w:p>
      <w:pPr>
        <w:bidi w:val="0"/>
        <w:rPr>
          <w:color w:val="0000FF"/>
        </w:rPr>
      </w:pPr>
      <w:r>
        <w:rPr>
          <w:color w:val="0000FF"/>
        </w:rPr>
        <w:t>（</w:t>
      </w:r>
      <w:r>
        <w:rPr>
          <w:rFonts w:hint="eastAsia"/>
          <w:color w:val="0000FF"/>
          <w:lang w:val="en-US" w:eastAsia="zh-CN"/>
        </w:rPr>
        <w:t>41</w:t>
      </w:r>
      <w:r>
        <w:rPr>
          <w:color w:val="0000FF"/>
        </w:rPr>
        <w:t>）《关于做好新型冠状病毒感染肺炎疫情防控期间有关建设项目环境影响评价应急服务保障的通知（环办环评函〔2020〕56号）》（2020年2月6日）。</w:t>
      </w:r>
    </w:p>
    <w:p>
      <w:pPr>
        <w:pStyle w:val="6"/>
        <w:bidi w:val="0"/>
        <w:rPr>
          <w:rFonts w:hint="eastAsia"/>
          <w:lang w:val="en-US" w:eastAsia="zh-CN"/>
        </w:rPr>
      </w:pPr>
      <w:bookmarkStart w:id="14" w:name="_Toc22843"/>
      <w:r>
        <w:rPr>
          <w:rFonts w:hint="eastAsia"/>
          <w:lang w:val="en-US" w:eastAsia="zh-CN"/>
        </w:rPr>
        <w:t>2.3.2环评导则及有关技术条件</w:t>
      </w:r>
      <w:bookmarkEnd w:id="14"/>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）《建设项目环境影响评价技术导则总纲》（</w:t>
      </w:r>
      <w:r>
        <w:rPr>
          <w:rFonts w:hint="default"/>
          <w:color w:val="0000FF"/>
          <w:lang w:val="en-US" w:eastAsia="zh-CN"/>
        </w:rPr>
        <w:t>HJ2.1-2016</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2</w:t>
      </w:r>
      <w:r>
        <w:rPr>
          <w:rFonts w:hint="eastAsia"/>
          <w:color w:val="0000FF"/>
          <w:lang w:val="en-US" w:eastAsia="zh-CN"/>
        </w:rPr>
        <w:t>）《环境影响评价技术导则 大气环境》（</w:t>
      </w:r>
      <w:r>
        <w:rPr>
          <w:rFonts w:hint="default"/>
          <w:color w:val="0000FF"/>
          <w:lang w:val="en-US" w:eastAsia="zh-CN"/>
        </w:rPr>
        <w:t>HJ2.2-2018</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3</w:t>
      </w:r>
      <w:r>
        <w:rPr>
          <w:rFonts w:hint="eastAsia"/>
          <w:color w:val="0000FF"/>
          <w:lang w:val="en-US" w:eastAsia="zh-CN"/>
        </w:rPr>
        <w:t>）《环境影响评价技术导则 地表水环境》（</w:t>
      </w:r>
      <w:r>
        <w:rPr>
          <w:rFonts w:hint="default"/>
          <w:color w:val="0000FF"/>
          <w:lang w:val="en-US" w:eastAsia="zh-CN"/>
        </w:rPr>
        <w:t>HJ2.3-2018</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4</w:t>
      </w:r>
      <w:r>
        <w:rPr>
          <w:rFonts w:hint="eastAsia"/>
          <w:color w:val="0000FF"/>
          <w:lang w:val="en-US" w:eastAsia="zh-CN"/>
        </w:rPr>
        <w:t>）《环境影响评价技术导则 声环境》（</w:t>
      </w:r>
      <w:r>
        <w:rPr>
          <w:rFonts w:hint="default"/>
          <w:color w:val="0000FF"/>
          <w:lang w:val="en-US" w:eastAsia="zh-CN"/>
        </w:rPr>
        <w:t>HJ2.4-2009</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5</w:t>
      </w:r>
      <w:r>
        <w:rPr>
          <w:rFonts w:hint="eastAsia"/>
          <w:color w:val="0000FF"/>
          <w:lang w:val="en-US" w:eastAsia="zh-CN"/>
        </w:rPr>
        <w:t>）《环境影响评价技术导则 生态影响》（</w:t>
      </w:r>
      <w:r>
        <w:rPr>
          <w:rFonts w:hint="default"/>
          <w:color w:val="0000FF"/>
          <w:lang w:val="en-US" w:eastAsia="zh-CN"/>
        </w:rPr>
        <w:t>HJ19-2011</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6</w:t>
      </w:r>
      <w:r>
        <w:rPr>
          <w:rFonts w:hint="eastAsia"/>
          <w:color w:val="0000FF"/>
          <w:lang w:val="en-US" w:eastAsia="zh-CN"/>
        </w:rPr>
        <w:t>）《环境影响评价技术导则 地下水环境》（</w:t>
      </w:r>
      <w:r>
        <w:rPr>
          <w:rFonts w:hint="default"/>
          <w:color w:val="0000FF"/>
          <w:lang w:val="en-US" w:eastAsia="zh-CN"/>
        </w:rPr>
        <w:t>HJ610-2016</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7</w:t>
      </w:r>
      <w:r>
        <w:rPr>
          <w:rFonts w:hint="eastAsia"/>
          <w:color w:val="0000FF"/>
          <w:lang w:val="en-US" w:eastAsia="zh-CN"/>
        </w:rPr>
        <w:t>）《环境影响评价技术导则 土壤环境（试行）》（</w:t>
      </w:r>
      <w:r>
        <w:rPr>
          <w:rFonts w:hint="default"/>
          <w:color w:val="0000FF"/>
          <w:lang w:val="en-US" w:eastAsia="zh-CN"/>
        </w:rPr>
        <w:t>HJ964-2018</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8</w:t>
      </w:r>
      <w:r>
        <w:rPr>
          <w:rFonts w:hint="eastAsia"/>
          <w:color w:val="0000FF"/>
          <w:lang w:val="en-US" w:eastAsia="zh-CN"/>
        </w:rPr>
        <w:t>）《建设项目环境风险评价技术导则》（</w:t>
      </w:r>
      <w:r>
        <w:rPr>
          <w:rFonts w:hint="default"/>
          <w:color w:val="0000FF"/>
          <w:lang w:val="en-US" w:eastAsia="zh-CN"/>
        </w:rPr>
        <w:t>HJ169-2018</w:t>
      </w:r>
      <w:r>
        <w:rPr>
          <w:rFonts w:hint="eastAsia"/>
          <w:color w:val="0000FF"/>
          <w:lang w:val="en-US" w:eastAsia="zh-CN"/>
        </w:rPr>
        <w:t>）；</w:t>
      </w:r>
    </w:p>
    <w:p>
      <w:pPr>
        <w:bidi w:val="0"/>
        <w:rPr>
          <w:color w:val="0000FF"/>
        </w:rPr>
      </w:pPr>
      <w:r>
        <w:rPr>
          <w:rFonts w:hint="eastAsia"/>
          <w:color w:val="0000FF"/>
          <w:lang w:val="en-US" w:eastAsia="zh-CN"/>
        </w:rPr>
        <w:t>（9）《医疗废物集中处置技术规范》（环发〔</w:t>
      </w:r>
      <w:r>
        <w:rPr>
          <w:rFonts w:hint="default"/>
          <w:color w:val="0000FF"/>
          <w:lang w:val="en-US" w:eastAsia="zh-CN"/>
        </w:rPr>
        <w:t>2003</w:t>
      </w:r>
      <w:r>
        <w:rPr>
          <w:rFonts w:hint="eastAsia"/>
          <w:color w:val="0000FF"/>
          <w:lang w:val="en-US" w:eastAsia="zh-CN"/>
        </w:rPr>
        <w:t>〕</w:t>
      </w:r>
      <w:r>
        <w:rPr>
          <w:rFonts w:hint="default"/>
          <w:color w:val="0000FF"/>
          <w:lang w:val="en-US" w:eastAsia="zh-CN"/>
        </w:rPr>
        <w:t>206</w:t>
      </w:r>
      <w:r>
        <w:rPr>
          <w:rFonts w:hint="eastAsia"/>
          <w:color w:val="0000FF"/>
          <w:lang w:val="en-US" w:eastAsia="zh-CN"/>
        </w:rPr>
        <w:t>号）；</w:t>
      </w:r>
    </w:p>
    <w:p>
      <w:pPr>
        <w:bidi w:val="0"/>
        <w:rPr>
          <w:color w:val="0000FF"/>
        </w:rPr>
      </w:pPr>
      <w:r>
        <w:rPr>
          <w:rFonts w:hint="eastAsia"/>
          <w:color w:val="0000FF"/>
          <w:lang w:val="en-US" w:eastAsia="zh-CN"/>
        </w:rPr>
        <w:t>（10）《医疗废物分类目录》（</w:t>
      </w:r>
      <w:r>
        <w:rPr>
          <w:rFonts w:hint="default"/>
          <w:color w:val="0000FF"/>
          <w:lang w:val="en-US" w:eastAsia="zh-CN"/>
        </w:rPr>
        <w:t>2003</w:t>
      </w:r>
      <w:r>
        <w:rPr>
          <w:rFonts w:hint="eastAsia"/>
          <w:color w:val="0000FF"/>
          <w:lang w:val="en-US" w:eastAsia="zh-CN"/>
        </w:rPr>
        <w:t>年</w:t>
      </w:r>
      <w:r>
        <w:rPr>
          <w:rFonts w:hint="default"/>
          <w:color w:val="0000FF"/>
          <w:lang w:val="en-US" w:eastAsia="zh-CN"/>
        </w:rPr>
        <w:t>10</w:t>
      </w:r>
      <w:r>
        <w:rPr>
          <w:rFonts w:hint="eastAsia"/>
          <w:color w:val="0000FF"/>
          <w:lang w:val="en-US" w:eastAsia="zh-CN"/>
        </w:rPr>
        <w:t>月</w:t>
      </w:r>
      <w:r>
        <w:rPr>
          <w:rFonts w:hint="default"/>
          <w:color w:val="0000FF"/>
          <w:lang w:val="en-US" w:eastAsia="zh-CN"/>
        </w:rPr>
        <w:t>10</w:t>
      </w:r>
      <w:r>
        <w:rPr>
          <w:rFonts w:hint="eastAsia"/>
          <w:color w:val="0000FF"/>
          <w:lang w:val="en-US" w:eastAsia="zh-CN"/>
        </w:rPr>
        <w:t>日发布）；</w:t>
      </w:r>
    </w:p>
    <w:p>
      <w:pPr>
        <w:bidi w:val="0"/>
        <w:rPr>
          <w:color w:val="0000FF"/>
        </w:rPr>
      </w:pPr>
      <w:r>
        <w:rPr>
          <w:rFonts w:hint="eastAsia"/>
          <w:color w:val="0000FF"/>
          <w:lang w:val="en-US" w:eastAsia="zh-CN"/>
        </w:rPr>
        <w:t>（11）《生物安全实验室建筑技术规范》（</w:t>
      </w:r>
      <w:r>
        <w:rPr>
          <w:rFonts w:hint="default"/>
          <w:color w:val="0000FF"/>
          <w:lang w:val="en-US" w:eastAsia="zh-CN"/>
        </w:rPr>
        <w:t>GB50346-2011</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2）《危险废物贮存污染控制标准》（</w:t>
      </w:r>
      <w:r>
        <w:rPr>
          <w:rFonts w:hint="default"/>
          <w:color w:val="0000FF"/>
          <w:lang w:val="en-US" w:eastAsia="zh-CN"/>
        </w:rPr>
        <w:t>GB18597-2001</w:t>
      </w:r>
      <w:r>
        <w:rPr>
          <w:rFonts w:hint="eastAsia"/>
          <w:color w:val="0000FF"/>
          <w:lang w:val="en-US" w:eastAsia="zh-CN"/>
        </w:rPr>
        <w:t>）（</w:t>
      </w:r>
      <w:r>
        <w:rPr>
          <w:rFonts w:hint="default"/>
          <w:color w:val="0000FF"/>
          <w:lang w:val="en-US" w:eastAsia="zh-CN"/>
        </w:rPr>
        <w:t>2013</w:t>
      </w:r>
      <w:r>
        <w:rPr>
          <w:rFonts w:hint="eastAsia"/>
          <w:color w:val="0000FF"/>
          <w:lang w:val="en-US" w:eastAsia="zh-CN"/>
        </w:rPr>
        <w:t>年修改）；</w:t>
      </w:r>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3）《医院污水处理工程技术规范》（</w:t>
      </w:r>
      <w:r>
        <w:rPr>
          <w:rFonts w:hint="default"/>
          <w:color w:val="0000FF"/>
          <w:lang w:val="en-US" w:eastAsia="zh-CN"/>
        </w:rPr>
        <w:t>HJ2029-2013</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4）《医院污水处理技术指南》（环发〔</w:t>
      </w:r>
      <w:r>
        <w:rPr>
          <w:rFonts w:hint="default"/>
          <w:color w:val="0000FF"/>
          <w:lang w:val="en-US" w:eastAsia="zh-CN"/>
        </w:rPr>
        <w:t>2003</w:t>
      </w:r>
      <w:r>
        <w:rPr>
          <w:rFonts w:hint="eastAsia"/>
          <w:color w:val="0000FF"/>
          <w:lang w:val="en-US" w:eastAsia="zh-CN"/>
        </w:rPr>
        <w:t>〕</w:t>
      </w:r>
      <w:r>
        <w:rPr>
          <w:rFonts w:hint="default"/>
          <w:color w:val="0000FF"/>
          <w:lang w:val="en-US" w:eastAsia="zh-CN"/>
        </w:rPr>
        <w:t>197</w:t>
      </w:r>
      <w:r>
        <w:rPr>
          <w:rFonts w:hint="eastAsia"/>
          <w:color w:val="0000FF"/>
          <w:lang w:val="en-US" w:eastAsia="zh-CN"/>
        </w:rPr>
        <w:t>号）；</w:t>
      </w:r>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5）《排污单位自行监测技术指南总则》（</w:t>
      </w:r>
      <w:r>
        <w:rPr>
          <w:rFonts w:hint="default"/>
          <w:color w:val="0000FF"/>
          <w:lang w:val="en-US" w:eastAsia="zh-CN"/>
        </w:rPr>
        <w:t>HJ819-2017</w:t>
      </w:r>
      <w:r>
        <w:rPr>
          <w:rFonts w:hint="eastAsia"/>
          <w:color w:val="0000FF"/>
          <w:lang w:val="en-US" w:eastAsia="zh-CN"/>
        </w:rPr>
        <w:t>）；</w:t>
      </w:r>
    </w:p>
    <w:p>
      <w:pPr>
        <w:bidi w:val="0"/>
        <w:rPr>
          <w:color w:val="0000FF"/>
        </w:rPr>
      </w:pPr>
      <w:r>
        <w:rPr>
          <w:rFonts w:hint="eastAsia"/>
          <w:color w:val="0000FF"/>
          <w:lang w:val="en-US" w:eastAsia="zh-CN"/>
        </w:rPr>
        <w:t>（</w:t>
      </w:r>
      <w:r>
        <w:rPr>
          <w:rFonts w:hint="default"/>
          <w:color w:val="0000FF"/>
          <w:lang w:val="en-US" w:eastAsia="zh-CN"/>
        </w:rPr>
        <w:t>1</w:t>
      </w:r>
      <w:r>
        <w:rPr>
          <w:rFonts w:hint="eastAsia"/>
          <w:color w:val="0000FF"/>
          <w:lang w:val="en-US" w:eastAsia="zh-CN"/>
        </w:rPr>
        <w:t>6）《建设项目竣工环境保护验收技术规范医疗机构》（</w:t>
      </w:r>
      <w:r>
        <w:rPr>
          <w:rFonts w:hint="default"/>
          <w:color w:val="0000FF"/>
          <w:lang w:val="en-US" w:eastAsia="zh-CN"/>
        </w:rPr>
        <w:t>HJ794-2016</w:t>
      </w:r>
      <w:r>
        <w:rPr>
          <w:rFonts w:hint="eastAsia"/>
          <w:color w:val="0000FF"/>
          <w:lang w:val="en-US" w:eastAsia="zh-CN"/>
        </w:rPr>
        <w:t>）。</w:t>
      </w:r>
    </w:p>
    <w:p>
      <w:pPr>
        <w:pStyle w:val="6"/>
        <w:bidi w:val="0"/>
        <w:rPr>
          <w:rFonts w:hint="eastAsia"/>
          <w:lang w:val="en-US" w:eastAsia="zh-CN"/>
        </w:rPr>
      </w:pPr>
      <w:bookmarkStart w:id="15" w:name="_Toc23912"/>
      <w:r>
        <w:rPr>
          <w:rFonts w:hint="eastAsia"/>
          <w:lang w:val="en-US" w:eastAsia="zh-CN"/>
        </w:rPr>
        <w:t>2.3.3建设项目有关资料</w:t>
      </w:r>
      <w:bookmarkEnd w:id="15"/>
    </w:p>
    <w:p>
      <w:pPr>
        <w:bidi w:val="0"/>
        <w:rPr>
          <w:color w:val="0000FF"/>
        </w:rPr>
      </w:pPr>
      <w:r>
        <w:rPr>
          <w:color w:val="0000FF"/>
        </w:rPr>
        <w:t>（1）《新疆生产建设兵团十四师“十三五”规划划及2020年长远规划》；</w:t>
      </w:r>
    </w:p>
    <w:p>
      <w:pPr>
        <w:bidi w:val="0"/>
        <w:rPr>
          <w:rFonts w:hint="eastAsia"/>
          <w:color w:val="0000FF"/>
          <w:lang w:val="en-US" w:eastAsia="zh-CN"/>
        </w:rPr>
      </w:pPr>
      <w:r>
        <w:rPr>
          <w:color w:val="0000FF"/>
        </w:rPr>
        <w:t>（2）《新疆兵团第十四师225团国民经济和社会发展“十三五”规划及2020年长远规划》；</w:t>
      </w:r>
    </w:p>
    <w:p>
      <w:pPr>
        <w:bidi w:val="0"/>
        <w:rPr>
          <w:color w:val="0000FF"/>
        </w:rPr>
      </w:pPr>
      <w:r>
        <w:rPr>
          <w:rFonts w:hint="eastAsia"/>
          <w:color w:val="0000FF"/>
          <w:lang w:val="en-US" w:eastAsia="zh-CN"/>
        </w:rPr>
        <w:t>（3）十四师225团疾控中心关于本项目评价工作的委托书，</w:t>
      </w:r>
      <w:r>
        <w:rPr>
          <w:rFonts w:hint="default"/>
          <w:color w:val="0000FF"/>
          <w:lang w:val="en-US" w:eastAsia="zh-CN"/>
        </w:rPr>
        <w:t>2021.</w:t>
      </w:r>
      <w:r>
        <w:rPr>
          <w:rFonts w:hint="eastAsia"/>
          <w:color w:val="0000FF"/>
          <w:lang w:val="en-US" w:eastAsia="zh-CN"/>
        </w:rPr>
        <w:t>12；</w:t>
      </w:r>
    </w:p>
    <w:p>
      <w:pPr>
        <w:bidi w:val="0"/>
        <w:rPr>
          <w:color w:val="0000FF"/>
        </w:rPr>
      </w:pPr>
      <w:r>
        <w:rPr>
          <w:rFonts w:hint="eastAsia"/>
          <w:color w:val="0000FF"/>
          <w:lang w:val="en-US" w:eastAsia="zh-CN"/>
        </w:rPr>
        <w:t>（4）《第十四师225团疾病预防控制中心建设项目可行性研究报告》（新疆峻特设计工程有限公司），2016.9；</w:t>
      </w:r>
    </w:p>
    <w:p>
      <w:pPr>
        <w:bidi w:val="0"/>
        <w:rPr>
          <w:color w:val="0000FF"/>
        </w:rPr>
      </w:pPr>
      <w:r>
        <w:rPr>
          <w:rFonts w:hint="eastAsia"/>
          <w:color w:val="0000FF"/>
          <w:lang w:val="en-US" w:eastAsia="zh-CN"/>
        </w:rPr>
        <w:t>（5）《关于第十四师225团疾病预防控制中心建设项目可行性研究报告的批复》（十四师发改委，师发改发</w:t>
      </w:r>
      <w:r>
        <w:rPr>
          <w:rFonts w:hint="eastAsia" w:ascii="宋体" w:hAnsi="宋体" w:eastAsia="宋体" w:cs="宋体"/>
          <w:color w:val="0000FF"/>
          <w:lang w:val="en-US" w:eastAsia="zh-CN"/>
        </w:rPr>
        <w:t>〔</w:t>
      </w:r>
      <w:r>
        <w:rPr>
          <w:rFonts w:hint="default"/>
          <w:color w:val="0000FF"/>
          <w:lang w:val="en-US" w:eastAsia="zh-CN"/>
        </w:rPr>
        <w:t>20</w:t>
      </w:r>
      <w:r>
        <w:rPr>
          <w:rFonts w:hint="eastAsia"/>
          <w:color w:val="0000FF"/>
          <w:lang w:val="en-US" w:eastAsia="zh-CN"/>
        </w:rPr>
        <w:t>16</w:t>
      </w:r>
      <w:r>
        <w:rPr>
          <w:rFonts w:hint="eastAsia" w:ascii="宋体" w:hAnsi="宋体" w:eastAsia="宋体" w:cs="宋体"/>
          <w:color w:val="0000FF"/>
          <w:lang w:val="en-US" w:eastAsia="zh-CN"/>
        </w:rPr>
        <w:t>〕</w:t>
      </w:r>
      <w:r>
        <w:rPr>
          <w:rFonts w:hint="eastAsia"/>
          <w:color w:val="0000FF"/>
          <w:lang w:val="en-US" w:eastAsia="zh-CN"/>
        </w:rPr>
        <w:t>141号）；</w:t>
      </w:r>
    </w:p>
    <w:p>
      <w:pPr>
        <w:bidi w:val="0"/>
        <w:rPr>
          <w:rFonts w:hint="eastAsia"/>
          <w:color w:val="0000FF"/>
          <w:lang w:val="en-US" w:eastAsia="zh-CN"/>
        </w:rPr>
      </w:pPr>
      <w:r>
        <w:rPr>
          <w:rFonts w:hint="eastAsia"/>
          <w:color w:val="0000FF"/>
          <w:lang w:val="en-US" w:eastAsia="zh-CN"/>
        </w:rPr>
        <w:t>（6）环境质量现状监测报告。</w:t>
      </w:r>
    </w:p>
    <w:p>
      <w:pPr>
        <w:bidi w:val="0"/>
        <w:rPr>
          <w:color w:val="0000FF"/>
        </w:rPr>
      </w:pPr>
      <w:r>
        <w:rPr>
          <w:rFonts w:hint="eastAsia"/>
          <w:color w:val="0000FF"/>
          <w:lang w:val="en-US" w:eastAsia="zh-CN"/>
        </w:rPr>
        <w:t>（7）建设单位提供的其它相关技术资料。</w:t>
      </w:r>
    </w:p>
    <w:p>
      <w:pPr>
        <w:pStyle w:val="5"/>
        <w:bidi w:val="0"/>
      </w:pPr>
      <w:bookmarkStart w:id="16" w:name="_Toc6403"/>
      <w:r>
        <w:rPr>
          <w:rFonts w:hint="default"/>
          <w:lang w:val="en-US" w:eastAsia="zh-CN"/>
        </w:rPr>
        <w:t>2.4</w:t>
      </w:r>
      <w:r>
        <w:rPr>
          <w:rFonts w:hint="eastAsia"/>
          <w:lang w:val="en-US" w:eastAsia="zh-CN"/>
        </w:rPr>
        <w:t>环境影响因素识别与评价因子筛选</w:t>
      </w:r>
      <w:bookmarkEnd w:id="16"/>
    </w:p>
    <w:p>
      <w:pPr>
        <w:pStyle w:val="6"/>
        <w:bidi w:val="0"/>
        <w:rPr>
          <w:rFonts w:hint="eastAsia"/>
          <w:lang w:val="en-US" w:eastAsia="zh-CN"/>
        </w:rPr>
      </w:pPr>
      <w:bookmarkStart w:id="17" w:name="_Toc16899"/>
      <w:r>
        <w:rPr>
          <w:rFonts w:hint="eastAsia"/>
          <w:lang w:val="en-US" w:eastAsia="zh-CN"/>
        </w:rPr>
        <w:t>2.4.1环境影响因素识别</w:t>
      </w:r>
      <w:bookmarkEnd w:id="17"/>
    </w:p>
    <w:p>
      <w:pPr>
        <w:bidi w:val="0"/>
        <w:rPr>
          <w:color w:val="0000FF"/>
        </w:rPr>
      </w:pPr>
      <w:r>
        <w:rPr>
          <w:color w:val="0000FF"/>
        </w:rPr>
        <w:t>根据项目的生产规模、工艺特点、项目周围的自然环境和社会环境特征，识别项目的环境影响因素，具体见表2.</w:t>
      </w:r>
      <w:r>
        <w:rPr>
          <w:rFonts w:hint="eastAsia"/>
          <w:color w:val="0000FF"/>
          <w:lang w:val="en-US" w:eastAsia="zh-CN"/>
        </w:rPr>
        <w:t>4</w:t>
      </w:r>
      <w:r>
        <w:rPr>
          <w:color w:val="0000FF"/>
        </w:rPr>
        <w:t>-1。</w:t>
      </w:r>
    </w:p>
    <w:p>
      <w:pPr>
        <w:pStyle w:val="22"/>
        <w:bidi w:val="0"/>
        <w:rPr>
          <w:b/>
          <w:bCs/>
          <w:color w:val="0000FF"/>
        </w:rPr>
      </w:pPr>
      <w:r>
        <w:rPr>
          <w:b/>
          <w:bCs/>
          <w:color w:val="0000FF"/>
        </w:rPr>
        <w:t>表2.</w:t>
      </w:r>
      <w:r>
        <w:rPr>
          <w:rFonts w:hint="eastAsia"/>
          <w:b/>
          <w:bCs/>
          <w:color w:val="0000FF"/>
          <w:lang w:val="en-US" w:eastAsia="zh-CN"/>
        </w:rPr>
        <w:t>4</w:t>
      </w:r>
      <w:r>
        <w:rPr>
          <w:b/>
          <w:bCs/>
          <w:color w:val="0000FF"/>
        </w:rPr>
        <w:t>-1项目环境影响识别</w:t>
      </w:r>
    </w:p>
    <w:tbl>
      <w:tblPr>
        <w:tblStyle w:val="23"/>
        <w:tblW w:w="84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5"/>
        <w:gridCol w:w="2386"/>
        <w:gridCol w:w="1913"/>
        <w:gridCol w:w="2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jc w:val="center"/>
        </w:trPr>
        <w:tc>
          <w:tcPr>
            <w:tcW w:w="4461" w:type="dxa"/>
            <w:gridSpan w:val="2"/>
            <w:tcBorders>
              <w:tl2br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0000FF"/>
                <w:sz w:val="21"/>
                <w:szCs w:val="21"/>
                <w:lang w:val="en-US" w:eastAsia="zh-CN"/>
              </w:rPr>
            </w:pPr>
            <w:r>
              <w:rPr>
                <w:rFonts w:hint="eastAsia"/>
                <w:color w:val="0000FF"/>
                <w:sz w:val="21"/>
                <w:szCs w:val="21"/>
                <w:lang w:val="en-US" w:eastAsia="zh-CN"/>
              </w:rPr>
              <w:t xml:space="preserve">      影响分析</w:t>
            </w:r>
          </w:p>
          <w:p>
            <w:pPr>
              <w:keepNext w:val="0"/>
              <w:keepLines w:val="0"/>
              <w:pageBreakBefore w:val="0"/>
              <w:widowControl w:val="0"/>
              <w:kinsoku/>
              <w:wordWrap/>
              <w:overflowPunct/>
              <w:topLinePunct w:val="0"/>
              <w:autoSpaceDE/>
              <w:autoSpaceDN/>
              <w:bidi w:val="0"/>
              <w:adjustRightInd/>
              <w:snapToGrid/>
              <w:spacing w:line="240" w:lineRule="auto"/>
              <w:ind w:firstLine="1050" w:firstLineChars="500"/>
              <w:jc w:val="both"/>
              <w:textAlignment w:val="center"/>
              <w:rPr>
                <w:rFonts w:hint="default" w:eastAsia="宋体"/>
                <w:color w:val="0000FF"/>
                <w:lang w:val="en-US" w:eastAsia="zh-CN"/>
              </w:rPr>
            </w:pPr>
            <w:r>
              <w:rPr>
                <w:rFonts w:hint="eastAsia"/>
                <w:color w:val="0000FF"/>
                <w:sz w:val="21"/>
                <w:szCs w:val="21"/>
                <w:lang w:val="en-US" w:eastAsia="zh-CN"/>
              </w:rPr>
              <w:t xml:space="preserve">环境要素     </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2"/>
                <w:sz w:val="18"/>
                <w:szCs w:val="18"/>
              </w:rPr>
              <w:t>有利影响</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3"/>
                <w:sz w:val="18"/>
                <w:szCs w:val="18"/>
              </w:rPr>
              <w:t>不利影响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20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10"/>
                <w:sz w:val="18"/>
                <w:szCs w:val="18"/>
              </w:rPr>
              <w:t>自然环境</w:t>
            </w: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4"/>
                <w:sz w:val="18"/>
                <w:szCs w:val="18"/>
              </w:rPr>
              <w:t>空气环境</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1"/>
                <w:sz w:val="18"/>
                <w:szCs w:val="18"/>
              </w:rPr>
              <w:t>——</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4"/>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2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微软雅黑"/>
                <w:color w:val="0000FF"/>
                <w:sz w:val="21"/>
              </w:rPr>
            </w:pP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2"/>
                <w:sz w:val="18"/>
                <w:szCs w:val="18"/>
              </w:rPr>
              <w:t>地表水环境</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1"/>
                <w:sz w:val="18"/>
                <w:szCs w:val="18"/>
              </w:rPr>
              <w:t>——</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FF"/>
                <w:sz w:val="18"/>
                <w:szCs w:val="18"/>
                <w:lang w:val="en-US" w:eastAsia="zh-CN"/>
              </w:rPr>
            </w:pPr>
            <w:r>
              <w:rPr>
                <w:rFonts w:ascii="Times New Roman" w:hAnsi="Times New Roman" w:eastAsia="Times New Roman" w:cs="Times New Roman"/>
                <w:color w:val="0000FF"/>
                <w:spacing w:val="-4"/>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2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微软雅黑"/>
                <w:color w:val="0000FF"/>
                <w:sz w:val="21"/>
              </w:rPr>
            </w:pP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4"/>
                <w:sz w:val="18"/>
                <w:szCs w:val="18"/>
              </w:rPr>
              <w:t>声环境</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1"/>
                <w:sz w:val="18"/>
                <w:szCs w:val="18"/>
              </w:rPr>
              <w:t>——</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4"/>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2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微软雅黑"/>
                <w:color w:val="0000FF"/>
                <w:sz w:val="21"/>
              </w:rPr>
            </w:pP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6"/>
                <w:sz w:val="18"/>
                <w:szCs w:val="18"/>
              </w:rPr>
              <w:t>固体废物</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1"/>
                <w:sz w:val="18"/>
                <w:szCs w:val="18"/>
              </w:rPr>
              <w:t>——</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4"/>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20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3"/>
                <w:sz w:val="18"/>
                <w:szCs w:val="18"/>
              </w:rPr>
              <w:t>社会环境</w:t>
            </w: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3"/>
                <w:sz w:val="18"/>
                <w:szCs w:val="18"/>
              </w:rPr>
              <w:t>社会经济</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2"/>
                <w:sz w:val="18"/>
                <w:szCs w:val="18"/>
              </w:rPr>
              <w:t>+1</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1"/>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2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微软雅黑"/>
                <w:color w:val="0000FF"/>
                <w:sz w:val="21"/>
              </w:rPr>
            </w:pP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0000FF"/>
                <w:sz w:val="18"/>
                <w:szCs w:val="18"/>
              </w:rPr>
            </w:pPr>
            <w:r>
              <w:rPr>
                <w:rFonts w:ascii="宋体" w:hAnsi="宋体" w:eastAsia="宋体" w:cs="宋体"/>
                <w:color w:val="0000FF"/>
                <w:spacing w:val="-2"/>
                <w:sz w:val="18"/>
                <w:szCs w:val="18"/>
              </w:rPr>
              <w:t>社会服务功能</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2"/>
                <w:sz w:val="18"/>
                <w:szCs w:val="18"/>
              </w:rPr>
              <w:t>+2</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0000FF"/>
                <w:sz w:val="18"/>
                <w:szCs w:val="18"/>
              </w:rPr>
            </w:pPr>
            <w:r>
              <w:rPr>
                <w:rFonts w:ascii="Times New Roman" w:hAnsi="Times New Roman" w:eastAsia="Times New Roman" w:cs="Times New Roman"/>
                <w:color w:val="0000FF"/>
                <w:spacing w:val="1"/>
                <w:sz w:val="18"/>
                <w:szCs w:val="18"/>
              </w:rPr>
              <w:t>——</w:t>
            </w:r>
          </w:p>
        </w:tc>
      </w:tr>
    </w:tbl>
    <w:p>
      <w:pPr>
        <w:keepNext w:val="0"/>
        <w:keepLines w:val="0"/>
        <w:widowControl/>
        <w:suppressLineNumbers w:val="0"/>
        <w:jc w:val="left"/>
        <w:rPr>
          <w:rFonts w:hint="eastAsia" w:eastAsia="宋体"/>
          <w:color w:val="0000FF"/>
          <w:sz w:val="21"/>
          <w:szCs w:val="21"/>
          <w:lang w:eastAsia="zh-CN"/>
        </w:rPr>
      </w:pPr>
      <w:r>
        <w:rPr>
          <w:color w:val="0000FF"/>
          <w:sz w:val="21"/>
          <w:szCs w:val="21"/>
        </w:rPr>
        <w:t>注：“1”表示轻度影响，“2”表示中度影响，“3”表示重度影响；“+”表示有利影响，“-”表示不利影响</w:t>
      </w:r>
      <w:r>
        <w:rPr>
          <w:rFonts w:hint="eastAsia"/>
          <w:color w:val="0000FF"/>
          <w:sz w:val="21"/>
          <w:szCs w:val="21"/>
          <w:lang w:eastAsia="zh-CN"/>
        </w:rPr>
        <w:t>。</w:t>
      </w:r>
    </w:p>
    <w:p>
      <w:pPr>
        <w:bidi w:val="0"/>
        <w:rPr>
          <w:color w:val="0000FF"/>
        </w:rPr>
      </w:pPr>
      <w:r>
        <w:rPr>
          <w:rFonts w:hint="eastAsia"/>
          <w:color w:val="0000FF"/>
          <w:lang w:val="en-US" w:eastAsia="zh-CN"/>
        </w:rPr>
        <w:t>由表</w:t>
      </w:r>
      <w:r>
        <w:rPr>
          <w:rFonts w:hint="default"/>
          <w:color w:val="0000FF"/>
          <w:lang w:val="en-US" w:eastAsia="zh-CN"/>
        </w:rPr>
        <w:t>2.</w:t>
      </w:r>
      <w:r>
        <w:rPr>
          <w:rFonts w:hint="eastAsia"/>
          <w:color w:val="0000FF"/>
          <w:lang w:val="en-US" w:eastAsia="zh-CN"/>
        </w:rPr>
        <w:t>4</w:t>
      </w:r>
      <w:r>
        <w:rPr>
          <w:rFonts w:hint="default"/>
          <w:color w:val="0000FF"/>
          <w:lang w:val="en-US" w:eastAsia="zh-CN"/>
        </w:rPr>
        <w:t>-1</w:t>
      </w:r>
      <w:r>
        <w:rPr>
          <w:rFonts w:hint="eastAsia"/>
          <w:color w:val="0000FF"/>
          <w:lang w:val="en-US" w:eastAsia="zh-CN"/>
        </w:rPr>
        <w:t>可知：</w:t>
      </w:r>
    </w:p>
    <w:p>
      <w:pPr>
        <w:bidi w:val="0"/>
        <w:rPr>
          <w:color w:val="0000FF"/>
        </w:rPr>
      </w:pPr>
      <w:r>
        <w:rPr>
          <w:rFonts w:hint="eastAsia"/>
          <w:color w:val="0000FF"/>
          <w:lang w:val="en-US" w:eastAsia="zh-CN"/>
        </w:rPr>
        <w:t>项目运营过程中的主要污染因素包括：废气、废水、噪声、固体废物等。具体如下：</w:t>
      </w:r>
    </w:p>
    <w:p>
      <w:pPr>
        <w:bidi w:val="0"/>
        <w:rPr>
          <w:color w:val="0000FF"/>
        </w:rPr>
      </w:pPr>
      <w:r>
        <w:rPr>
          <w:rFonts w:hint="eastAsia"/>
          <w:color w:val="0000FF"/>
          <w:lang w:val="en-US" w:eastAsia="zh-CN"/>
        </w:rPr>
        <w:t>（1）废气</w:t>
      </w:r>
    </w:p>
    <w:p>
      <w:pPr>
        <w:bidi w:val="0"/>
        <w:rPr>
          <w:color w:val="0000FF"/>
        </w:rPr>
      </w:pPr>
      <w:r>
        <w:rPr>
          <w:rFonts w:hint="eastAsia"/>
          <w:color w:val="0000FF"/>
          <w:lang w:val="en-US" w:eastAsia="zh-CN"/>
        </w:rPr>
        <w:t>主要是污水处理站产生的恶臭气体、实验室检验废气。</w:t>
      </w:r>
    </w:p>
    <w:p>
      <w:pPr>
        <w:bidi w:val="0"/>
        <w:rPr>
          <w:color w:val="0000FF"/>
        </w:rPr>
      </w:pPr>
      <w:r>
        <w:rPr>
          <w:rFonts w:hint="eastAsia"/>
          <w:color w:val="0000FF"/>
          <w:lang w:val="en-US" w:eastAsia="zh-CN"/>
        </w:rPr>
        <w:t>（2）废水</w:t>
      </w:r>
    </w:p>
    <w:p>
      <w:pPr>
        <w:bidi w:val="0"/>
        <w:rPr>
          <w:color w:val="0000FF"/>
        </w:rPr>
      </w:pPr>
      <w:r>
        <w:rPr>
          <w:rFonts w:hint="eastAsia"/>
          <w:color w:val="0000FF"/>
          <w:lang w:val="en-US" w:eastAsia="zh-CN"/>
        </w:rPr>
        <w:t>主要是实验室废水、生活污水等。</w:t>
      </w:r>
    </w:p>
    <w:p>
      <w:pPr>
        <w:bidi w:val="0"/>
        <w:rPr>
          <w:color w:val="0000FF"/>
        </w:rPr>
      </w:pPr>
      <w:r>
        <w:rPr>
          <w:rFonts w:hint="eastAsia"/>
          <w:color w:val="0000FF"/>
          <w:lang w:val="en-US" w:eastAsia="zh-CN"/>
        </w:rPr>
        <w:t>（3）噪声</w:t>
      </w:r>
    </w:p>
    <w:p>
      <w:pPr>
        <w:bidi w:val="0"/>
        <w:rPr>
          <w:color w:val="0000FF"/>
        </w:rPr>
      </w:pPr>
      <w:r>
        <w:rPr>
          <w:rFonts w:hint="eastAsia"/>
          <w:color w:val="0000FF"/>
          <w:lang w:val="en-US" w:eastAsia="zh-CN"/>
        </w:rPr>
        <w:t>主要是污水处理站、空调外机以及社会活动噪声等。</w:t>
      </w:r>
    </w:p>
    <w:p>
      <w:pPr>
        <w:bidi w:val="0"/>
        <w:rPr>
          <w:color w:val="0000FF"/>
        </w:rPr>
      </w:pPr>
      <w:r>
        <w:rPr>
          <w:rFonts w:hint="eastAsia"/>
          <w:color w:val="0000FF"/>
          <w:lang w:val="en-US" w:eastAsia="zh-CN"/>
        </w:rPr>
        <w:t>（4）固体废物</w:t>
      </w:r>
    </w:p>
    <w:p>
      <w:pPr>
        <w:bidi w:val="0"/>
        <w:rPr>
          <w:color w:val="0000FF"/>
        </w:rPr>
      </w:pPr>
      <w:r>
        <w:rPr>
          <w:rFonts w:hint="eastAsia"/>
          <w:color w:val="0000FF"/>
          <w:lang w:val="en-US" w:eastAsia="zh-CN"/>
        </w:rPr>
        <w:t>项目固体废物主要为一般固废、危险废物和生活垃圾。</w:t>
      </w:r>
    </w:p>
    <w:p>
      <w:pPr>
        <w:pStyle w:val="6"/>
        <w:bidi w:val="0"/>
        <w:rPr>
          <w:rFonts w:hint="eastAsia"/>
          <w:lang w:val="en-US" w:eastAsia="zh-CN"/>
        </w:rPr>
      </w:pPr>
      <w:bookmarkStart w:id="18" w:name="_Toc22267"/>
      <w:r>
        <w:rPr>
          <w:rFonts w:hint="eastAsia"/>
          <w:lang w:val="en-US" w:eastAsia="zh-CN"/>
        </w:rPr>
        <w:t>2.4.2主要评价因子筛选</w:t>
      </w:r>
      <w:bookmarkEnd w:id="18"/>
    </w:p>
    <w:p>
      <w:pPr>
        <w:bidi w:val="0"/>
        <w:rPr>
          <w:color w:val="0000FF"/>
        </w:rPr>
      </w:pPr>
      <w:r>
        <w:rPr>
          <w:color w:val="0000FF"/>
        </w:rPr>
        <w:t>通过对本项目实施过程及实施后产生的环境污染因素及污染因子进行分析，筛选确定环境影响评价因子。</w:t>
      </w:r>
    </w:p>
    <w:p>
      <w:pPr>
        <w:bidi w:val="0"/>
        <w:rPr>
          <w:color w:val="0000FF"/>
        </w:rPr>
      </w:pPr>
      <w:r>
        <w:rPr>
          <w:color w:val="0000FF"/>
        </w:rPr>
        <w:t>①大气环境</w:t>
      </w:r>
    </w:p>
    <w:p>
      <w:pPr>
        <w:bidi w:val="0"/>
        <w:rPr>
          <w:color w:val="0000FF"/>
        </w:rPr>
      </w:pPr>
      <w:r>
        <w:rPr>
          <w:color w:val="0000FF"/>
        </w:rPr>
        <w:t>现状评价因子：CO、PM</w:t>
      </w:r>
      <w:r>
        <w:rPr>
          <w:color w:val="0000FF"/>
          <w:vertAlign w:val="subscript"/>
        </w:rPr>
        <w:t>10</w:t>
      </w:r>
      <w:r>
        <w:rPr>
          <w:color w:val="0000FF"/>
        </w:rPr>
        <w:t>、PM</w:t>
      </w:r>
      <w:r>
        <w:rPr>
          <w:color w:val="0000FF"/>
          <w:vertAlign w:val="subscript"/>
        </w:rPr>
        <w:t>2.5</w:t>
      </w:r>
      <w:r>
        <w:rPr>
          <w:color w:val="0000FF"/>
        </w:rPr>
        <w:t>、SO</w:t>
      </w:r>
      <w:r>
        <w:rPr>
          <w:color w:val="0000FF"/>
          <w:vertAlign w:val="subscript"/>
        </w:rPr>
        <w:t>2</w:t>
      </w:r>
      <w:r>
        <w:rPr>
          <w:color w:val="0000FF"/>
        </w:rPr>
        <w:t>、NO</w:t>
      </w:r>
      <w:r>
        <w:rPr>
          <w:color w:val="0000FF"/>
          <w:vertAlign w:val="subscript"/>
        </w:rPr>
        <w:t>2</w:t>
      </w:r>
      <w:r>
        <w:rPr>
          <w:color w:val="0000FF"/>
        </w:rPr>
        <w:t>、O</w:t>
      </w:r>
      <w:r>
        <w:rPr>
          <w:color w:val="0000FF"/>
          <w:vertAlign w:val="subscript"/>
        </w:rPr>
        <w:t>3</w:t>
      </w:r>
      <w:r>
        <w:rPr>
          <w:color w:val="0000FF"/>
        </w:rPr>
        <w:t>、H</w:t>
      </w:r>
      <w:r>
        <w:rPr>
          <w:color w:val="0000FF"/>
          <w:vertAlign w:val="subscript"/>
        </w:rPr>
        <w:t>2</w:t>
      </w:r>
      <w:r>
        <w:rPr>
          <w:color w:val="0000FF"/>
        </w:rPr>
        <w:t>S、NH</w:t>
      </w:r>
      <w:r>
        <w:rPr>
          <w:color w:val="0000FF"/>
          <w:vertAlign w:val="subscript"/>
        </w:rPr>
        <w:t>3</w:t>
      </w:r>
      <w:r>
        <w:rPr>
          <w:color w:val="0000FF"/>
        </w:rPr>
        <w:t>、</w:t>
      </w:r>
      <w:r>
        <w:rPr>
          <w:rFonts w:hint="eastAsia"/>
          <w:color w:val="0000FF"/>
          <w:lang w:val="en-US" w:eastAsia="zh-CN"/>
        </w:rPr>
        <w:t>非甲烷总烃、</w:t>
      </w:r>
      <w:r>
        <w:rPr>
          <w:color w:val="0000FF"/>
        </w:rPr>
        <w:t>臭气浓度；</w:t>
      </w:r>
    </w:p>
    <w:p>
      <w:pPr>
        <w:bidi w:val="0"/>
        <w:rPr>
          <w:color w:val="0000FF"/>
        </w:rPr>
      </w:pPr>
      <w:r>
        <w:rPr>
          <w:color w:val="0000FF"/>
        </w:rPr>
        <w:t>预测评价因子：H</w:t>
      </w:r>
      <w:r>
        <w:rPr>
          <w:color w:val="0000FF"/>
          <w:vertAlign w:val="subscript"/>
        </w:rPr>
        <w:t>2</w:t>
      </w:r>
      <w:r>
        <w:rPr>
          <w:color w:val="0000FF"/>
        </w:rPr>
        <w:t>S、NH</w:t>
      </w:r>
      <w:r>
        <w:rPr>
          <w:color w:val="0000FF"/>
          <w:vertAlign w:val="subscript"/>
        </w:rPr>
        <w:t>3</w:t>
      </w:r>
      <w:r>
        <w:rPr>
          <w:color w:val="0000FF"/>
        </w:rPr>
        <w:t>。</w:t>
      </w:r>
    </w:p>
    <w:p>
      <w:pPr>
        <w:bidi w:val="0"/>
        <w:rPr>
          <w:color w:val="0000FF"/>
        </w:rPr>
      </w:pPr>
      <w:r>
        <w:rPr>
          <w:color w:val="0000FF"/>
        </w:rPr>
        <w:t>②水环境</w:t>
      </w:r>
    </w:p>
    <w:p>
      <w:pPr>
        <w:bidi w:val="0"/>
        <w:rPr>
          <w:color w:val="0000FF"/>
        </w:rPr>
      </w:pPr>
      <w:r>
        <w:rPr>
          <w:color w:val="0000FF"/>
        </w:rPr>
        <w:t>地表水环境评价因子：</w:t>
      </w:r>
      <w:r>
        <w:rPr>
          <w:rFonts w:hint="eastAsia"/>
          <w:color w:val="0000FF"/>
        </w:rPr>
        <w:t>pH、</w:t>
      </w:r>
      <w:r>
        <w:rPr>
          <w:color w:val="0000FF"/>
        </w:rPr>
        <w:t>溶解氧、</w:t>
      </w:r>
      <w:r>
        <w:rPr>
          <w:rFonts w:hint="eastAsia"/>
          <w:color w:val="0000FF"/>
          <w:lang w:eastAsia="zh-CN"/>
        </w:rPr>
        <w:t>化学需氧量</w:t>
      </w:r>
      <w:r>
        <w:rPr>
          <w:color w:val="0000FF"/>
        </w:rPr>
        <w:t>、</w:t>
      </w:r>
      <w:r>
        <w:rPr>
          <w:rFonts w:hint="eastAsia"/>
          <w:color w:val="0000FF"/>
          <w:lang w:eastAsia="zh-CN"/>
        </w:rPr>
        <w:t>五日生化需氧量、</w:t>
      </w:r>
      <w:r>
        <w:rPr>
          <w:rFonts w:hint="eastAsia"/>
          <w:color w:val="0000FF"/>
        </w:rPr>
        <w:t>氨氮、总磷、氟化物、六价铬、氰化物、挥发酚、硫酸盐、粪大肠菌群</w:t>
      </w:r>
      <w:r>
        <w:rPr>
          <w:rFonts w:hint="eastAsia"/>
          <w:color w:val="0000FF"/>
          <w:lang w:eastAsia="zh-CN"/>
        </w:rPr>
        <w:t>、总氮</w:t>
      </w:r>
      <w:r>
        <w:rPr>
          <w:color w:val="0000FF"/>
        </w:rPr>
        <w:t>；</w:t>
      </w:r>
    </w:p>
    <w:p>
      <w:pPr>
        <w:bidi w:val="0"/>
        <w:rPr>
          <w:color w:val="0000FF"/>
        </w:rPr>
      </w:pPr>
      <w:r>
        <w:rPr>
          <w:color w:val="0000FF"/>
        </w:rPr>
        <w:t>按照地下水导则要求，Ⅳ类项目可不开展地下水环境影响评价，因此，项目仅对地下水进行简单分析。</w:t>
      </w:r>
    </w:p>
    <w:p>
      <w:pPr>
        <w:bidi w:val="0"/>
        <w:rPr>
          <w:color w:val="0000FF"/>
        </w:rPr>
      </w:pPr>
      <w:r>
        <w:rPr>
          <w:color w:val="0000FF"/>
        </w:rPr>
        <w:t>③声环境</w:t>
      </w:r>
    </w:p>
    <w:p>
      <w:pPr>
        <w:bidi w:val="0"/>
        <w:rPr>
          <w:color w:val="0000FF"/>
        </w:rPr>
      </w:pPr>
      <w:r>
        <w:rPr>
          <w:color w:val="0000FF"/>
        </w:rPr>
        <w:t>现状评价因子：等效连续A声级Leq[dB(A)]；</w:t>
      </w:r>
    </w:p>
    <w:p>
      <w:pPr>
        <w:bidi w:val="0"/>
        <w:rPr>
          <w:color w:val="0000FF"/>
        </w:rPr>
      </w:pPr>
      <w:r>
        <w:rPr>
          <w:color w:val="0000FF"/>
        </w:rPr>
        <w:t>预测评价因子：等效连续A声级Leq[dB(A)]。</w:t>
      </w:r>
    </w:p>
    <w:p>
      <w:pPr>
        <w:bidi w:val="0"/>
        <w:rPr>
          <w:color w:val="0000FF"/>
        </w:rPr>
      </w:pPr>
      <w:r>
        <w:rPr>
          <w:color w:val="0000FF"/>
        </w:rPr>
        <w:t>④固体废物</w:t>
      </w:r>
    </w:p>
    <w:p>
      <w:pPr>
        <w:bidi w:val="0"/>
        <w:rPr>
          <w:color w:val="0000FF"/>
        </w:rPr>
      </w:pPr>
      <w:r>
        <w:rPr>
          <w:color w:val="0000FF"/>
        </w:rPr>
        <w:t>生活垃圾、医疗废物</w:t>
      </w:r>
      <w:r>
        <w:rPr>
          <w:rFonts w:hint="eastAsia"/>
          <w:color w:val="0000FF"/>
          <w:lang w:eastAsia="zh-CN"/>
        </w:rPr>
        <w:t>（</w:t>
      </w:r>
      <w:r>
        <w:rPr>
          <w:color w:val="0000FF"/>
        </w:rPr>
        <w:t>实验废液</w:t>
      </w:r>
      <w:r>
        <w:rPr>
          <w:rFonts w:hint="eastAsia"/>
          <w:color w:val="0000FF"/>
          <w:lang w:eastAsia="zh-CN"/>
        </w:rPr>
        <w:t>、</w:t>
      </w:r>
      <w:r>
        <w:rPr>
          <w:color w:val="0000FF"/>
        </w:rPr>
        <w:t>废滤芯、废棉签及其他各种敷料、废一次性用品</w:t>
      </w:r>
      <w:r>
        <w:rPr>
          <w:rFonts w:hint="eastAsia"/>
          <w:color w:val="0000FF"/>
          <w:lang w:val="en-US" w:eastAsia="zh-CN"/>
        </w:rPr>
        <w:t>等</w:t>
      </w:r>
      <w:r>
        <w:rPr>
          <w:rFonts w:hint="eastAsia"/>
          <w:color w:val="0000FF"/>
          <w:lang w:eastAsia="zh-CN"/>
        </w:rPr>
        <w:t>）</w:t>
      </w:r>
      <w:r>
        <w:rPr>
          <w:color w:val="0000FF"/>
        </w:rPr>
        <w:t>、废活性炭、废滤芯、废离子交换树脂、</w:t>
      </w:r>
      <w:r>
        <w:rPr>
          <w:rFonts w:hint="eastAsia"/>
          <w:color w:val="0000FF"/>
          <w:lang w:val="en-US" w:eastAsia="zh-CN"/>
        </w:rPr>
        <w:t>水处理栅渣及污泥</w:t>
      </w:r>
      <w:r>
        <w:rPr>
          <w:color w:val="0000FF"/>
        </w:rPr>
        <w:t>。</w:t>
      </w:r>
    </w:p>
    <w:p>
      <w:pPr>
        <w:pStyle w:val="5"/>
        <w:bidi w:val="0"/>
        <w:rPr>
          <w:rFonts w:hint="default"/>
          <w:lang w:val="en-US" w:eastAsia="zh-CN"/>
        </w:rPr>
      </w:pPr>
      <w:bookmarkStart w:id="19" w:name="_Toc15830"/>
      <w:r>
        <w:rPr>
          <w:rFonts w:hint="eastAsia"/>
          <w:lang w:val="en-US" w:eastAsia="zh-CN"/>
        </w:rPr>
        <w:t>2.5评价标准</w:t>
      </w:r>
      <w:bookmarkEnd w:id="19"/>
    </w:p>
    <w:p>
      <w:pPr>
        <w:pStyle w:val="6"/>
        <w:bidi w:val="0"/>
        <w:rPr>
          <w:rFonts w:hint="default"/>
          <w:lang w:val="en-US" w:eastAsia="zh-CN"/>
        </w:rPr>
      </w:pPr>
      <w:bookmarkStart w:id="20" w:name="_Toc22254"/>
      <w:r>
        <w:rPr>
          <w:rFonts w:hint="eastAsia"/>
          <w:lang w:val="en-US" w:eastAsia="zh-CN"/>
        </w:rPr>
        <w:t>2.5.1环境质量标准</w:t>
      </w:r>
      <w:bookmarkEnd w:id="20"/>
    </w:p>
    <w:p>
      <w:pPr>
        <w:bidi w:val="0"/>
        <w:rPr>
          <w:color w:val="0000FF"/>
        </w:rPr>
      </w:pPr>
      <w:r>
        <w:rPr>
          <w:color w:val="0000FF"/>
        </w:rPr>
        <w:t>（1）环境空气</w:t>
      </w:r>
    </w:p>
    <w:p>
      <w:pPr>
        <w:bidi w:val="0"/>
        <w:rPr>
          <w:color w:val="0000FF"/>
        </w:rPr>
      </w:pPr>
      <w:r>
        <w:rPr>
          <w:rFonts w:hint="eastAsia"/>
          <w:color w:val="0000FF"/>
          <w:lang w:val="en-US" w:eastAsia="zh-CN"/>
        </w:rPr>
        <w:t>项目所在区域</w:t>
      </w:r>
      <w:r>
        <w:rPr>
          <w:color w:val="0000FF"/>
        </w:rPr>
        <w:t>环境空气</w:t>
      </w:r>
      <w:r>
        <w:rPr>
          <w:rFonts w:hint="eastAsia"/>
          <w:color w:val="0000FF"/>
          <w:lang w:val="en-US" w:eastAsia="zh-CN"/>
        </w:rPr>
        <w:t>质量</w:t>
      </w:r>
      <w:r>
        <w:rPr>
          <w:color w:val="0000FF"/>
        </w:rPr>
        <w:t>执行《环境空气质量标准》（GB3095-2012）</w:t>
      </w:r>
      <w:r>
        <w:rPr>
          <w:rFonts w:hint="eastAsia"/>
          <w:color w:val="0000FF"/>
          <w:lang w:val="en-US" w:eastAsia="zh-CN"/>
        </w:rPr>
        <w:t>及修改单（</w:t>
      </w:r>
      <w:r>
        <w:rPr>
          <w:rFonts w:hint="default"/>
          <w:color w:val="0000FF"/>
          <w:lang w:val="en-US" w:eastAsia="zh-CN"/>
        </w:rPr>
        <w:t>2018</w:t>
      </w:r>
      <w:r>
        <w:rPr>
          <w:rFonts w:hint="eastAsia"/>
          <w:color w:val="0000FF"/>
          <w:lang w:val="en-US" w:eastAsia="zh-CN"/>
        </w:rPr>
        <w:t>年）</w:t>
      </w:r>
      <w:r>
        <w:rPr>
          <w:color w:val="0000FF"/>
        </w:rPr>
        <w:t>中二级标准</w:t>
      </w:r>
      <w:r>
        <w:rPr>
          <w:rFonts w:hint="eastAsia"/>
          <w:color w:val="0000FF"/>
          <w:lang w:eastAsia="zh-CN"/>
        </w:rPr>
        <w:t>，</w:t>
      </w:r>
      <w:r>
        <w:rPr>
          <w:rFonts w:hint="default"/>
          <w:color w:val="0000FF"/>
          <w:lang w:val="en-US" w:eastAsia="zh-CN"/>
        </w:rPr>
        <w:t>NH</w:t>
      </w:r>
      <w:r>
        <w:rPr>
          <w:rFonts w:hint="default"/>
          <w:color w:val="0000FF"/>
          <w:vertAlign w:val="subscript"/>
          <w:lang w:val="en-US" w:eastAsia="zh-CN"/>
        </w:rPr>
        <w:t>3</w:t>
      </w:r>
      <w:r>
        <w:rPr>
          <w:rFonts w:hint="eastAsia"/>
          <w:color w:val="0000FF"/>
          <w:lang w:val="en-US" w:eastAsia="zh-CN"/>
        </w:rPr>
        <w:t>、</w:t>
      </w:r>
      <w:r>
        <w:rPr>
          <w:rFonts w:hint="default"/>
          <w:color w:val="0000FF"/>
          <w:lang w:val="en-US" w:eastAsia="zh-CN"/>
        </w:rPr>
        <w:t>H</w:t>
      </w:r>
      <w:r>
        <w:rPr>
          <w:rFonts w:hint="default"/>
          <w:color w:val="0000FF"/>
          <w:vertAlign w:val="subscript"/>
          <w:lang w:val="en-US" w:eastAsia="zh-CN"/>
        </w:rPr>
        <w:t>2</w:t>
      </w:r>
      <w:r>
        <w:rPr>
          <w:rFonts w:hint="default"/>
          <w:color w:val="0000FF"/>
          <w:lang w:val="en-US" w:eastAsia="zh-CN"/>
        </w:rPr>
        <w:t>S</w:t>
      </w:r>
      <w:r>
        <w:rPr>
          <w:rFonts w:hint="eastAsia"/>
          <w:color w:val="0000FF"/>
          <w:lang w:val="en-US" w:eastAsia="zh-CN"/>
        </w:rPr>
        <w:t>执行</w:t>
      </w:r>
      <w:r>
        <w:rPr>
          <w:color w:val="0000FF"/>
        </w:rPr>
        <w:t>《</w:t>
      </w:r>
      <w:r>
        <w:rPr>
          <w:rFonts w:hint="eastAsia"/>
          <w:color w:val="0000FF"/>
          <w:lang w:eastAsia="zh-CN"/>
        </w:rPr>
        <w:t>环境影响评价技术导则</w:t>
      </w:r>
      <w:r>
        <w:rPr>
          <w:rFonts w:hint="eastAsia"/>
          <w:color w:val="0000FF"/>
          <w:lang w:val="en-US" w:eastAsia="zh-CN"/>
        </w:rPr>
        <w:t xml:space="preserve"> </w:t>
      </w:r>
      <w:r>
        <w:rPr>
          <w:rFonts w:hint="eastAsia"/>
          <w:color w:val="0000FF"/>
          <w:lang w:eastAsia="zh-CN"/>
        </w:rPr>
        <w:t>大气环境</w:t>
      </w:r>
      <w:r>
        <w:rPr>
          <w:color w:val="0000FF"/>
        </w:rPr>
        <w:t>》（HJ2.2-2018）附录D</w:t>
      </w:r>
      <w:r>
        <w:rPr>
          <w:rFonts w:hint="eastAsia"/>
          <w:color w:val="0000FF"/>
          <w:lang w:val="en-US" w:eastAsia="zh-CN"/>
        </w:rPr>
        <w:t>参考限值</w:t>
      </w:r>
      <w:r>
        <w:rPr>
          <w:color w:val="0000FF"/>
        </w:rPr>
        <w:t>，非甲烷总烃执行《大气污染物综合排放标准》</w:t>
      </w:r>
      <w:r>
        <w:rPr>
          <w:rFonts w:hint="eastAsia"/>
          <w:color w:val="0000FF"/>
          <w:lang w:eastAsia="zh-CN"/>
        </w:rPr>
        <w:t>（</w:t>
      </w:r>
      <w:r>
        <w:rPr>
          <w:color w:val="0000FF"/>
        </w:rPr>
        <w:t>GB16297-1996</w:t>
      </w:r>
      <w:r>
        <w:rPr>
          <w:rFonts w:hint="eastAsia"/>
          <w:color w:val="0000FF"/>
          <w:lang w:eastAsia="zh-CN"/>
        </w:rPr>
        <w:t>）</w:t>
      </w:r>
      <w:r>
        <w:rPr>
          <w:color w:val="0000FF"/>
        </w:rPr>
        <w:t>详解中的标准</w:t>
      </w:r>
      <w:r>
        <w:rPr>
          <w:rFonts w:hint="eastAsia"/>
          <w:color w:val="0000FF"/>
          <w:lang w:eastAsia="zh-CN"/>
        </w:rPr>
        <w:t>，</w:t>
      </w:r>
      <w:r>
        <w:rPr>
          <w:color w:val="0000FF"/>
        </w:rPr>
        <w:t>各污染物标准限值见表2.</w:t>
      </w:r>
      <w:r>
        <w:rPr>
          <w:rFonts w:hint="eastAsia"/>
          <w:color w:val="0000FF"/>
          <w:lang w:val="en-US" w:eastAsia="zh-CN"/>
        </w:rPr>
        <w:t>5</w:t>
      </w:r>
      <w:r>
        <w:rPr>
          <w:color w:val="0000FF"/>
        </w:rPr>
        <w:t>-</w:t>
      </w:r>
      <w:r>
        <w:rPr>
          <w:rFonts w:hint="eastAsia"/>
          <w:color w:val="0000FF"/>
          <w:lang w:val="en-US" w:eastAsia="zh-CN"/>
        </w:rPr>
        <w:t>1</w:t>
      </w:r>
      <w:r>
        <w:rPr>
          <w:color w:val="0000FF"/>
        </w:rPr>
        <w:t>。</w:t>
      </w:r>
    </w:p>
    <w:p>
      <w:pPr>
        <w:pStyle w:val="22"/>
        <w:bidi w:val="0"/>
        <w:rPr>
          <w:b/>
          <w:bCs/>
          <w:color w:val="0000FF"/>
        </w:rPr>
      </w:pPr>
      <w:r>
        <w:rPr>
          <w:b/>
          <w:bCs/>
          <w:color w:val="0000FF"/>
        </w:rPr>
        <w:t>表2.</w:t>
      </w:r>
      <w:r>
        <w:rPr>
          <w:rFonts w:hint="eastAsia"/>
          <w:b/>
          <w:bCs/>
          <w:color w:val="0000FF"/>
          <w:lang w:val="en-US" w:eastAsia="zh-CN"/>
        </w:rPr>
        <w:t>5</w:t>
      </w:r>
      <w:r>
        <w:rPr>
          <w:b/>
          <w:bCs/>
          <w:color w:val="0000FF"/>
        </w:rPr>
        <w:t>-</w:t>
      </w:r>
      <w:r>
        <w:rPr>
          <w:rFonts w:hint="eastAsia"/>
          <w:b/>
          <w:bCs/>
          <w:color w:val="0000FF"/>
          <w:lang w:val="en-US" w:eastAsia="zh-CN"/>
        </w:rPr>
        <w:t>1</w:t>
      </w:r>
      <w:r>
        <w:rPr>
          <w:b/>
          <w:bCs/>
          <w:color w:val="0000FF"/>
        </w:rPr>
        <w:t>环境空气质量标准摘录</w:t>
      </w:r>
    </w:p>
    <w:tbl>
      <w:tblPr>
        <w:tblStyle w:val="23"/>
        <w:tblW w:w="8434" w:type="dxa"/>
        <w:tblInd w:w="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1369"/>
        <w:gridCol w:w="1960"/>
        <w:gridCol w:w="1838"/>
        <w:gridCol w:w="2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06" w:type="dxa"/>
            <w:vMerge w:val="restart"/>
            <w:tcBorders>
              <w:tl2br w:val="nil"/>
              <w:tr2bl w:val="nil"/>
            </w:tcBorders>
            <w:vAlign w:val="center"/>
          </w:tcPr>
          <w:p>
            <w:pPr>
              <w:pStyle w:val="22"/>
              <w:bidi w:val="0"/>
              <w:jc w:val="center"/>
              <w:rPr>
                <w:color w:val="0000FF"/>
              </w:rPr>
            </w:pPr>
            <w:r>
              <w:rPr>
                <w:color w:val="0000FF"/>
              </w:rPr>
              <w:t>序号</w:t>
            </w:r>
          </w:p>
        </w:tc>
        <w:tc>
          <w:tcPr>
            <w:tcW w:w="1369" w:type="dxa"/>
            <w:vMerge w:val="restart"/>
            <w:tcBorders>
              <w:tl2br w:val="nil"/>
              <w:tr2bl w:val="nil"/>
            </w:tcBorders>
            <w:vAlign w:val="center"/>
          </w:tcPr>
          <w:p>
            <w:pPr>
              <w:pStyle w:val="22"/>
              <w:bidi w:val="0"/>
              <w:jc w:val="center"/>
              <w:rPr>
                <w:color w:val="0000FF"/>
              </w:rPr>
            </w:pPr>
            <w:r>
              <w:rPr>
                <w:color w:val="0000FF"/>
              </w:rPr>
              <w:t>污染物名称</w:t>
            </w:r>
          </w:p>
        </w:tc>
        <w:tc>
          <w:tcPr>
            <w:tcW w:w="1960" w:type="dxa"/>
            <w:vMerge w:val="restart"/>
            <w:tcBorders>
              <w:tl2br w:val="nil"/>
              <w:tr2bl w:val="nil"/>
            </w:tcBorders>
            <w:vAlign w:val="center"/>
          </w:tcPr>
          <w:p>
            <w:pPr>
              <w:pStyle w:val="22"/>
              <w:bidi w:val="0"/>
              <w:jc w:val="center"/>
              <w:rPr>
                <w:color w:val="0000FF"/>
              </w:rPr>
            </w:pPr>
            <w:r>
              <w:rPr>
                <w:color w:val="0000FF"/>
              </w:rPr>
              <w:t>取值时间</w:t>
            </w:r>
          </w:p>
        </w:tc>
        <w:tc>
          <w:tcPr>
            <w:tcW w:w="4399" w:type="dxa"/>
            <w:gridSpan w:val="2"/>
            <w:tcBorders>
              <w:tl2br w:val="nil"/>
              <w:tr2bl w:val="nil"/>
            </w:tcBorders>
            <w:vAlign w:val="center"/>
          </w:tcPr>
          <w:p>
            <w:pPr>
              <w:pStyle w:val="22"/>
              <w:bidi w:val="0"/>
              <w:jc w:val="center"/>
              <w:rPr>
                <w:color w:val="0000FF"/>
              </w:rPr>
            </w:pPr>
            <w:r>
              <w:rPr>
                <w:color w:val="0000FF"/>
              </w:rPr>
              <w:t>本次评价标准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vMerge w:val="continue"/>
            <w:tcBorders>
              <w:tl2br w:val="nil"/>
              <w:tr2bl w:val="nil"/>
            </w:tcBorders>
            <w:vAlign w:val="center"/>
          </w:tcPr>
          <w:p>
            <w:pPr>
              <w:pStyle w:val="22"/>
              <w:bidi w:val="0"/>
              <w:jc w:val="center"/>
              <w:rPr>
                <w:color w:val="0000FF"/>
              </w:rPr>
            </w:pPr>
          </w:p>
        </w:tc>
        <w:tc>
          <w:tcPr>
            <w:tcW w:w="1838" w:type="dxa"/>
            <w:tcBorders>
              <w:tl2br w:val="nil"/>
              <w:tr2bl w:val="nil"/>
            </w:tcBorders>
            <w:vAlign w:val="center"/>
          </w:tcPr>
          <w:p>
            <w:pPr>
              <w:pStyle w:val="22"/>
              <w:bidi w:val="0"/>
              <w:jc w:val="center"/>
              <w:rPr>
                <w:color w:val="0000FF"/>
              </w:rPr>
            </w:pPr>
            <w:r>
              <w:rPr>
                <w:color w:val="0000FF"/>
              </w:rPr>
              <w:t>标准值（mg/m</w:t>
            </w:r>
            <w:r>
              <w:rPr>
                <w:color w:val="0000FF"/>
                <w:vertAlign w:val="superscript"/>
              </w:rPr>
              <w:t>3</w:t>
            </w:r>
            <w:r>
              <w:rPr>
                <w:color w:val="0000FF"/>
              </w:rPr>
              <w:t>）</w:t>
            </w:r>
          </w:p>
        </w:tc>
        <w:tc>
          <w:tcPr>
            <w:tcW w:w="2561" w:type="dxa"/>
            <w:tcBorders>
              <w:tl2br w:val="nil"/>
              <w:tr2bl w:val="nil"/>
            </w:tcBorders>
            <w:vAlign w:val="center"/>
          </w:tcPr>
          <w:p>
            <w:pPr>
              <w:pStyle w:val="22"/>
              <w:bidi w:val="0"/>
              <w:jc w:val="center"/>
              <w:rPr>
                <w:color w:val="0000FF"/>
              </w:rPr>
            </w:pPr>
            <w:r>
              <w:rPr>
                <w:color w:val="0000FF"/>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06" w:type="dxa"/>
            <w:vMerge w:val="restart"/>
            <w:tcBorders>
              <w:tl2br w:val="nil"/>
              <w:tr2bl w:val="nil"/>
            </w:tcBorders>
            <w:vAlign w:val="center"/>
          </w:tcPr>
          <w:p>
            <w:pPr>
              <w:pStyle w:val="22"/>
              <w:bidi w:val="0"/>
              <w:jc w:val="center"/>
              <w:rPr>
                <w:color w:val="0000FF"/>
              </w:rPr>
            </w:pPr>
            <w:r>
              <w:rPr>
                <w:color w:val="0000FF"/>
              </w:rPr>
              <w:t>1</w:t>
            </w:r>
          </w:p>
        </w:tc>
        <w:tc>
          <w:tcPr>
            <w:tcW w:w="1369" w:type="dxa"/>
            <w:vMerge w:val="restart"/>
            <w:tcBorders>
              <w:tl2br w:val="nil"/>
              <w:tr2bl w:val="nil"/>
            </w:tcBorders>
            <w:vAlign w:val="center"/>
          </w:tcPr>
          <w:p>
            <w:pPr>
              <w:pStyle w:val="22"/>
              <w:bidi w:val="0"/>
              <w:jc w:val="center"/>
              <w:rPr>
                <w:color w:val="0000FF"/>
              </w:rPr>
            </w:pPr>
            <w:r>
              <w:rPr>
                <w:color w:val="0000FF"/>
              </w:rPr>
              <w:t>PM</w:t>
            </w:r>
            <w:r>
              <w:rPr>
                <w:color w:val="0000FF"/>
                <w:vertAlign w:val="subscript"/>
              </w:rPr>
              <w:t>10</w:t>
            </w:r>
          </w:p>
        </w:tc>
        <w:tc>
          <w:tcPr>
            <w:tcW w:w="1960" w:type="dxa"/>
            <w:tcBorders>
              <w:tl2br w:val="nil"/>
              <w:tr2bl w:val="nil"/>
            </w:tcBorders>
            <w:vAlign w:val="center"/>
          </w:tcPr>
          <w:p>
            <w:pPr>
              <w:pStyle w:val="22"/>
              <w:bidi w:val="0"/>
              <w:jc w:val="center"/>
              <w:rPr>
                <w:color w:val="0000FF"/>
              </w:rPr>
            </w:pPr>
            <w:r>
              <w:rPr>
                <w:color w:val="0000FF"/>
              </w:rPr>
              <w:t>年平均</w:t>
            </w:r>
          </w:p>
        </w:tc>
        <w:tc>
          <w:tcPr>
            <w:tcW w:w="1838" w:type="dxa"/>
            <w:tcBorders>
              <w:tl2br w:val="nil"/>
              <w:tr2bl w:val="nil"/>
            </w:tcBorders>
            <w:vAlign w:val="center"/>
          </w:tcPr>
          <w:p>
            <w:pPr>
              <w:pStyle w:val="22"/>
              <w:bidi w:val="0"/>
              <w:jc w:val="center"/>
              <w:rPr>
                <w:color w:val="0000FF"/>
              </w:rPr>
            </w:pPr>
            <w:r>
              <w:rPr>
                <w:color w:val="0000FF"/>
              </w:rPr>
              <w:t>0.07</w:t>
            </w:r>
          </w:p>
        </w:tc>
        <w:tc>
          <w:tcPr>
            <w:tcW w:w="2561" w:type="dxa"/>
            <w:vMerge w:val="restart"/>
            <w:tcBorders>
              <w:tl2br w:val="nil"/>
              <w:tr2bl w:val="nil"/>
            </w:tcBorders>
            <w:vAlign w:val="center"/>
          </w:tcPr>
          <w:p>
            <w:pPr>
              <w:pStyle w:val="22"/>
              <w:bidi w:val="0"/>
              <w:jc w:val="center"/>
              <w:rPr>
                <w:color w:val="0000FF"/>
              </w:rPr>
            </w:pPr>
            <w:r>
              <w:rPr>
                <w:color w:val="0000FF"/>
              </w:rPr>
              <w:t>（GB3095-2012）及其修改单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tcBorders>
              <w:tl2br w:val="nil"/>
              <w:tr2bl w:val="nil"/>
            </w:tcBorders>
            <w:vAlign w:val="center"/>
          </w:tcPr>
          <w:p>
            <w:pPr>
              <w:pStyle w:val="22"/>
              <w:bidi w:val="0"/>
              <w:jc w:val="center"/>
              <w:rPr>
                <w:color w:val="0000FF"/>
              </w:rPr>
            </w:pPr>
            <w:r>
              <w:rPr>
                <w:color w:val="0000FF"/>
              </w:rPr>
              <w:t>24小时平均</w:t>
            </w:r>
          </w:p>
        </w:tc>
        <w:tc>
          <w:tcPr>
            <w:tcW w:w="1838" w:type="dxa"/>
            <w:tcBorders>
              <w:tl2br w:val="nil"/>
              <w:tr2bl w:val="nil"/>
            </w:tcBorders>
            <w:vAlign w:val="center"/>
          </w:tcPr>
          <w:p>
            <w:pPr>
              <w:pStyle w:val="22"/>
              <w:bidi w:val="0"/>
              <w:jc w:val="center"/>
              <w:rPr>
                <w:color w:val="0000FF"/>
              </w:rPr>
            </w:pPr>
            <w:r>
              <w:rPr>
                <w:color w:val="0000FF"/>
              </w:rPr>
              <w:t>0.15</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 w:hRule="atLeast"/>
        </w:trPr>
        <w:tc>
          <w:tcPr>
            <w:tcW w:w="706" w:type="dxa"/>
            <w:vMerge w:val="restart"/>
            <w:tcBorders>
              <w:tl2br w:val="nil"/>
              <w:tr2bl w:val="nil"/>
            </w:tcBorders>
            <w:vAlign w:val="center"/>
          </w:tcPr>
          <w:p>
            <w:pPr>
              <w:pStyle w:val="22"/>
              <w:bidi w:val="0"/>
              <w:jc w:val="center"/>
              <w:rPr>
                <w:color w:val="0000FF"/>
              </w:rPr>
            </w:pPr>
            <w:r>
              <w:rPr>
                <w:color w:val="0000FF"/>
              </w:rPr>
              <w:t>2</w:t>
            </w:r>
          </w:p>
        </w:tc>
        <w:tc>
          <w:tcPr>
            <w:tcW w:w="1369" w:type="dxa"/>
            <w:vMerge w:val="restart"/>
            <w:tcBorders>
              <w:tl2br w:val="nil"/>
              <w:tr2bl w:val="nil"/>
            </w:tcBorders>
            <w:vAlign w:val="center"/>
          </w:tcPr>
          <w:p>
            <w:pPr>
              <w:pStyle w:val="22"/>
              <w:bidi w:val="0"/>
              <w:jc w:val="center"/>
              <w:rPr>
                <w:color w:val="0000FF"/>
              </w:rPr>
            </w:pPr>
            <w:r>
              <w:rPr>
                <w:color w:val="0000FF"/>
              </w:rPr>
              <w:t>PM</w:t>
            </w:r>
            <w:r>
              <w:rPr>
                <w:color w:val="0000FF"/>
                <w:vertAlign w:val="subscript"/>
              </w:rPr>
              <w:t>2.5</w:t>
            </w:r>
          </w:p>
        </w:tc>
        <w:tc>
          <w:tcPr>
            <w:tcW w:w="1960" w:type="dxa"/>
            <w:tcBorders>
              <w:tl2br w:val="nil"/>
              <w:tr2bl w:val="nil"/>
            </w:tcBorders>
            <w:vAlign w:val="center"/>
          </w:tcPr>
          <w:p>
            <w:pPr>
              <w:pStyle w:val="22"/>
              <w:bidi w:val="0"/>
              <w:jc w:val="center"/>
              <w:rPr>
                <w:color w:val="0000FF"/>
              </w:rPr>
            </w:pPr>
            <w:r>
              <w:rPr>
                <w:color w:val="0000FF"/>
              </w:rPr>
              <w:t>年平均</w:t>
            </w:r>
          </w:p>
        </w:tc>
        <w:tc>
          <w:tcPr>
            <w:tcW w:w="1838" w:type="dxa"/>
            <w:tcBorders>
              <w:tl2br w:val="nil"/>
              <w:tr2bl w:val="nil"/>
            </w:tcBorders>
            <w:vAlign w:val="center"/>
          </w:tcPr>
          <w:p>
            <w:pPr>
              <w:pStyle w:val="22"/>
              <w:bidi w:val="0"/>
              <w:jc w:val="center"/>
              <w:rPr>
                <w:color w:val="0000FF"/>
              </w:rPr>
            </w:pPr>
            <w:r>
              <w:rPr>
                <w:color w:val="0000FF"/>
              </w:rPr>
              <w:t>0.035</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tcBorders>
              <w:tl2br w:val="nil"/>
              <w:tr2bl w:val="nil"/>
            </w:tcBorders>
            <w:vAlign w:val="center"/>
          </w:tcPr>
          <w:p>
            <w:pPr>
              <w:pStyle w:val="22"/>
              <w:bidi w:val="0"/>
              <w:jc w:val="center"/>
              <w:rPr>
                <w:color w:val="0000FF"/>
              </w:rPr>
            </w:pPr>
            <w:r>
              <w:rPr>
                <w:color w:val="0000FF"/>
              </w:rPr>
              <w:t>24小时平均</w:t>
            </w:r>
          </w:p>
        </w:tc>
        <w:tc>
          <w:tcPr>
            <w:tcW w:w="1838" w:type="dxa"/>
            <w:tcBorders>
              <w:tl2br w:val="nil"/>
              <w:tr2bl w:val="nil"/>
            </w:tcBorders>
            <w:vAlign w:val="center"/>
          </w:tcPr>
          <w:p>
            <w:pPr>
              <w:pStyle w:val="22"/>
              <w:bidi w:val="0"/>
              <w:jc w:val="center"/>
              <w:rPr>
                <w:color w:val="0000FF"/>
              </w:rPr>
            </w:pPr>
            <w:r>
              <w:rPr>
                <w:color w:val="0000FF"/>
              </w:rPr>
              <w:t>0.075</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06" w:type="dxa"/>
            <w:vMerge w:val="restart"/>
            <w:tcBorders>
              <w:tl2br w:val="nil"/>
              <w:tr2bl w:val="nil"/>
            </w:tcBorders>
            <w:vAlign w:val="center"/>
          </w:tcPr>
          <w:p>
            <w:pPr>
              <w:pStyle w:val="22"/>
              <w:bidi w:val="0"/>
              <w:jc w:val="center"/>
              <w:rPr>
                <w:color w:val="0000FF"/>
              </w:rPr>
            </w:pPr>
            <w:r>
              <w:rPr>
                <w:color w:val="0000FF"/>
              </w:rPr>
              <w:t>3</w:t>
            </w:r>
          </w:p>
        </w:tc>
        <w:tc>
          <w:tcPr>
            <w:tcW w:w="1369" w:type="dxa"/>
            <w:vMerge w:val="restart"/>
            <w:tcBorders>
              <w:tl2br w:val="nil"/>
              <w:tr2bl w:val="nil"/>
            </w:tcBorders>
            <w:vAlign w:val="center"/>
          </w:tcPr>
          <w:p>
            <w:pPr>
              <w:pStyle w:val="22"/>
              <w:bidi w:val="0"/>
              <w:jc w:val="center"/>
              <w:rPr>
                <w:color w:val="0000FF"/>
              </w:rPr>
            </w:pPr>
            <w:r>
              <w:rPr>
                <w:color w:val="0000FF"/>
              </w:rPr>
              <w:t>SO</w:t>
            </w:r>
            <w:r>
              <w:rPr>
                <w:color w:val="0000FF"/>
                <w:vertAlign w:val="subscript"/>
              </w:rPr>
              <w:t>2</w:t>
            </w:r>
          </w:p>
        </w:tc>
        <w:tc>
          <w:tcPr>
            <w:tcW w:w="1960" w:type="dxa"/>
            <w:tcBorders>
              <w:tl2br w:val="nil"/>
              <w:tr2bl w:val="nil"/>
            </w:tcBorders>
            <w:vAlign w:val="center"/>
          </w:tcPr>
          <w:p>
            <w:pPr>
              <w:pStyle w:val="22"/>
              <w:bidi w:val="0"/>
              <w:jc w:val="center"/>
              <w:rPr>
                <w:color w:val="0000FF"/>
              </w:rPr>
            </w:pPr>
            <w:r>
              <w:rPr>
                <w:color w:val="0000FF"/>
              </w:rPr>
              <w:t>年平均</w:t>
            </w:r>
          </w:p>
        </w:tc>
        <w:tc>
          <w:tcPr>
            <w:tcW w:w="1838" w:type="dxa"/>
            <w:tcBorders>
              <w:tl2br w:val="nil"/>
              <w:tr2bl w:val="nil"/>
            </w:tcBorders>
            <w:vAlign w:val="center"/>
          </w:tcPr>
          <w:p>
            <w:pPr>
              <w:pStyle w:val="22"/>
              <w:bidi w:val="0"/>
              <w:jc w:val="center"/>
              <w:rPr>
                <w:color w:val="0000FF"/>
              </w:rPr>
            </w:pPr>
            <w:r>
              <w:rPr>
                <w:color w:val="0000FF"/>
              </w:rPr>
              <w:t>0.06</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tcBorders>
              <w:tl2br w:val="nil"/>
              <w:tr2bl w:val="nil"/>
            </w:tcBorders>
            <w:vAlign w:val="center"/>
          </w:tcPr>
          <w:p>
            <w:pPr>
              <w:pStyle w:val="22"/>
              <w:bidi w:val="0"/>
              <w:jc w:val="center"/>
              <w:rPr>
                <w:color w:val="0000FF"/>
              </w:rPr>
            </w:pPr>
            <w:r>
              <w:rPr>
                <w:color w:val="0000FF"/>
              </w:rPr>
              <w:t>24小时平均</w:t>
            </w:r>
          </w:p>
        </w:tc>
        <w:tc>
          <w:tcPr>
            <w:tcW w:w="1838" w:type="dxa"/>
            <w:tcBorders>
              <w:tl2br w:val="nil"/>
              <w:tr2bl w:val="nil"/>
            </w:tcBorders>
            <w:vAlign w:val="center"/>
          </w:tcPr>
          <w:p>
            <w:pPr>
              <w:pStyle w:val="22"/>
              <w:bidi w:val="0"/>
              <w:jc w:val="center"/>
              <w:rPr>
                <w:color w:val="0000FF"/>
              </w:rPr>
            </w:pPr>
            <w:r>
              <w:rPr>
                <w:color w:val="0000FF"/>
              </w:rPr>
              <w:t>0.15</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tcBorders>
              <w:tl2br w:val="nil"/>
              <w:tr2bl w:val="nil"/>
            </w:tcBorders>
            <w:vAlign w:val="center"/>
          </w:tcPr>
          <w:p>
            <w:pPr>
              <w:pStyle w:val="22"/>
              <w:bidi w:val="0"/>
              <w:jc w:val="center"/>
              <w:rPr>
                <w:color w:val="0000FF"/>
              </w:rPr>
            </w:pPr>
            <w:r>
              <w:rPr>
                <w:color w:val="0000FF"/>
              </w:rPr>
              <w:t>1小时平均</w:t>
            </w:r>
          </w:p>
        </w:tc>
        <w:tc>
          <w:tcPr>
            <w:tcW w:w="1838" w:type="dxa"/>
            <w:tcBorders>
              <w:tl2br w:val="nil"/>
              <w:tr2bl w:val="nil"/>
            </w:tcBorders>
            <w:vAlign w:val="center"/>
          </w:tcPr>
          <w:p>
            <w:pPr>
              <w:pStyle w:val="22"/>
              <w:bidi w:val="0"/>
              <w:jc w:val="center"/>
              <w:rPr>
                <w:color w:val="0000FF"/>
              </w:rPr>
            </w:pPr>
            <w:r>
              <w:rPr>
                <w:color w:val="0000FF"/>
              </w:rPr>
              <w:t>0.50</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restart"/>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4</w:t>
            </w:r>
          </w:p>
        </w:tc>
        <w:tc>
          <w:tcPr>
            <w:tcW w:w="1369" w:type="dxa"/>
            <w:vMerge w:val="restart"/>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NO</w:t>
            </w:r>
            <w:r>
              <w:rPr>
                <w:color w:val="0000FF"/>
                <w:vertAlign w:val="subscript"/>
              </w:rPr>
              <w:t>2</w:t>
            </w:r>
          </w:p>
        </w:tc>
        <w:tc>
          <w:tcPr>
            <w:tcW w:w="1960" w:type="dxa"/>
            <w:tcBorders>
              <w:tl2br w:val="nil"/>
              <w:tr2bl w:val="nil"/>
            </w:tcBorders>
            <w:vAlign w:val="center"/>
          </w:tcPr>
          <w:p>
            <w:pPr>
              <w:pStyle w:val="22"/>
              <w:bidi w:val="0"/>
              <w:jc w:val="center"/>
              <w:rPr>
                <w:color w:val="0000FF"/>
              </w:rPr>
            </w:pPr>
            <w:r>
              <w:rPr>
                <w:color w:val="0000FF"/>
              </w:rPr>
              <w:t>年平均</w:t>
            </w:r>
          </w:p>
        </w:tc>
        <w:tc>
          <w:tcPr>
            <w:tcW w:w="1838" w:type="dxa"/>
            <w:tcBorders>
              <w:tl2br w:val="nil"/>
              <w:tr2bl w:val="nil"/>
            </w:tcBorders>
            <w:vAlign w:val="center"/>
          </w:tcPr>
          <w:p>
            <w:pPr>
              <w:pStyle w:val="22"/>
              <w:bidi w:val="0"/>
              <w:jc w:val="center"/>
              <w:rPr>
                <w:color w:val="0000FF"/>
              </w:rPr>
            </w:pPr>
            <w:r>
              <w:rPr>
                <w:color w:val="0000FF"/>
              </w:rPr>
              <w:t>0.04</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3"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tcBorders>
              <w:tl2br w:val="nil"/>
              <w:tr2bl w:val="nil"/>
            </w:tcBorders>
            <w:vAlign w:val="center"/>
          </w:tcPr>
          <w:p>
            <w:pPr>
              <w:pStyle w:val="22"/>
              <w:bidi w:val="0"/>
              <w:jc w:val="center"/>
              <w:rPr>
                <w:color w:val="0000FF"/>
              </w:rPr>
            </w:pPr>
            <w:r>
              <w:rPr>
                <w:color w:val="0000FF"/>
              </w:rPr>
              <w:t>24小时平均</w:t>
            </w:r>
          </w:p>
        </w:tc>
        <w:tc>
          <w:tcPr>
            <w:tcW w:w="1838" w:type="dxa"/>
            <w:tcBorders>
              <w:tl2br w:val="nil"/>
              <w:tr2bl w:val="nil"/>
            </w:tcBorders>
            <w:vAlign w:val="center"/>
          </w:tcPr>
          <w:p>
            <w:pPr>
              <w:pStyle w:val="22"/>
              <w:bidi w:val="0"/>
              <w:jc w:val="center"/>
              <w:rPr>
                <w:color w:val="0000FF"/>
              </w:rPr>
            </w:pPr>
            <w:r>
              <w:rPr>
                <w:color w:val="0000FF"/>
              </w:rPr>
              <w:t>0.08</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tcBorders>
              <w:tl2br w:val="nil"/>
              <w:tr2bl w:val="nil"/>
            </w:tcBorders>
            <w:vAlign w:val="center"/>
          </w:tcPr>
          <w:p>
            <w:pPr>
              <w:pStyle w:val="22"/>
              <w:bidi w:val="0"/>
              <w:jc w:val="center"/>
              <w:rPr>
                <w:color w:val="0000FF"/>
              </w:rPr>
            </w:pPr>
            <w:r>
              <w:rPr>
                <w:color w:val="0000FF"/>
              </w:rPr>
              <w:t>1小时平均</w:t>
            </w:r>
          </w:p>
        </w:tc>
        <w:tc>
          <w:tcPr>
            <w:tcW w:w="1838" w:type="dxa"/>
            <w:tcBorders>
              <w:tl2br w:val="nil"/>
              <w:tr2bl w:val="nil"/>
            </w:tcBorders>
            <w:vAlign w:val="center"/>
          </w:tcPr>
          <w:p>
            <w:pPr>
              <w:pStyle w:val="22"/>
              <w:bidi w:val="0"/>
              <w:jc w:val="center"/>
              <w:rPr>
                <w:color w:val="0000FF"/>
              </w:rPr>
            </w:pPr>
            <w:r>
              <w:rPr>
                <w:color w:val="0000FF"/>
              </w:rPr>
              <w:t>0.2</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restart"/>
            <w:tcBorders>
              <w:tl2br w:val="nil"/>
              <w:tr2bl w:val="nil"/>
            </w:tcBorders>
            <w:vAlign w:val="center"/>
          </w:tcPr>
          <w:p>
            <w:pPr>
              <w:pStyle w:val="22"/>
              <w:bidi w:val="0"/>
              <w:jc w:val="center"/>
              <w:rPr>
                <w:color w:val="0000FF"/>
              </w:rPr>
            </w:pPr>
            <w:r>
              <w:rPr>
                <w:color w:val="0000FF"/>
              </w:rPr>
              <w:t>5</w:t>
            </w:r>
          </w:p>
        </w:tc>
        <w:tc>
          <w:tcPr>
            <w:tcW w:w="1369" w:type="dxa"/>
            <w:vMerge w:val="restart"/>
            <w:tcBorders>
              <w:tl2br w:val="nil"/>
              <w:tr2bl w:val="nil"/>
            </w:tcBorders>
            <w:vAlign w:val="center"/>
          </w:tcPr>
          <w:p>
            <w:pPr>
              <w:pStyle w:val="22"/>
              <w:bidi w:val="0"/>
              <w:jc w:val="center"/>
              <w:rPr>
                <w:color w:val="0000FF"/>
              </w:rPr>
            </w:pPr>
            <w:r>
              <w:rPr>
                <w:color w:val="0000FF"/>
              </w:rPr>
              <w:t>CO</w:t>
            </w:r>
          </w:p>
        </w:tc>
        <w:tc>
          <w:tcPr>
            <w:tcW w:w="1960" w:type="dxa"/>
            <w:tcBorders>
              <w:tl2br w:val="nil"/>
              <w:tr2bl w:val="nil"/>
            </w:tcBorders>
            <w:vAlign w:val="center"/>
          </w:tcPr>
          <w:p>
            <w:pPr>
              <w:pStyle w:val="22"/>
              <w:bidi w:val="0"/>
              <w:jc w:val="center"/>
              <w:rPr>
                <w:color w:val="0000FF"/>
              </w:rPr>
            </w:pPr>
            <w:r>
              <w:rPr>
                <w:color w:val="0000FF"/>
              </w:rPr>
              <w:t>24小时平均</w:t>
            </w:r>
          </w:p>
        </w:tc>
        <w:tc>
          <w:tcPr>
            <w:tcW w:w="1838" w:type="dxa"/>
            <w:tcBorders>
              <w:tl2br w:val="nil"/>
              <w:tr2bl w:val="nil"/>
            </w:tcBorders>
            <w:vAlign w:val="center"/>
          </w:tcPr>
          <w:p>
            <w:pPr>
              <w:pStyle w:val="22"/>
              <w:bidi w:val="0"/>
              <w:jc w:val="center"/>
              <w:rPr>
                <w:color w:val="0000FF"/>
              </w:rPr>
            </w:pPr>
            <w:r>
              <w:rPr>
                <w:color w:val="0000FF"/>
              </w:rPr>
              <w:t>4</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tcBorders>
              <w:tl2br w:val="nil"/>
              <w:tr2bl w:val="nil"/>
            </w:tcBorders>
            <w:vAlign w:val="center"/>
          </w:tcPr>
          <w:p>
            <w:pPr>
              <w:pStyle w:val="22"/>
              <w:bidi w:val="0"/>
              <w:jc w:val="center"/>
              <w:rPr>
                <w:color w:val="0000FF"/>
              </w:rPr>
            </w:pPr>
            <w:r>
              <w:rPr>
                <w:color w:val="0000FF"/>
              </w:rPr>
              <w:t>1小时平均</w:t>
            </w:r>
          </w:p>
        </w:tc>
        <w:tc>
          <w:tcPr>
            <w:tcW w:w="1838" w:type="dxa"/>
            <w:tcBorders>
              <w:tl2br w:val="nil"/>
              <w:tr2bl w:val="nil"/>
            </w:tcBorders>
            <w:vAlign w:val="center"/>
          </w:tcPr>
          <w:p>
            <w:pPr>
              <w:pStyle w:val="22"/>
              <w:bidi w:val="0"/>
              <w:jc w:val="center"/>
              <w:rPr>
                <w:color w:val="0000FF"/>
              </w:rPr>
            </w:pPr>
            <w:r>
              <w:rPr>
                <w:color w:val="0000FF"/>
              </w:rPr>
              <w:t>10</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restart"/>
            <w:tcBorders>
              <w:tl2br w:val="nil"/>
              <w:tr2bl w:val="nil"/>
            </w:tcBorders>
            <w:vAlign w:val="center"/>
          </w:tcPr>
          <w:p>
            <w:pPr>
              <w:pStyle w:val="22"/>
              <w:bidi w:val="0"/>
              <w:jc w:val="center"/>
              <w:rPr>
                <w:color w:val="0000FF"/>
              </w:rPr>
            </w:pPr>
            <w:r>
              <w:rPr>
                <w:color w:val="0000FF"/>
              </w:rPr>
              <w:t>6</w:t>
            </w:r>
          </w:p>
        </w:tc>
        <w:tc>
          <w:tcPr>
            <w:tcW w:w="1369" w:type="dxa"/>
            <w:vMerge w:val="restart"/>
            <w:tcBorders>
              <w:tl2br w:val="nil"/>
              <w:tr2bl w:val="nil"/>
            </w:tcBorders>
            <w:vAlign w:val="center"/>
          </w:tcPr>
          <w:p>
            <w:pPr>
              <w:pStyle w:val="22"/>
              <w:bidi w:val="0"/>
              <w:jc w:val="center"/>
              <w:rPr>
                <w:color w:val="0000FF"/>
              </w:rPr>
            </w:pPr>
            <w:r>
              <w:rPr>
                <w:color w:val="0000FF"/>
              </w:rPr>
              <w:t>O</w:t>
            </w:r>
            <w:r>
              <w:rPr>
                <w:color w:val="0000FF"/>
                <w:vertAlign w:val="subscript"/>
              </w:rPr>
              <w:t>3</w:t>
            </w:r>
          </w:p>
        </w:tc>
        <w:tc>
          <w:tcPr>
            <w:tcW w:w="1960" w:type="dxa"/>
            <w:tcBorders>
              <w:tl2br w:val="nil"/>
              <w:tr2bl w:val="nil"/>
            </w:tcBorders>
            <w:vAlign w:val="center"/>
          </w:tcPr>
          <w:p>
            <w:pPr>
              <w:pStyle w:val="22"/>
              <w:bidi w:val="0"/>
              <w:jc w:val="center"/>
              <w:rPr>
                <w:color w:val="0000FF"/>
              </w:rPr>
            </w:pPr>
            <w:r>
              <w:rPr>
                <w:color w:val="0000FF"/>
              </w:rPr>
              <w:t>日最大8小时平均</w:t>
            </w:r>
          </w:p>
        </w:tc>
        <w:tc>
          <w:tcPr>
            <w:tcW w:w="1838" w:type="dxa"/>
            <w:tcBorders>
              <w:tl2br w:val="nil"/>
              <w:tr2bl w:val="nil"/>
            </w:tcBorders>
            <w:vAlign w:val="center"/>
          </w:tcPr>
          <w:p>
            <w:pPr>
              <w:pStyle w:val="22"/>
              <w:bidi w:val="0"/>
              <w:jc w:val="center"/>
              <w:rPr>
                <w:color w:val="0000FF"/>
              </w:rPr>
            </w:pPr>
            <w:r>
              <w:rPr>
                <w:color w:val="0000FF"/>
              </w:rPr>
              <w:t>0.16</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06" w:type="dxa"/>
            <w:vMerge w:val="continue"/>
            <w:tcBorders>
              <w:tl2br w:val="nil"/>
              <w:tr2bl w:val="nil"/>
            </w:tcBorders>
            <w:vAlign w:val="center"/>
          </w:tcPr>
          <w:p>
            <w:pPr>
              <w:pStyle w:val="22"/>
              <w:bidi w:val="0"/>
              <w:jc w:val="center"/>
              <w:rPr>
                <w:color w:val="0000FF"/>
              </w:rPr>
            </w:pPr>
          </w:p>
        </w:tc>
        <w:tc>
          <w:tcPr>
            <w:tcW w:w="1369" w:type="dxa"/>
            <w:vMerge w:val="continue"/>
            <w:tcBorders>
              <w:tl2br w:val="nil"/>
              <w:tr2bl w:val="nil"/>
            </w:tcBorders>
            <w:vAlign w:val="center"/>
          </w:tcPr>
          <w:p>
            <w:pPr>
              <w:pStyle w:val="22"/>
              <w:bidi w:val="0"/>
              <w:jc w:val="center"/>
              <w:rPr>
                <w:color w:val="0000FF"/>
              </w:rPr>
            </w:pPr>
          </w:p>
        </w:tc>
        <w:tc>
          <w:tcPr>
            <w:tcW w:w="1960" w:type="dxa"/>
            <w:tcBorders>
              <w:tl2br w:val="nil"/>
              <w:tr2bl w:val="nil"/>
            </w:tcBorders>
            <w:vAlign w:val="center"/>
          </w:tcPr>
          <w:p>
            <w:pPr>
              <w:pStyle w:val="22"/>
              <w:bidi w:val="0"/>
              <w:jc w:val="center"/>
              <w:rPr>
                <w:color w:val="0000FF"/>
              </w:rPr>
            </w:pPr>
            <w:r>
              <w:rPr>
                <w:color w:val="0000FF"/>
              </w:rPr>
              <w:t>1小时平均</w:t>
            </w:r>
          </w:p>
        </w:tc>
        <w:tc>
          <w:tcPr>
            <w:tcW w:w="1838" w:type="dxa"/>
            <w:tcBorders>
              <w:tl2br w:val="nil"/>
              <w:tr2bl w:val="nil"/>
            </w:tcBorders>
            <w:vAlign w:val="center"/>
          </w:tcPr>
          <w:p>
            <w:pPr>
              <w:pStyle w:val="22"/>
              <w:bidi w:val="0"/>
              <w:jc w:val="center"/>
              <w:rPr>
                <w:color w:val="0000FF"/>
              </w:rPr>
            </w:pPr>
            <w:r>
              <w:rPr>
                <w:color w:val="0000FF"/>
              </w:rPr>
              <w:t>0.2</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tcBorders>
              <w:tl2br w:val="nil"/>
              <w:tr2bl w:val="nil"/>
            </w:tcBorders>
            <w:vAlign w:val="center"/>
          </w:tcPr>
          <w:p>
            <w:pPr>
              <w:pStyle w:val="22"/>
              <w:bidi w:val="0"/>
              <w:jc w:val="center"/>
              <w:rPr>
                <w:color w:val="0000FF"/>
              </w:rPr>
            </w:pPr>
            <w:r>
              <w:rPr>
                <w:color w:val="0000FF"/>
              </w:rPr>
              <w:t>7</w:t>
            </w:r>
          </w:p>
        </w:tc>
        <w:tc>
          <w:tcPr>
            <w:tcW w:w="1369" w:type="dxa"/>
            <w:tcBorders>
              <w:tl2br w:val="nil"/>
              <w:tr2bl w:val="nil"/>
            </w:tcBorders>
            <w:vAlign w:val="center"/>
          </w:tcPr>
          <w:p>
            <w:pPr>
              <w:pStyle w:val="22"/>
              <w:bidi w:val="0"/>
              <w:jc w:val="center"/>
              <w:rPr>
                <w:color w:val="0000FF"/>
              </w:rPr>
            </w:pPr>
            <w:r>
              <w:rPr>
                <w:color w:val="0000FF"/>
              </w:rPr>
              <w:t>NH</w:t>
            </w:r>
            <w:r>
              <w:rPr>
                <w:color w:val="0000FF"/>
                <w:vertAlign w:val="subscript"/>
              </w:rPr>
              <w:t>3</w:t>
            </w:r>
          </w:p>
        </w:tc>
        <w:tc>
          <w:tcPr>
            <w:tcW w:w="1960" w:type="dxa"/>
            <w:tcBorders>
              <w:tl2br w:val="nil"/>
              <w:tr2bl w:val="nil"/>
            </w:tcBorders>
            <w:vAlign w:val="center"/>
          </w:tcPr>
          <w:p>
            <w:pPr>
              <w:pStyle w:val="22"/>
              <w:bidi w:val="0"/>
              <w:jc w:val="center"/>
              <w:rPr>
                <w:color w:val="0000FF"/>
              </w:rPr>
            </w:pPr>
            <w:r>
              <w:rPr>
                <w:color w:val="0000FF"/>
              </w:rPr>
              <w:t>1小时平均</w:t>
            </w:r>
          </w:p>
        </w:tc>
        <w:tc>
          <w:tcPr>
            <w:tcW w:w="1838" w:type="dxa"/>
            <w:tcBorders>
              <w:tl2br w:val="nil"/>
              <w:tr2bl w:val="nil"/>
            </w:tcBorders>
            <w:vAlign w:val="center"/>
          </w:tcPr>
          <w:p>
            <w:pPr>
              <w:pStyle w:val="22"/>
              <w:bidi w:val="0"/>
              <w:jc w:val="center"/>
              <w:rPr>
                <w:color w:val="0000FF"/>
              </w:rPr>
            </w:pPr>
            <w:r>
              <w:rPr>
                <w:color w:val="0000FF"/>
              </w:rPr>
              <w:t>0.2</w:t>
            </w:r>
          </w:p>
        </w:tc>
        <w:tc>
          <w:tcPr>
            <w:tcW w:w="2561" w:type="dxa"/>
            <w:vMerge w:val="restart"/>
            <w:tcBorders>
              <w:tl2br w:val="nil"/>
              <w:tr2bl w:val="nil"/>
            </w:tcBorders>
            <w:vAlign w:val="center"/>
          </w:tcPr>
          <w:p>
            <w:pPr>
              <w:pStyle w:val="22"/>
              <w:bidi w:val="0"/>
              <w:jc w:val="center"/>
              <w:rPr>
                <w:color w:val="0000FF"/>
              </w:rPr>
            </w:pPr>
            <w:r>
              <w:rPr>
                <w:color w:val="0000FF"/>
              </w:rPr>
              <w:t>HJ2.2-2018附录D表D.1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06" w:type="dxa"/>
            <w:tcBorders>
              <w:tl2br w:val="nil"/>
              <w:tr2bl w:val="nil"/>
            </w:tcBorders>
            <w:vAlign w:val="center"/>
          </w:tcPr>
          <w:p>
            <w:pPr>
              <w:pStyle w:val="22"/>
              <w:bidi w:val="0"/>
              <w:jc w:val="center"/>
              <w:rPr>
                <w:color w:val="0000FF"/>
              </w:rPr>
            </w:pPr>
            <w:r>
              <w:rPr>
                <w:color w:val="0000FF"/>
              </w:rPr>
              <w:t>8</w:t>
            </w:r>
          </w:p>
        </w:tc>
        <w:tc>
          <w:tcPr>
            <w:tcW w:w="1369" w:type="dxa"/>
            <w:tcBorders>
              <w:tl2br w:val="nil"/>
              <w:tr2bl w:val="nil"/>
            </w:tcBorders>
            <w:vAlign w:val="center"/>
          </w:tcPr>
          <w:p>
            <w:pPr>
              <w:pStyle w:val="22"/>
              <w:bidi w:val="0"/>
              <w:jc w:val="center"/>
              <w:rPr>
                <w:color w:val="0000FF"/>
              </w:rPr>
            </w:pPr>
            <w:r>
              <w:rPr>
                <w:color w:val="0000FF"/>
              </w:rPr>
              <w:t>H</w:t>
            </w:r>
            <w:r>
              <w:rPr>
                <w:color w:val="0000FF"/>
                <w:vertAlign w:val="subscript"/>
              </w:rPr>
              <w:t>2</w:t>
            </w:r>
            <w:r>
              <w:rPr>
                <w:color w:val="0000FF"/>
              </w:rPr>
              <w:t>S</w:t>
            </w:r>
          </w:p>
        </w:tc>
        <w:tc>
          <w:tcPr>
            <w:tcW w:w="1960" w:type="dxa"/>
            <w:tcBorders>
              <w:tl2br w:val="nil"/>
              <w:tr2bl w:val="nil"/>
            </w:tcBorders>
            <w:vAlign w:val="center"/>
          </w:tcPr>
          <w:p>
            <w:pPr>
              <w:pStyle w:val="22"/>
              <w:bidi w:val="0"/>
              <w:jc w:val="center"/>
              <w:rPr>
                <w:color w:val="0000FF"/>
              </w:rPr>
            </w:pPr>
            <w:r>
              <w:rPr>
                <w:color w:val="0000FF"/>
              </w:rPr>
              <w:t>1小时平均</w:t>
            </w:r>
          </w:p>
        </w:tc>
        <w:tc>
          <w:tcPr>
            <w:tcW w:w="1838" w:type="dxa"/>
            <w:tcBorders>
              <w:tl2br w:val="nil"/>
              <w:tr2bl w:val="nil"/>
            </w:tcBorders>
            <w:vAlign w:val="center"/>
          </w:tcPr>
          <w:p>
            <w:pPr>
              <w:pStyle w:val="22"/>
              <w:bidi w:val="0"/>
              <w:jc w:val="center"/>
              <w:rPr>
                <w:color w:val="0000FF"/>
              </w:rPr>
            </w:pPr>
            <w:r>
              <w:rPr>
                <w:color w:val="0000FF"/>
              </w:rPr>
              <w:t>0.01</w:t>
            </w:r>
          </w:p>
        </w:tc>
        <w:tc>
          <w:tcPr>
            <w:tcW w:w="2561"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06" w:type="dxa"/>
            <w:tcBorders>
              <w:tl2br w:val="nil"/>
              <w:tr2bl w:val="nil"/>
            </w:tcBorders>
            <w:vAlign w:val="center"/>
          </w:tcPr>
          <w:p>
            <w:pPr>
              <w:pStyle w:val="22"/>
              <w:bidi w:val="0"/>
              <w:jc w:val="center"/>
              <w:rPr>
                <w:color w:val="0000FF"/>
              </w:rPr>
            </w:pPr>
            <w:r>
              <w:rPr>
                <w:color w:val="0000FF"/>
              </w:rPr>
              <w:t>9</w:t>
            </w:r>
          </w:p>
        </w:tc>
        <w:tc>
          <w:tcPr>
            <w:tcW w:w="1369" w:type="dxa"/>
            <w:tcBorders>
              <w:tl2br w:val="nil"/>
              <w:tr2bl w:val="nil"/>
            </w:tcBorders>
            <w:vAlign w:val="center"/>
          </w:tcPr>
          <w:p>
            <w:pPr>
              <w:pStyle w:val="22"/>
              <w:bidi w:val="0"/>
              <w:jc w:val="center"/>
              <w:rPr>
                <w:color w:val="0000FF"/>
              </w:rPr>
            </w:pPr>
            <w:r>
              <w:rPr>
                <w:color w:val="0000FF"/>
              </w:rPr>
              <w:t>非甲烷总烃</w:t>
            </w:r>
          </w:p>
        </w:tc>
        <w:tc>
          <w:tcPr>
            <w:tcW w:w="1960" w:type="dxa"/>
            <w:tcBorders>
              <w:tl2br w:val="nil"/>
              <w:tr2bl w:val="nil"/>
            </w:tcBorders>
            <w:vAlign w:val="center"/>
          </w:tcPr>
          <w:p>
            <w:pPr>
              <w:pStyle w:val="22"/>
              <w:bidi w:val="0"/>
              <w:jc w:val="center"/>
              <w:rPr>
                <w:color w:val="0000FF"/>
              </w:rPr>
            </w:pPr>
            <w:r>
              <w:rPr>
                <w:color w:val="0000FF"/>
              </w:rPr>
              <w:t>1小时均值</w:t>
            </w:r>
          </w:p>
        </w:tc>
        <w:tc>
          <w:tcPr>
            <w:tcW w:w="1838" w:type="dxa"/>
            <w:tcBorders>
              <w:tl2br w:val="nil"/>
              <w:tr2bl w:val="nil"/>
            </w:tcBorders>
            <w:vAlign w:val="center"/>
          </w:tcPr>
          <w:p>
            <w:pPr>
              <w:pStyle w:val="22"/>
              <w:bidi w:val="0"/>
              <w:jc w:val="center"/>
              <w:rPr>
                <w:color w:val="0000FF"/>
              </w:rPr>
            </w:pPr>
            <w:r>
              <w:rPr>
                <w:color w:val="0000FF"/>
              </w:rPr>
              <w:t>2.0</w:t>
            </w:r>
          </w:p>
        </w:tc>
        <w:tc>
          <w:tcPr>
            <w:tcW w:w="2561" w:type="dxa"/>
            <w:tcBorders>
              <w:tl2br w:val="nil"/>
              <w:tr2bl w:val="nil"/>
            </w:tcBorders>
            <w:vAlign w:val="center"/>
          </w:tcPr>
          <w:p>
            <w:pPr>
              <w:pStyle w:val="22"/>
              <w:bidi w:val="0"/>
              <w:jc w:val="center"/>
              <w:rPr>
                <w:color w:val="0000FF"/>
              </w:rPr>
            </w:pPr>
            <w:r>
              <w:rPr>
                <w:color w:val="0000FF"/>
              </w:rPr>
              <w:t>（GB16297-1996）详解</w:t>
            </w:r>
          </w:p>
        </w:tc>
      </w:tr>
    </w:tbl>
    <w:p>
      <w:pPr>
        <w:bidi w:val="0"/>
        <w:rPr>
          <w:rFonts w:hint="eastAsia"/>
          <w:color w:val="0000FF"/>
          <w:lang w:val="en-US" w:eastAsia="zh-CN"/>
        </w:rPr>
      </w:pPr>
      <w:r>
        <w:rPr>
          <w:rFonts w:hint="eastAsia"/>
          <w:color w:val="0000FF"/>
          <w:lang w:val="en-US" w:eastAsia="zh-CN"/>
        </w:rPr>
        <w:t>（2）地表水</w:t>
      </w:r>
    </w:p>
    <w:p>
      <w:pPr>
        <w:bidi w:val="0"/>
        <w:rPr>
          <w:color w:val="0000FF"/>
        </w:rPr>
      </w:pPr>
      <w:r>
        <w:rPr>
          <w:rFonts w:hint="eastAsia"/>
          <w:color w:val="0000FF"/>
          <w:lang w:val="en-US" w:eastAsia="zh-CN"/>
        </w:rPr>
        <w:t>项目区东北侧为拉依苏水库，执行</w:t>
      </w:r>
      <w:r>
        <w:rPr>
          <w:rFonts w:hint="default"/>
          <w:color w:val="0000FF"/>
          <w:lang w:val="en-US" w:eastAsia="zh-CN"/>
        </w:rPr>
        <w:t>GB3838-2002</w:t>
      </w:r>
      <w:r>
        <w:rPr>
          <w:rFonts w:hint="eastAsia"/>
          <w:color w:val="0000FF"/>
          <w:lang w:val="en-US" w:eastAsia="zh-CN"/>
        </w:rPr>
        <w:t>《地表水环境质量标准》中Ⅲ类标准。标准值详见表2.5-2。</w:t>
      </w:r>
    </w:p>
    <w:p>
      <w:pPr>
        <w:pStyle w:val="22"/>
        <w:bidi w:val="0"/>
        <w:rPr>
          <w:b/>
          <w:bCs/>
          <w:color w:val="0000FF"/>
        </w:rPr>
      </w:pPr>
      <w:r>
        <w:rPr>
          <w:rFonts w:hint="eastAsia"/>
          <w:b/>
          <w:bCs/>
          <w:color w:val="0000FF"/>
          <w:lang w:val="en-US" w:eastAsia="zh-CN"/>
        </w:rPr>
        <w:t>表2.5-2   地表水环境质量标准   单位：</w:t>
      </w:r>
      <w:r>
        <w:rPr>
          <w:rFonts w:hint="default"/>
          <w:b/>
          <w:bCs/>
          <w:color w:val="0000FF"/>
          <w:lang w:val="en-US" w:eastAsia="zh-CN"/>
        </w:rPr>
        <w:t>mg/</w:t>
      </w:r>
      <w:r>
        <w:rPr>
          <w:rFonts w:hint="eastAsia"/>
          <w:b/>
          <w:bCs/>
          <w:color w:val="0000FF"/>
          <w:lang w:val="en-US" w:eastAsia="zh-CN"/>
        </w:rPr>
        <w:t>L（</w:t>
      </w:r>
      <w:r>
        <w:rPr>
          <w:rFonts w:hint="default"/>
          <w:b/>
          <w:bCs/>
          <w:color w:val="0000FF"/>
          <w:lang w:val="en-US" w:eastAsia="zh-CN"/>
        </w:rPr>
        <w:t>pH</w:t>
      </w:r>
      <w:r>
        <w:rPr>
          <w:rFonts w:hint="eastAsia"/>
          <w:b/>
          <w:bCs/>
          <w:color w:val="0000FF"/>
          <w:lang w:val="en-US" w:eastAsia="zh-CN"/>
        </w:rPr>
        <w:t>除外）</w:t>
      </w:r>
    </w:p>
    <w:tbl>
      <w:tblPr>
        <w:tblStyle w:val="23"/>
        <w:tblW w:w="83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2093"/>
        <w:gridCol w:w="1416"/>
        <w:gridCol w:w="875"/>
        <w:gridCol w:w="1786"/>
        <w:gridCol w:w="1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879" w:type="dxa"/>
            <w:tcBorders>
              <w:tl2br w:val="nil"/>
              <w:tr2bl w:val="nil"/>
            </w:tcBorders>
            <w:vAlign w:val="center"/>
          </w:tcPr>
          <w:p>
            <w:pPr>
              <w:pStyle w:val="22"/>
              <w:bidi w:val="0"/>
              <w:jc w:val="center"/>
              <w:rPr>
                <w:color w:val="0000FF"/>
              </w:rPr>
            </w:pPr>
            <w:r>
              <w:rPr>
                <w:color w:val="0000FF"/>
              </w:rPr>
              <w:t>序号</w:t>
            </w:r>
          </w:p>
        </w:tc>
        <w:tc>
          <w:tcPr>
            <w:tcW w:w="2093" w:type="dxa"/>
            <w:tcBorders>
              <w:tl2br w:val="nil"/>
              <w:tr2bl w:val="nil"/>
            </w:tcBorders>
            <w:vAlign w:val="center"/>
          </w:tcPr>
          <w:p>
            <w:pPr>
              <w:pStyle w:val="22"/>
              <w:bidi w:val="0"/>
              <w:jc w:val="center"/>
              <w:rPr>
                <w:color w:val="0000FF"/>
              </w:rPr>
            </w:pPr>
            <w:r>
              <w:rPr>
                <w:color w:val="0000FF"/>
              </w:rPr>
              <w:t>监测指标</w:t>
            </w:r>
          </w:p>
        </w:tc>
        <w:tc>
          <w:tcPr>
            <w:tcW w:w="1416" w:type="dxa"/>
            <w:tcBorders>
              <w:tl2br w:val="nil"/>
              <w:tr2bl w:val="nil"/>
            </w:tcBorders>
            <w:vAlign w:val="center"/>
          </w:tcPr>
          <w:p>
            <w:pPr>
              <w:pStyle w:val="22"/>
              <w:bidi w:val="0"/>
              <w:jc w:val="center"/>
              <w:rPr>
                <w:color w:val="0000FF"/>
              </w:rPr>
            </w:pPr>
            <w:r>
              <w:rPr>
                <w:color w:val="0000FF"/>
              </w:rPr>
              <w:t>标准值</w:t>
            </w:r>
          </w:p>
        </w:tc>
        <w:tc>
          <w:tcPr>
            <w:tcW w:w="875" w:type="dxa"/>
            <w:tcBorders>
              <w:tl2br w:val="nil"/>
              <w:tr2bl w:val="nil"/>
            </w:tcBorders>
            <w:vAlign w:val="center"/>
          </w:tcPr>
          <w:p>
            <w:pPr>
              <w:pStyle w:val="22"/>
              <w:bidi w:val="0"/>
              <w:jc w:val="center"/>
              <w:rPr>
                <w:color w:val="0000FF"/>
              </w:rPr>
            </w:pPr>
            <w:r>
              <w:rPr>
                <w:color w:val="0000FF"/>
              </w:rPr>
              <w:t>序号</w:t>
            </w:r>
          </w:p>
        </w:tc>
        <w:tc>
          <w:tcPr>
            <w:tcW w:w="1786" w:type="dxa"/>
            <w:tcBorders>
              <w:tl2br w:val="nil"/>
              <w:tr2bl w:val="nil"/>
            </w:tcBorders>
            <w:vAlign w:val="center"/>
          </w:tcPr>
          <w:p>
            <w:pPr>
              <w:pStyle w:val="22"/>
              <w:bidi w:val="0"/>
              <w:jc w:val="center"/>
              <w:rPr>
                <w:color w:val="0000FF"/>
              </w:rPr>
            </w:pPr>
            <w:r>
              <w:rPr>
                <w:color w:val="0000FF"/>
              </w:rPr>
              <w:t>监测指标</w:t>
            </w:r>
          </w:p>
        </w:tc>
        <w:tc>
          <w:tcPr>
            <w:tcW w:w="1264" w:type="dxa"/>
            <w:tcBorders>
              <w:tl2br w:val="nil"/>
              <w:tr2bl w:val="nil"/>
            </w:tcBorders>
            <w:vAlign w:val="center"/>
          </w:tcPr>
          <w:p>
            <w:pPr>
              <w:pStyle w:val="22"/>
              <w:bidi w:val="0"/>
              <w:jc w:val="center"/>
              <w:rPr>
                <w:color w:val="0000FF"/>
              </w:rPr>
            </w:pPr>
            <w:r>
              <w:rPr>
                <w:color w:val="0000FF"/>
              </w:rPr>
              <w:t>标准值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879" w:type="dxa"/>
            <w:tcBorders>
              <w:tl2br w:val="nil"/>
              <w:tr2bl w:val="nil"/>
            </w:tcBorders>
            <w:vAlign w:val="center"/>
          </w:tcPr>
          <w:p>
            <w:pPr>
              <w:pStyle w:val="22"/>
              <w:bidi w:val="0"/>
              <w:jc w:val="center"/>
              <w:rPr>
                <w:color w:val="0000FF"/>
              </w:rPr>
            </w:pPr>
            <w:r>
              <w:rPr>
                <w:color w:val="0000FF"/>
              </w:rPr>
              <w:t>1</w:t>
            </w:r>
          </w:p>
        </w:tc>
        <w:tc>
          <w:tcPr>
            <w:tcW w:w="2093" w:type="dxa"/>
            <w:tcBorders>
              <w:tl2br w:val="nil"/>
              <w:tr2bl w:val="nil"/>
            </w:tcBorders>
            <w:vAlign w:val="center"/>
          </w:tcPr>
          <w:p>
            <w:pPr>
              <w:pStyle w:val="22"/>
              <w:bidi w:val="0"/>
              <w:jc w:val="center"/>
              <w:rPr>
                <w:color w:val="0000FF"/>
              </w:rPr>
            </w:pPr>
            <w:r>
              <w:rPr>
                <w:color w:val="0000FF"/>
              </w:rPr>
              <w:t>pH</w:t>
            </w:r>
          </w:p>
        </w:tc>
        <w:tc>
          <w:tcPr>
            <w:tcW w:w="1416" w:type="dxa"/>
            <w:tcBorders>
              <w:tl2br w:val="nil"/>
              <w:tr2bl w:val="nil"/>
            </w:tcBorders>
            <w:vAlign w:val="center"/>
          </w:tcPr>
          <w:p>
            <w:pPr>
              <w:pStyle w:val="22"/>
              <w:bidi w:val="0"/>
              <w:jc w:val="center"/>
              <w:rPr>
                <w:color w:val="0000FF"/>
              </w:rPr>
            </w:pPr>
            <w:r>
              <w:rPr>
                <w:color w:val="0000FF"/>
              </w:rPr>
              <w:t>6～9</w:t>
            </w:r>
          </w:p>
        </w:tc>
        <w:tc>
          <w:tcPr>
            <w:tcW w:w="875" w:type="dxa"/>
            <w:tcBorders>
              <w:tl2br w:val="nil"/>
              <w:tr2bl w:val="nil"/>
            </w:tcBorders>
            <w:vAlign w:val="center"/>
          </w:tcPr>
          <w:p>
            <w:pPr>
              <w:pStyle w:val="22"/>
              <w:bidi w:val="0"/>
              <w:jc w:val="center"/>
              <w:rPr>
                <w:color w:val="0000FF"/>
              </w:rPr>
            </w:pPr>
            <w:r>
              <w:rPr>
                <w:color w:val="0000FF"/>
              </w:rPr>
              <w:t>8</w:t>
            </w:r>
          </w:p>
        </w:tc>
        <w:tc>
          <w:tcPr>
            <w:tcW w:w="1786" w:type="dxa"/>
            <w:tcBorders>
              <w:tl2br w:val="nil"/>
              <w:tr2bl w:val="nil"/>
            </w:tcBorders>
            <w:vAlign w:val="center"/>
          </w:tcPr>
          <w:p>
            <w:pPr>
              <w:pStyle w:val="22"/>
              <w:bidi w:val="0"/>
              <w:jc w:val="center"/>
              <w:rPr>
                <w:color w:val="0000FF"/>
              </w:rPr>
            </w:pPr>
            <w:r>
              <w:rPr>
                <w:color w:val="0000FF"/>
              </w:rPr>
              <w:t>氟化物</w:t>
            </w:r>
          </w:p>
        </w:tc>
        <w:tc>
          <w:tcPr>
            <w:tcW w:w="1264" w:type="dxa"/>
            <w:tcBorders>
              <w:tl2br w:val="nil"/>
              <w:tr2bl w:val="nil"/>
            </w:tcBorders>
            <w:vAlign w:val="center"/>
          </w:tcPr>
          <w:p>
            <w:pPr>
              <w:pStyle w:val="22"/>
              <w:bidi w:val="0"/>
              <w:jc w:val="center"/>
              <w:rPr>
                <w:color w:val="0000FF"/>
              </w:rPr>
            </w:pPr>
            <w:r>
              <w:rPr>
                <w:color w:val="0000FF"/>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879" w:type="dxa"/>
            <w:tcBorders>
              <w:tl2br w:val="nil"/>
              <w:tr2bl w:val="nil"/>
            </w:tcBorders>
            <w:vAlign w:val="center"/>
          </w:tcPr>
          <w:p>
            <w:pPr>
              <w:pStyle w:val="22"/>
              <w:bidi w:val="0"/>
              <w:jc w:val="center"/>
              <w:rPr>
                <w:color w:val="0000FF"/>
              </w:rPr>
            </w:pPr>
            <w:r>
              <w:rPr>
                <w:color w:val="0000FF"/>
              </w:rPr>
              <w:t>2</w:t>
            </w:r>
          </w:p>
        </w:tc>
        <w:tc>
          <w:tcPr>
            <w:tcW w:w="2093" w:type="dxa"/>
            <w:tcBorders>
              <w:tl2br w:val="nil"/>
              <w:tr2bl w:val="nil"/>
            </w:tcBorders>
            <w:vAlign w:val="center"/>
          </w:tcPr>
          <w:p>
            <w:pPr>
              <w:pStyle w:val="22"/>
              <w:bidi w:val="0"/>
              <w:jc w:val="center"/>
              <w:rPr>
                <w:color w:val="0000FF"/>
              </w:rPr>
            </w:pPr>
            <w:r>
              <w:rPr>
                <w:color w:val="0000FF"/>
              </w:rPr>
              <w:t>溶解氧</w:t>
            </w:r>
          </w:p>
        </w:tc>
        <w:tc>
          <w:tcPr>
            <w:tcW w:w="1416" w:type="dxa"/>
            <w:tcBorders>
              <w:tl2br w:val="nil"/>
              <w:tr2bl w:val="nil"/>
            </w:tcBorders>
            <w:vAlign w:val="center"/>
          </w:tcPr>
          <w:p>
            <w:pPr>
              <w:pStyle w:val="22"/>
              <w:bidi w:val="0"/>
              <w:jc w:val="center"/>
              <w:rPr>
                <w:color w:val="0000FF"/>
              </w:rPr>
            </w:pPr>
            <w:r>
              <w:rPr>
                <w:color w:val="0000FF"/>
              </w:rPr>
              <w:t>5</w:t>
            </w:r>
          </w:p>
        </w:tc>
        <w:tc>
          <w:tcPr>
            <w:tcW w:w="875" w:type="dxa"/>
            <w:tcBorders>
              <w:tl2br w:val="nil"/>
              <w:tr2bl w:val="nil"/>
            </w:tcBorders>
            <w:vAlign w:val="center"/>
          </w:tcPr>
          <w:p>
            <w:pPr>
              <w:pStyle w:val="22"/>
              <w:bidi w:val="0"/>
              <w:jc w:val="center"/>
              <w:rPr>
                <w:color w:val="0000FF"/>
              </w:rPr>
            </w:pPr>
            <w:r>
              <w:rPr>
                <w:color w:val="0000FF"/>
              </w:rPr>
              <w:t>9</w:t>
            </w:r>
          </w:p>
        </w:tc>
        <w:tc>
          <w:tcPr>
            <w:tcW w:w="1786" w:type="dxa"/>
            <w:tcBorders>
              <w:tl2br w:val="nil"/>
              <w:tr2bl w:val="nil"/>
            </w:tcBorders>
            <w:vAlign w:val="center"/>
          </w:tcPr>
          <w:p>
            <w:pPr>
              <w:pStyle w:val="22"/>
              <w:bidi w:val="0"/>
              <w:jc w:val="center"/>
              <w:rPr>
                <w:color w:val="0000FF"/>
              </w:rPr>
            </w:pPr>
            <w:r>
              <w:rPr>
                <w:color w:val="0000FF"/>
              </w:rPr>
              <w:t>氰化物</w:t>
            </w:r>
          </w:p>
        </w:tc>
        <w:tc>
          <w:tcPr>
            <w:tcW w:w="1264" w:type="dxa"/>
            <w:tcBorders>
              <w:tl2br w:val="nil"/>
              <w:tr2bl w:val="nil"/>
            </w:tcBorders>
            <w:vAlign w:val="center"/>
          </w:tcPr>
          <w:p>
            <w:pPr>
              <w:pStyle w:val="22"/>
              <w:bidi w:val="0"/>
              <w:jc w:val="center"/>
              <w:rPr>
                <w:color w:val="0000FF"/>
              </w:rPr>
            </w:pPr>
            <w:r>
              <w:rPr>
                <w:color w:val="0000FF"/>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879" w:type="dxa"/>
            <w:tcBorders>
              <w:tl2br w:val="nil"/>
              <w:tr2bl w:val="nil"/>
            </w:tcBorders>
            <w:vAlign w:val="center"/>
          </w:tcPr>
          <w:p>
            <w:pPr>
              <w:pStyle w:val="22"/>
              <w:bidi w:val="0"/>
              <w:jc w:val="center"/>
              <w:rPr>
                <w:color w:val="0000FF"/>
              </w:rPr>
            </w:pPr>
            <w:r>
              <w:rPr>
                <w:color w:val="0000FF"/>
              </w:rPr>
              <w:t>3</w:t>
            </w:r>
          </w:p>
        </w:tc>
        <w:tc>
          <w:tcPr>
            <w:tcW w:w="2093" w:type="dxa"/>
            <w:tcBorders>
              <w:tl2br w:val="nil"/>
              <w:tr2bl w:val="nil"/>
            </w:tcBorders>
            <w:vAlign w:val="center"/>
          </w:tcPr>
          <w:p>
            <w:pPr>
              <w:pStyle w:val="22"/>
              <w:bidi w:val="0"/>
              <w:ind w:firstLine="0" w:firstLineChars="0"/>
              <w:rPr>
                <w:color w:val="0000FF"/>
              </w:rPr>
            </w:pPr>
            <w:r>
              <w:rPr>
                <w:rFonts w:hint="default"/>
                <w:color w:val="0000FF"/>
                <w:lang w:val="en-US" w:eastAsia="zh-CN"/>
              </w:rPr>
              <w:t>CODcr</w:t>
            </w:r>
          </w:p>
        </w:tc>
        <w:tc>
          <w:tcPr>
            <w:tcW w:w="1416" w:type="dxa"/>
            <w:tcBorders>
              <w:tl2br w:val="nil"/>
              <w:tr2bl w:val="nil"/>
            </w:tcBorders>
            <w:vAlign w:val="center"/>
          </w:tcPr>
          <w:p>
            <w:pPr>
              <w:pStyle w:val="22"/>
              <w:bidi w:val="0"/>
              <w:jc w:val="center"/>
              <w:rPr>
                <w:color w:val="0000FF"/>
              </w:rPr>
            </w:pPr>
            <w:r>
              <w:rPr>
                <w:color w:val="0000FF"/>
              </w:rPr>
              <w:t>20</w:t>
            </w:r>
          </w:p>
        </w:tc>
        <w:tc>
          <w:tcPr>
            <w:tcW w:w="875" w:type="dxa"/>
            <w:tcBorders>
              <w:tl2br w:val="nil"/>
              <w:tr2bl w:val="nil"/>
            </w:tcBorders>
            <w:vAlign w:val="center"/>
          </w:tcPr>
          <w:p>
            <w:pPr>
              <w:pStyle w:val="22"/>
              <w:bidi w:val="0"/>
              <w:jc w:val="center"/>
              <w:rPr>
                <w:color w:val="0000FF"/>
              </w:rPr>
            </w:pPr>
            <w:r>
              <w:rPr>
                <w:color w:val="0000FF"/>
              </w:rPr>
              <w:t>10</w:t>
            </w:r>
          </w:p>
        </w:tc>
        <w:tc>
          <w:tcPr>
            <w:tcW w:w="1786" w:type="dxa"/>
            <w:tcBorders>
              <w:tl2br w:val="nil"/>
              <w:tr2bl w:val="nil"/>
            </w:tcBorders>
            <w:vAlign w:val="center"/>
          </w:tcPr>
          <w:p>
            <w:pPr>
              <w:pStyle w:val="22"/>
              <w:bidi w:val="0"/>
              <w:jc w:val="center"/>
              <w:rPr>
                <w:color w:val="0000FF"/>
              </w:rPr>
            </w:pPr>
            <w:r>
              <w:rPr>
                <w:color w:val="0000FF"/>
              </w:rPr>
              <w:t>六价铬</w:t>
            </w:r>
          </w:p>
        </w:tc>
        <w:tc>
          <w:tcPr>
            <w:tcW w:w="1264" w:type="dxa"/>
            <w:tcBorders>
              <w:tl2br w:val="nil"/>
              <w:tr2bl w:val="nil"/>
            </w:tcBorders>
            <w:vAlign w:val="center"/>
          </w:tcPr>
          <w:p>
            <w:pPr>
              <w:pStyle w:val="22"/>
              <w:bidi w:val="0"/>
              <w:jc w:val="center"/>
              <w:rPr>
                <w:color w:val="0000FF"/>
              </w:rPr>
            </w:pPr>
            <w:r>
              <w:rPr>
                <w:color w:val="0000FF"/>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879" w:type="dxa"/>
            <w:tcBorders>
              <w:tl2br w:val="nil"/>
              <w:tr2bl w:val="nil"/>
            </w:tcBorders>
            <w:vAlign w:val="center"/>
          </w:tcPr>
          <w:p>
            <w:pPr>
              <w:pStyle w:val="22"/>
              <w:bidi w:val="0"/>
              <w:jc w:val="center"/>
              <w:rPr>
                <w:color w:val="0000FF"/>
              </w:rPr>
            </w:pPr>
            <w:r>
              <w:rPr>
                <w:color w:val="0000FF"/>
              </w:rPr>
              <w:t>4</w:t>
            </w:r>
          </w:p>
        </w:tc>
        <w:tc>
          <w:tcPr>
            <w:tcW w:w="2093" w:type="dxa"/>
            <w:tcBorders>
              <w:tl2br w:val="nil"/>
              <w:tr2bl w:val="nil"/>
            </w:tcBorders>
            <w:vAlign w:val="center"/>
          </w:tcPr>
          <w:p>
            <w:pPr>
              <w:pStyle w:val="22"/>
              <w:bidi w:val="0"/>
              <w:ind w:firstLine="0" w:firstLineChars="0"/>
              <w:rPr>
                <w:color w:val="0000FF"/>
              </w:rPr>
            </w:pPr>
            <w:r>
              <w:rPr>
                <w:rFonts w:hint="default"/>
                <w:color w:val="0000FF"/>
                <w:lang w:val="en-US" w:eastAsia="zh-CN"/>
              </w:rPr>
              <w:t>BOD</w:t>
            </w:r>
            <w:r>
              <w:rPr>
                <w:rFonts w:hint="default"/>
                <w:color w:val="0000FF"/>
                <w:vertAlign w:val="subscript"/>
                <w:lang w:val="en-US" w:eastAsia="zh-CN"/>
              </w:rPr>
              <w:t>5</w:t>
            </w:r>
          </w:p>
        </w:tc>
        <w:tc>
          <w:tcPr>
            <w:tcW w:w="1416" w:type="dxa"/>
            <w:tcBorders>
              <w:tl2br w:val="nil"/>
              <w:tr2bl w:val="nil"/>
            </w:tcBorders>
            <w:vAlign w:val="center"/>
          </w:tcPr>
          <w:p>
            <w:pPr>
              <w:pStyle w:val="22"/>
              <w:bidi w:val="0"/>
              <w:jc w:val="center"/>
              <w:rPr>
                <w:color w:val="0000FF"/>
              </w:rPr>
            </w:pPr>
            <w:r>
              <w:rPr>
                <w:color w:val="0000FF"/>
              </w:rPr>
              <w:t>4</w:t>
            </w:r>
          </w:p>
        </w:tc>
        <w:tc>
          <w:tcPr>
            <w:tcW w:w="875" w:type="dxa"/>
            <w:tcBorders>
              <w:tl2br w:val="nil"/>
              <w:tr2bl w:val="nil"/>
            </w:tcBorders>
            <w:vAlign w:val="center"/>
          </w:tcPr>
          <w:p>
            <w:pPr>
              <w:pStyle w:val="22"/>
              <w:bidi w:val="0"/>
              <w:jc w:val="center"/>
              <w:rPr>
                <w:color w:val="0000FF"/>
              </w:rPr>
            </w:pPr>
            <w:r>
              <w:rPr>
                <w:color w:val="0000FF"/>
              </w:rPr>
              <w:t>11</w:t>
            </w:r>
          </w:p>
        </w:tc>
        <w:tc>
          <w:tcPr>
            <w:tcW w:w="1786"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挥发酚</w:t>
            </w:r>
          </w:p>
        </w:tc>
        <w:tc>
          <w:tcPr>
            <w:tcW w:w="1264" w:type="dxa"/>
            <w:tcBorders>
              <w:tl2br w:val="nil"/>
              <w:tr2bl w:val="nil"/>
            </w:tcBorders>
            <w:vAlign w:val="center"/>
          </w:tcPr>
          <w:p>
            <w:pPr>
              <w:pStyle w:val="22"/>
              <w:bidi w:val="0"/>
              <w:jc w:val="center"/>
              <w:rPr>
                <w:color w:val="0000FF"/>
              </w:rPr>
            </w:pPr>
            <w:r>
              <w:rPr>
                <w:rFonts w:hint="eastAsia"/>
                <w:color w:val="0000FF"/>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879" w:type="dxa"/>
            <w:tcBorders>
              <w:tl2br w:val="nil"/>
              <w:tr2bl w:val="nil"/>
            </w:tcBorders>
            <w:vAlign w:val="center"/>
          </w:tcPr>
          <w:p>
            <w:pPr>
              <w:pStyle w:val="22"/>
              <w:bidi w:val="0"/>
              <w:jc w:val="center"/>
              <w:rPr>
                <w:color w:val="0000FF"/>
              </w:rPr>
            </w:pPr>
            <w:r>
              <w:rPr>
                <w:color w:val="0000FF"/>
              </w:rPr>
              <w:t>5</w:t>
            </w:r>
          </w:p>
        </w:tc>
        <w:tc>
          <w:tcPr>
            <w:tcW w:w="2093" w:type="dxa"/>
            <w:tcBorders>
              <w:tl2br w:val="nil"/>
              <w:tr2bl w:val="nil"/>
            </w:tcBorders>
            <w:vAlign w:val="center"/>
          </w:tcPr>
          <w:p>
            <w:pPr>
              <w:pStyle w:val="22"/>
              <w:bidi w:val="0"/>
              <w:jc w:val="center"/>
              <w:rPr>
                <w:color w:val="0000FF"/>
              </w:rPr>
            </w:pPr>
            <w:r>
              <w:rPr>
                <w:color w:val="0000FF"/>
              </w:rPr>
              <w:t>氨氮</w:t>
            </w:r>
          </w:p>
        </w:tc>
        <w:tc>
          <w:tcPr>
            <w:tcW w:w="1416" w:type="dxa"/>
            <w:tcBorders>
              <w:tl2br w:val="nil"/>
              <w:tr2bl w:val="nil"/>
            </w:tcBorders>
            <w:vAlign w:val="center"/>
          </w:tcPr>
          <w:p>
            <w:pPr>
              <w:pStyle w:val="22"/>
              <w:bidi w:val="0"/>
              <w:jc w:val="center"/>
              <w:rPr>
                <w:color w:val="0000FF"/>
              </w:rPr>
            </w:pPr>
            <w:r>
              <w:rPr>
                <w:color w:val="0000FF"/>
              </w:rPr>
              <w:t>1.0</w:t>
            </w:r>
          </w:p>
        </w:tc>
        <w:tc>
          <w:tcPr>
            <w:tcW w:w="875" w:type="dxa"/>
            <w:tcBorders>
              <w:tl2br w:val="nil"/>
              <w:tr2bl w:val="nil"/>
            </w:tcBorders>
            <w:vAlign w:val="center"/>
          </w:tcPr>
          <w:p>
            <w:pPr>
              <w:pStyle w:val="22"/>
              <w:bidi w:val="0"/>
              <w:jc w:val="center"/>
              <w:rPr>
                <w:color w:val="0000FF"/>
              </w:rPr>
            </w:pPr>
            <w:r>
              <w:rPr>
                <w:color w:val="0000FF"/>
              </w:rPr>
              <w:t>12</w:t>
            </w:r>
          </w:p>
        </w:tc>
        <w:tc>
          <w:tcPr>
            <w:tcW w:w="1786"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硫酸盐</w:t>
            </w:r>
          </w:p>
        </w:tc>
        <w:tc>
          <w:tcPr>
            <w:tcW w:w="1264" w:type="dxa"/>
            <w:tcBorders>
              <w:tl2br w:val="nil"/>
              <w:tr2bl w:val="nil"/>
            </w:tcBorders>
            <w:vAlign w:val="center"/>
          </w:tcPr>
          <w:p>
            <w:pPr>
              <w:pStyle w:val="22"/>
              <w:bidi w:val="0"/>
              <w:jc w:val="center"/>
              <w:rPr>
                <w:color w:val="0000FF"/>
              </w:rPr>
            </w:pPr>
            <w:r>
              <w:rPr>
                <w:rFonts w:ascii="Times New Roman" w:hAnsi="Times New Roman" w:eastAsia="Times New Roman" w:cs="Times New Roman"/>
                <w:color w:val="0000FF"/>
                <w:spacing w:val="-1"/>
                <w:sz w:val="21"/>
                <w:szCs w:val="21"/>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879" w:type="dxa"/>
            <w:tcBorders>
              <w:tl2br w:val="nil"/>
              <w:tr2bl w:val="nil"/>
            </w:tcBorders>
            <w:vAlign w:val="center"/>
          </w:tcPr>
          <w:p>
            <w:pPr>
              <w:pStyle w:val="22"/>
              <w:bidi w:val="0"/>
              <w:jc w:val="center"/>
              <w:rPr>
                <w:color w:val="0000FF"/>
              </w:rPr>
            </w:pPr>
            <w:r>
              <w:rPr>
                <w:color w:val="0000FF"/>
              </w:rPr>
              <w:t>6</w:t>
            </w:r>
          </w:p>
        </w:tc>
        <w:tc>
          <w:tcPr>
            <w:tcW w:w="2093" w:type="dxa"/>
            <w:tcBorders>
              <w:tl2br w:val="nil"/>
              <w:tr2bl w:val="nil"/>
            </w:tcBorders>
            <w:vAlign w:val="center"/>
          </w:tcPr>
          <w:p>
            <w:pPr>
              <w:pStyle w:val="22"/>
              <w:bidi w:val="0"/>
              <w:jc w:val="center"/>
              <w:rPr>
                <w:color w:val="0000FF"/>
              </w:rPr>
            </w:pPr>
            <w:r>
              <w:rPr>
                <w:color w:val="0000FF"/>
              </w:rPr>
              <w:t>总磷</w:t>
            </w:r>
          </w:p>
        </w:tc>
        <w:tc>
          <w:tcPr>
            <w:tcW w:w="1416" w:type="dxa"/>
            <w:tcBorders>
              <w:tl2br w:val="nil"/>
              <w:tr2bl w:val="nil"/>
            </w:tcBorders>
            <w:vAlign w:val="center"/>
          </w:tcPr>
          <w:p>
            <w:pPr>
              <w:pStyle w:val="22"/>
              <w:bidi w:val="0"/>
              <w:jc w:val="center"/>
              <w:rPr>
                <w:color w:val="0000FF"/>
              </w:rPr>
            </w:pPr>
            <w:r>
              <w:rPr>
                <w:color w:val="0000FF"/>
              </w:rPr>
              <w:t>0.05</w:t>
            </w:r>
          </w:p>
        </w:tc>
        <w:tc>
          <w:tcPr>
            <w:tcW w:w="875" w:type="dxa"/>
            <w:tcBorders>
              <w:tl2br w:val="nil"/>
              <w:tr2bl w:val="nil"/>
            </w:tcBorders>
            <w:vAlign w:val="center"/>
          </w:tcPr>
          <w:p>
            <w:pPr>
              <w:pStyle w:val="22"/>
              <w:bidi w:val="0"/>
              <w:jc w:val="center"/>
              <w:rPr>
                <w:color w:val="0000FF"/>
              </w:rPr>
            </w:pPr>
            <w:r>
              <w:rPr>
                <w:color w:val="0000FF"/>
              </w:rPr>
              <w:t>13</w:t>
            </w:r>
          </w:p>
        </w:tc>
        <w:tc>
          <w:tcPr>
            <w:tcW w:w="1786" w:type="dxa"/>
            <w:tcBorders>
              <w:tl2br w:val="nil"/>
              <w:tr2bl w:val="nil"/>
            </w:tcBorders>
            <w:vAlign w:val="center"/>
          </w:tcPr>
          <w:p>
            <w:pPr>
              <w:pStyle w:val="22"/>
              <w:bidi w:val="0"/>
              <w:jc w:val="center"/>
              <w:rPr>
                <w:color w:val="0000FF"/>
              </w:rPr>
            </w:pPr>
            <w:r>
              <w:rPr>
                <w:color w:val="0000FF"/>
              </w:rPr>
              <w:t>粪大肠菌群</w:t>
            </w:r>
          </w:p>
        </w:tc>
        <w:tc>
          <w:tcPr>
            <w:tcW w:w="1264" w:type="dxa"/>
            <w:tcBorders>
              <w:tl2br w:val="nil"/>
              <w:tr2bl w:val="nil"/>
            </w:tcBorders>
            <w:vAlign w:val="center"/>
          </w:tcPr>
          <w:p>
            <w:pPr>
              <w:pStyle w:val="22"/>
              <w:bidi w:val="0"/>
              <w:jc w:val="center"/>
              <w:rPr>
                <w:color w:val="0000FF"/>
              </w:rPr>
            </w:pPr>
            <w:r>
              <w:rPr>
                <w:color w:val="0000FF"/>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879" w:type="dxa"/>
            <w:tcBorders>
              <w:tl2br w:val="nil"/>
              <w:tr2bl w:val="nil"/>
            </w:tcBorders>
            <w:vAlign w:val="center"/>
          </w:tcPr>
          <w:p>
            <w:pPr>
              <w:pStyle w:val="22"/>
              <w:bidi w:val="0"/>
              <w:jc w:val="center"/>
              <w:rPr>
                <w:color w:val="0000FF"/>
              </w:rPr>
            </w:pPr>
            <w:r>
              <w:rPr>
                <w:color w:val="0000FF"/>
              </w:rPr>
              <w:t>7</w:t>
            </w:r>
          </w:p>
        </w:tc>
        <w:tc>
          <w:tcPr>
            <w:tcW w:w="2093" w:type="dxa"/>
            <w:tcBorders>
              <w:tl2br w:val="nil"/>
              <w:tr2bl w:val="nil"/>
            </w:tcBorders>
            <w:vAlign w:val="center"/>
          </w:tcPr>
          <w:p>
            <w:pPr>
              <w:pStyle w:val="22"/>
              <w:bidi w:val="0"/>
              <w:jc w:val="center"/>
              <w:rPr>
                <w:color w:val="0000FF"/>
              </w:rPr>
            </w:pPr>
            <w:r>
              <w:rPr>
                <w:color w:val="0000FF"/>
              </w:rPr>
              <w:t>总氮</w:t>
            </w:r>
          </w:p>
        </w:tc>
        <w:tc>
          <w:tcPr>
            <w:tcW w:w="1416" w:type="dxa"/>
            <w:tcBorders>
              <w:tl2br w:val="nil"/>
              <w:tr2bl w:val="nil"/>
            </w:tcBorders>
            <w:vAlign w:val="center"/>
          </w:tcPr>
          <w:p>
            <w:pPr>
              <w:pStyle w:val="22"/>
              <w:bidi w:val="0"/>
              <w:jc w:val="center"/>
              <w:rPr>
                <w:color w:val="0000FF"/>
              </w:rPr>
            </w:pPr>
            <w:r>
              <w:rPr>
                <w:color w:val="0000FF"/>
              </w:rPr>
              <w:t>1.0</w:t>
            </w:r>
          </w:p>
        </w:tc>
        <w:tc>
          <w:tcPr>
            <w:tcW w:w="875" w:type="dxa"/>
            <w:tcBorders>
              <w:tl2br w:val="nil"/>
              <w:tr2bl w:val="nil"/>
            </w:tcBorders>
            <w:vAlign w:val="center"/>
          </w:tcPr>
          <w:p>
            <w:pPr>
              <w:pStyle w:val="22"/>
              <w:bidi w:val="0"/>
              <w:jc w:val="center"/>
              <w:rPr>
                <w:color w:val="0000FF"/>
              </w:rPr>
            </w:pPr>
          </w:p>
        </w:tc>
        <w:tc>
          <w:tcPr>
            <w:tcW w:w="1786" w:type="dxa"/>
            <w:tcBorders>
              <w:tl2br w:val="nil"/>
              <w:tr2bl w:val="nil"/>
            </w:tcBorders>
            <w:vAlign w:val="center"/>
          </w:tcPr>
          <w:p>
            <w:pPr>
              <w:pStyle w:val="22"/>
              <w:bidi w:val="0"/>
              <w:jc w:val="center"/>
              <w:rPr>
                <w:color w:val="0000FF"/>
              </w:rPr>
            </w:pPr>
          </w:p>
        </w:tc>
        <w:tc>
          <w:tcPr>
            <w:tcW w:w="1264" w:type="dxa"/>
            <w:tcBorders>
              <w:tl2br w:val="nil"/>
              <w:tr2bl w:val="nil"/>
            </w:tcBorders>
            <w:vAlign w:val="center"/>
          </w:tcPr>
          <w:p>
            <w:pPr>
              <w:pStyle w:val="22"/>
              <w:bidi w:val="0"/>
              <w:jc w:val="center"/>
              <w:rPr>
                <w:color w:val="0000FF"/>
              </w:rPr>
            </w:pPr>
          </w:p>
        </w:tc>
      </w:tr>
    </w:tbl>
    <w:p>
      <w:pPr>
        <w:bidi w:val="0"/>
        <w:rPr>
          <w:rFonts w:hint="default"/>
          <w:color w:val="0000FF"/>
          <w:lang w:val="en-US" w:eastAsia="zh-CN"/>
        </w:rPr>
      </w:pPr>
      <w:r>
        <w:rPr>
          <w:rFonts w:hint="eastAsia"/>
          <w:color w:val="0000FF"/>
          <w:lang w:val="en-US" w:eastAsia="zh-CN"/>
        </w:rPr>
        <w:t>（3）噪声</w:t>
      </w:r>
    </w:p>
    <w:p>
      <w:pPr>
        <w:keepNext w:val="0"/>
        <w:keepLines w:val="0"/>
        <w:widowControl/>
        <w:suppressLineNumbers w:val="0"/>
        <w:jc w:val="left"/>
        <w:rPr>
          <w:color w:val="0000FF"/>
        </w:rPr>
      </w:pPr>
      <w:r>
        <w:rPr>
          <w:rFonts w:hint="eastAsia"/>
          <w:color w:val="0000FF"/>
          <w:lang w:val="en-US" w:eastAsia="zh-CN"/>
        </w:rPr>
        <w:t>本项目所在区域属于</w:t>
      </w:r>
      <w:r>
        <w:rPr>
          <w:rFonts w:hint="default"/>
          <w:color w:val="0000FF"/>
          <w:lang w:val="en-US" w:eastAsia="zh-CN"/>
        </w:rPr>
        <w:t>GB3096-2008</w:t>
      </w:r>
      <w:r>
        <w:rPr>
          <w:rFonts w:hint="eastAsia"/>
          <w:color w:val="0000FF"/>
          <w:lang w:val="en-US" w:eastAsia="zh-CN"/>
        </w:rPr>
        <w:t>《声环境质量标准》中的</w:t>
      </w:r>
      <w:r>
        <w:rPr>
          <w:rFonts w:hint="default"/>
          <w:color w:val="0000FF"/>
          <w:lang w:val="en-US" w:eastAsia="zh-CN"/>
        </w:rPr>
        <w:t>1</w:t>
      </w:r>
      <w:r>
        <w:rPr>
          <w:rFonts w:hint="eastAsia"/>
          <w:color w:val="0000FF"/>
          <w:lang w:val="en-US" w:eastAsia="zh-CN"/>
        </w:rPr>
        <w:t>类声环境功能区，执行</w:t>
      </w:r>
      <w:r>
        <w:rPr>
          <w:rFonts w:hint="default"/>
          <w:color w:val="0000FF"/>
          <w:lang w:val="en-US" w:eastAsia="zh-CN"/>
        </w:rPr>
        <w:t>GB3096-2008</w:t>
      </w:r>
      <w:r>
        <w:rPr>
          <w:rFonts w:hint="eastAsia"/>
          <w:color w:val="0000FF"/>
          <w:lang w:val="en-US" w:eastAsia="zh-CN"/>
        </w:rPr>
        <w:t>《声环境质量标准》中</w:t>
      </w:r>
      <w:r>
        <w:rPr>
          <w:rFonts w:hint="default"/>
          <w:color w:val="0000FF"/>
          <w:lang w:val="en-US" w:eastAsia="zh-CN"/>
        </w:rPr>
        <w:t>1</w:t>
      </w:r>
      <w:r>
        <w:rPr>
          <w:rFonts w:hint="eastAsia"/>
          <w:color w:val="0000FF"/>
          <w:lang w:val="en-US" w:eastAsia="zh-CN"/>
        </w:rPr>
        <w:t>类标准。</w:t>
      </w:r>
      <w:r>
        <w:rPr>
          <w:rFonts w:hint="eastAsia" w:ascii="宋体" w:hAnsi="宋体" w:eastAsia="宋体" w:cs="宋体"/>
          <w:color w:val="0000FF"/>
          <w:kern w:val="0"/>
          <w:sz w:val="24"/>
          <w:szCs w:val="24"/>
          <w:lang w:val="en-US" w:eastAsia="zh-CN" w:bidi="ar"/>
        </w:rPr>
        <w:t>见表</w:t>
      </w:r>
      <w:r>
        <w:rPr>
          <w:rFonts w:hint="default" w:ascii="Times New Roman" w:hAnsi="Times New Roman" w:eastAsia="宋体" w:cs="Times New Roman"/>
          <w:color w:val="0000FF"/>
          <w:kern w:val="0"/>
          <w:sz w:val="24"/>
          <w:szCs w:val="24"/>
          <w:lang w:val="en-US" w:eastAsia="zh-CN" w:bidi="ar"/>
        </w:rPr>
        <w:t>2.</w:t>
      </w:r>
      <w:r>
        <w:rPr>
          <w:rFonts w:hint="eastAsia" w:ascii="Times New Roman" w:hAnsi="Times New Roman" w:eastAsia="宋体" w:cs="Times New Roman"/>
          <w:color w:val="0000FF"/>
          <w:kern w:val="0"/>
          <w:sz w:val="24"/>
          <w:szCs w:val="24"/>
          <w:lang w:val="en-US" w:eastAsia="zh-CN" w:bidi="ar"/>
        </w:rPr>
        <w:t>5</w:t>
      </w:r>
      <w:r>
        <w:rPr>
          <w:rFonts w:hint="default" w:ascii="Times New Roman" w:hAnsi="Times New Roman" w:eastAsia="宋体" w:cs="Times New Roman"/>
          <w:color w:val="0000FF"/>
          <w:kern w:val="0"/>
          <w:sz w:val="24"/>
          <w:szCs w:val="24"/>
          <w:lang w:val="en-US" w:eastAsia="zh-CN" w:bidi="ar"/>
        </w:rPr>
        <w:t>-</w:t>
      </w:r>
      <w:r>
        <w:rPr>
          <w:rFonts w:hint="eastAsia" w:ascii="Times New Roman" w:hAnsi="Times New Roman" w:eastAsia="宋体" w:cs="Times New Roman"/>
          <w:color w:val="0000FF"/>
          <w:kern w:val="0"/>
          <w:sz w:val="24"/>
          <w:szCs w:val="24"/>
          <w:lang w:val="en-US" w:eastAsia="zh-CN" w:bidi="ar"/>
        </w:rPr>
        <w:t>3</w:t>
      </w:r>
      <w:r>
        <w:rPr>
          <w:rFonts w:hint="eastAsia" w:ascii="宋体" w:hAnsi="宋体" w:eastAsia="宋体" w:cs="宋体"/>
          <w:color w:val="0000FF"/>
          <w:kern w:val="0"/>
          <w:sz w:val="24"/>
          <w:szCs w:val="24"/>
          <w:lang w:val="en-US" w:eastAsia="zh-CN" w:bidi="ar"/>
        </w:rPr>
        <w:t>。</w:t>
      </w:r>
    </w:p>
    <w:p>
      <w:pPr>
        <w:pStyle w:val="22"/>
        <w:bidi w:val="0"/>
        <w:rPr>
          <w:b/>
          <w:bCs/>
          <w:color w:val="0000FF"/>
        </w:rPr>
      </w:pPr>
      <w:r>
        <w:rPr>
          <w:b/>
          <w:bCs/>
          <w:color w:val="0000FF"/>
        </w:rPr>
        <w:t>表2.</w:t>
      </w:r>
      <w:r>
        <w:rPr>
          <w:rFonts w:hint="eastAsia"/>
          <w:b/>
          <w:bCs/>
          <w:color w:val="0000FF"/>
          <w:lang w:val="en-US" w:eastAsia="zh-CN"/>
        </w:rPr>
        <w:t>5</w:t>
      </w:r>
      <w:r>
        <w:rPr>
          <w:b/>
          <w:bCs/>
          <w:color w:val="0000FF"/>
        </w:rPr>
        <w:t>-</w:t>
      </w:r>
      <w:r>
        <w:rPr>
          <w:rFonts w:hint="eastAsia"/>
          <w:b/>
          <w:bCs/>
          <w:color w:val="0000FF"/>
          <w:lang w:val="en-US" w:eastAsia="zh-CN"/>
        </w:rPr>
        <w:t>3</w:t>
      </w:r>
      <w:r>
        <w:rPr>
          <w:b/>
          <w:bCs/>
          <w:color w:val="0000FF"/>
        </w:rPr>
        <w:t>声环境质量标准</w:t>
      </w:r>
    </w:p>
    <w:tbl>
      <w:tblPr>
        <w:tblStyle w:val="23"/>
        <w:tblW w:w="81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0"/>
        <w:gridCol w:w="720"/>
        <w:gridCol w:w="2520"/>
        <w:gridCol w:w="1720"/>
        <w:gridCol w:w="1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440" w:type="dxa"/>
            <w:vMerge w:val="restart"/>
            <w:tcBorders>
              <w:tl2br w:val="nil"/>
              <w:tr2bl w:val="nil"/>
            </w:tcBorders>
            <w:vAlign w:val="center"/>
          </w:tcPr>
          <w:p>
            <w:pPr>
              <w:pStyle w:val="22"/>
              <w:bidi w:val="0"/>
              <w:jc w:val="center"/>
              <w:rPr>
                <w:color w:val="0000FF"/>
              </w:rPr>
            </w:pPr>
            <w:r>
              <w:rPr>
                <w:color w:val="0000FF"/>
              </w:rPr>
              <w:t>项目地点</w:t>
            </w:r>
          </w:p>
        </w:tc>
        <w:tc>
          <w:tcPr>
            <w:tcW w:w="720" w:type="dxa"/>
            <w:vMerge w:val="restart"/>
            <w:tcBorders>
              <w:tl2br w:val="nil"/>
              <w:tr2bl w:val="nil"/>
            </w:tcBorders>
            <w:vAlign w:val="center"/>
          </w:tcPr>
          <w:p>
            <w:pPr>
              <w:pStyle w:val="22"/>
              <w:bidi w:val="0"/>
              <w:jc w:val="center"/>
              <w:rPr>
                <w:color w:val="0000FF"/>
              </w:rPr>
            </w:pPr>
            <w:r>
              <w:rPr>
                <w:color w:val="0000FF"/>
              </w:rPr>
              <w:t>类别</w:t>
            </w:r>
          </w:p>
        </w:tc>
        <w:tc>
          <w:tcPr>
            <w:tcW w:w="2520" w:type="dxa"/>
            <w:vMerge w:val="restart"/>
            <w:tcBorders>
              <w:tl2br w:val="nil"/>
              <w:tr2bl w:val="nil"/>
            </w:tcBorders>
            <w:vAlign w:val="center"/>
          </w:tcPr>
          <w:p>
            <w:pPr>
              <w:pStyle w:val="22"/>
              <w:bidi w:val="0"/>
              <w:jc w:val="center"/>
              <w:rPr>
                <w:color w:val="0000FF"/>
              </w:rPr>
            </w:pPr>
            <w:r>
              <w:rPr>
                <w:color w:val="0000FF"/>
              </w:rPr>
              <w:t>适用评价区域</w:t>
            </w:r>
          </w:p>
        </w:tc>
        <w:tc>
          <w:tcPr>
            <w:tcW w:w="3440" w:type="dxa"/>
            <w:gridSpan w:val="2"/>
            <w:tcBorders>
              <w:tl2br w:val="nil"/>
              <w:tr2bl w:val="nil"/>
            </w:tcBorders>
            <w:vAlign w:val="center"/>
          </w:tcPr>
          <w:p>
            <w:pPr>
              <w:pStyle w:val="22"/>
              <w:bidi w:val="0"/>
              <w:jc w:val="center"/>
              <w:rPr>
                <w:color w:val="0000FF"/>
              </w:rPr>
            </w:pPr>
            <w:r>
              <w:rPr>
                <w:color w:val="0000FF"/>
              </w:rPr>
              <w:t>标准值（LAeq(dB)）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1440" w:type="dxa"/>
            <w:vMerge w:val="continue"/>
            <w:tcBorders>
              <w:tl2br w:val="nil"/>
              <w:tr2bl w:val="nil"/>
            </w:tcBorders>
            <w:vAlign w:val="center"/>
          </w:tcPr>
          <w:p>
            <w:pPr>
              <w:pStyle w:val="22"/>
              <w:bidi w:val="0"/>
              <w:jc w:val="center"/>
              <w:rPr>
                <w:color w:val="0000FF"/>
              </w:rPr>
            </w:pPr>
          </w:p>
        </w:tc>
        <w:tc>
          <w:tcPr>
            <w:tcW w:w="720" w:type="dxa"/>
            <w:vMerge w:val="continue"/>
            <w:tcBorders>
              <w:tl2br w:val="nil"/>
              <w:tr2bl w:val="nil"/>
            </w:tcBorders>
            <w:vAlign w:val="center"/>
          </w:tcPr>
          <w:p>
            <w:pPr>
              <w:pStyle w:val="22"/>
              <w:bidi w:val="0"/>
              <w:jc w:val="center"/>
              <w:rPr>
                <w:color w:val="0000FF"/>
              </w:rPr>
            </w:pPr>
          </w:p>
        </w:tc>
        <w:tc>
          <w:tcPr>
            <w:tcW w:w="2520" w:type="dxa"/>
            <w:vMerge w:val="continue"/>
            <w:tcBorders>
              <w:tl2br w:val="nil"/>
              <w:tr2bl w:val="nil"/>
            </w:tcBorders>
            <w:vAlign w:val="center"/>
          </w:tcPr>
          <w:p>
            <w:pPr>
              <w:pStyle w:val="22"/>
              <w:bidi w:val="0"/>
              <w:jc w:val="center"/>
              <w:rPr>
                <w:color w:val="0000FF"/>
              </w:rPr>
            </w:pPr>
          </w:p>
        </w:tc>
        <w:tc>
          <w:tcPr>
            <w:tcW w:w="1720" w:type="dxa"/>
            <w:tcBorders>
              <w:tl2br w:val="nil"/>
              <w:tr2bl w:val="nil"/>
            </w:tcBorders>
            <w:vAlign w:val="center"/>
          </w:tcPr>
          <w:p>
            <w:pPr>
              <w:pStyle w:val="22"/>
              <w:bidi w:val="0"/>
              <w:jc w:val="center"/>
              <w:rPr>
                <w:color w:val="0000FF"/>
              </w:rPr>
            </w:pPr>
            <w:r>
              <w:rPr>
                <w:color w:val="0000FF"/>
              </w:rPr>
              <w:t>昼间</w:t>
            </w:r>
          </w:p>
        </w:tc>
        <w:tc>
          <w:tcPr>
            <w:tcW w:w="1720" w:type="dxa"/>
            <w:tcBorders>
              <w:tl2br w:val="nil"/>
              <w:tr2bl w:val="nil"/>
            </w:tcBorders>
            <w:vAlign w:val="center"/>
          </w:tcPr>
          <w:p>
            <w:pPr>
              <w:pStyle w:val="22"/>
              <w:bidi w:val="0"/>
              <w:jc w:val="center"/>
              <w:rPr>
                <w:color w:val="0000FF"/>
              </w:rPr>
            </w:pPr>
            <w:r>
              <w:rPr>
                <w:color w:val="0000FF"/>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440" w:type="dxa"/>
            <w:tcBorders>
              <w:tl2br w:val="nil"/>
              <w:tr2bl w:val="nil"/>
            </w:tcBorders>
            <w:vAlign w:val="center"/>
          </w:tcPr>
          <w:p>
            <w:pPr>
              <w:pStyle w:val="22"/>
              <w:bidi w:val="0"/>
              <w:jc w:val="center"/>
              <w:rPr>
                <w:color w:val="0000FF"/>
              </w:rPr>
            </w:pPr>
            <w:r>
              <w:rPr>
                <w:color w:val="0000FF"/>
              </w:rPr>
              <w:t>医院</w:t>
            </w:r>
          </w:p>
        </w:tc>
        <w:tc>
          <w:tcPr>
            <w:tcW w:w="720" w:type="dxa"/>
            <w:tcBorders>
              <w:tl2br w:val="nil"/>
              <w:tr2bl w:val="nil"/>
            </w:tcBorders>
            <w:vAlign w:val="center"/>
          </w:tcPr>
          <w:p>
            <w:pPr>
              <w:pStyle w:val="22"/>
              <w:bidi w:val="0"/>
              <w:jc w:val="center"/>
              <w:rPr>
                <w:color w:val="0000FF"/>
              </w:rPr>
            </w:pPr>
            <w:r>
              <w:rPr>
                <w:color w:val="0000FF"/>
              </w:rPr>
              <w:t>1</w:t>
            </w:r>
          </w:p>
        </w:tc>
        <w:tc>
          <w:tcPr>
            <w:tcW w:w="2520" w:type="dxa"/>
            <w:tcBorders>
              <w:tl2br w:val="nil"/>
              <w:tr2bl w:val="nil"/>
            </w:tcBorders>
            <w:vAlign w:val="center"/>
          </w:tcPr>
          <w:p>
            <w:pPr>
              <w:pStyle w:val="22"/>
              <w:bidi w:val="0"/>
              <w:jc w:val="center"/>
              <w:rPr>
                <w:color w:val="0000FF"/>
              </w:rPr>
            </w:pPr>
            <w:r>
              <w:rPr>
                <w:color w:val="0000FF"/>
              </w:rPr>
              <w:t>四周场界</w:t>
            </w:r>
          </w:p>
        </w:tc>
        <w:tc>
          <w:tcPr>
            <w:tcW w:w="1720" w:type="dxa"/>
            <w:tcBorders>
              <w:tl2br w:val="nil"/>
              <w:tr2bl w:val="nil"/>
            </w:tcBorders>
            <w:vAlign w:val="center"/>
          </w:tcPr>
          <w:p>
            <w:pPr>
              <w:pStyle w:val="22"/>
              <w:bidi w:val="0"/>
              <w:jc w:val="center"/>
              <w:rPr>
                <w:color w:val="0000FF"/>
              </w:rPr>
            </w:pPr>
            <w:r>
              <w:rPr>
                <w:color w:val="0000FF"/>
              </w:rPr>
              <w:t>55</w:t>
            </w:r>
          </w:p>
        </w:tc>
        <w:tc>
          <w:tcPr>
            <w:tcW w:w="1720" w:type="dxa"/>
            <w:tcBorders>
              <w:tl2br w:val="nil"/>
              <w:tr2bl w:val="nil"/>
            </w:tcBorders>
            <w:vAlign w:val="center"/>
          </w:tcPr>
          <w:p>
            <w:pPr>
              <w:pStyle w:val="22"/>
              <w:bidi w:val="0"/>
              <w:jc w:val="center"/>
              <w:rPr>
                <w:color w:val="0000FF"/>
              </w:rPr>
            </w:pPr>
            <w:r>
              <w:rPr>
                <w:color w:val="0000FF"/>
              </w:rPr>
              <w:t>45</w:t>
            </w:r>
          </w:p>
        </w:tc>
      </w:tr>
    </w:tbl>
    <w:p>
      <w:pPr>
        <w:spacing w:line="44" w:lineRule="exact"/>
        <w:rPr>
          <w:color w:val="0000FF"/>
        </w:rPr>
      </w:pPr>
    </w:p>
    <w:p>
      <w:pPr>
        <w:pStyle w:val="6"/>
        <w:bidi w:val="0"/>
        <w:rPr>
          <w:rFonts w:hint="default"/>
          <w:lang w:val="en-US" w:eastAsia="zh-CN"/>
        </w:rPr>
      </w:pPr>
      <w:bookmarkStart w:id="21" w:name="_Toc9696"/>
      <w:r>
        <w:rPr>
          <w:rFonts w:hint="eastAsia"/>
          <w:lang w:val="en-US" w:eastAsia="zh-CN"/>
        </w:rPr>
        <w:t>2.5.2污染物排放标准</w:t>
      </w:r>
      <w:bookmarkEnd w:id="21"/>
    </w:p>
    <w:p>
      <w:pPr>
        <w:bidi w:val="0"/>
        <w:rPr>
          <w:color w:val="0000FF"/>
        </w:rPr>
      </w:pPr>
      <w:r>
        <w:rPr>
          <w:color w:val="0000FF"/>
        </w:rPr>
        <w:t>（1）大气污染物排放标准</w:t>
      </w:r>
    </w:p>
    <w:p>
      <w:pPr>
        <w:bidi w:val="0"/>
        <w:rPr>
          <w:color w:val="0000FF"/>
        </w:rPr>
      </w:pPr>
      <w:r>
        <w:rPr>
          <w:color w:val="0000FF"/>
        </w:rPr>
        <w:t>①污水处理站污染排放标准</w:t>
      </w:r>
    </w:p>
    <w:p>
      <w:pPr>
        <w:bidi w:val="0"/>
        <w:rPr>
          <w:color w:val="0000FF"/>
        </w:rPr>
      </w:pPr>
      <w:r>
        <w:rPr>
          <w:color w:val="0000FF"/>
        </w:rPr>
        <w:t>本次项目新建实验室废水污水处理站，主要负责集中处理疾控中心的实验废水等，污水处理站周边空气污染物执行《医疗机构水污染物排放标准》（GB18466-2005）中表3的排放标准限值，详见下表。</w:t>
      </w:r>
    </w:p>
    <w:p>
      <w:pPr>
        <w:pStyle w:val="22"/>
        <w:bidi w:val="0"/>
        <w:rPr>
          <w:b/>
          <w:bCs/>
          <w:color w:val="0000FF"/>
        </w:rPr>
      </w:pPr>
      <w:r>
        <w:rPr>
          <w:b/>
          <w:bCs/>
          <w:color w:val="0000FF"/>
        </w:rPr>
        <w:t>表2.</w:t>
      </w:r>
      <w:r>
        <w:rPr>
          <w:rFonts w:hint="eastAsia"/>
          <w:b/>
          <w:bCs/>
          <w:color w:val="0000FF"/>
          <w:lang w:val="en-US" w:eastAsia="zh-CN"/>
        </w:rPr>
        <w:t>5</w:t>
      </w:r>
      <w:r>
        <w:rPr>
          <w:b/>
          <w:bCs/>
          <w:color w:val="0000FF"/>
        </w:rPr>
        <w:t>-</w:t>
      </w:r>
      <w:r>
        <w:rPr>
          <w:rFonts w:hint="eastAsia"/>
          <w:b/>
          <w:bCs/>
          <w:color w:val="0000FF"/>
          <w:lang w:val="en-US" w:eastAsia="zh-CN"/>
        </w:rPr>
        <w:t>4</w:t>
      </w:r>
      <w:r>
        <w:rPr>
          <w:b/>
          <w:bCs/>
          <w:color w:val="0000FF"/>
        </w:rPr>
        <w:t>疾控中心污水处理站周边大气污染物最高允许浓度</w:t>
      </w:r>
    </w:p>
    <w:p>
      <w:pPr>
        <w:spacing w:line="45" w:lineRule="exact"/>
        <w:rPr>
          <w:color w:val="0000FF"/>
        </w:rPr>
      </w:pPr>
    </w:p>
    <w:tbl>
      <w:tblPr>
        <w:tblStyle w:val="23"/>
        <w:tblW w:w="830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4730"/>
        <w:gridCol w:w="2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00" w:type="dxa"/>
            <w:tcBorders>
              <w:tl2br w:val="nil"/>
              <w:tr2bl w:val="nil"/>
            </w:tcBorders>
            <w:vAlign w:val="center"/>
          </w:tcPr>
          <w:p>
            <w:pPr>
              <w:pStyle w:val="22"/>
              <w:bidi w:val="0"/>
              <w:jc w:val="center"/>
              <w:rPr>
                <w:color w:val="0000FF"/>
              </w:rPr>
            </w:pPr>
            <w:r>
              <w:rPr>
                <w:color w:val="0000FF"/>
              </w:rPr>
              <w:t>序号</w:t>
            </w:r>
          </w:p>
        </w:tc>
        <w:tc>
          <w:tcPr>
            <w:tcW w:w="4730" w:type="dxa"/>
            <w:tcBorders>
              <w:tl2br w:val="nil"/>
              <w:tr2bl w:val="nil"/>
            </w:tcBorders>
            <w:vAlign w:val="center"/>
          </w:tcPr>
          <w:p>
            <w:pPr>
              <w:pStyle w:val="22"/>
              <w:bidi w:val="0"/>
              <w:jc w:val="center"/>
              <w:rPr>
                <w:color w:val="0000FF"/>
              </w:rPr>
            </w:pPr>
            <w:r>
              <w:rPr>
                <w:color w:val="0000FF"/>
              </w:rPr>
              <w:t>控制项目</w:t>
            </w:r>
          </w:p>
        </w:tc>
        <w:tc>
          <w:tcPr>
            <w:tcW w:w="2675" w:type="dxa"/>
            <w:tcBorders>
              <w:tl2br w:val="nil"/>
              <w:tr2bl w:val="nil"/>
            </w:tcBorders>
            <w:vAlign w:val="center"/>
          </w:tcPr>
          <w:p>
            <w:pPr>
              <w:pStyle w:val="22"/>
              <w:bidi w:val="0"/>
              <w:jc w:val="center"/>
              <w:rPr>
                <w:color w:val="0000FF"/>
              </w:rPr>
            </w:pPr>
            <w:r>
              <w:rPr>
                <w:color w:val="0000FF"/>
              </w:rPr>
              <w:t>排放值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900" w:type="dxa"/>
            <w:tcBorders>
              <w:tl2br w:val="nil"/>
              <w:tr2bl w:val="nil"/>
            </w:tcBorders>
            <w:vAlign w:val="center"/>
          </w:tcPr>
          <w:p>
            <w:pPr>
              <w:pStyle w:val="22"/>
              <w:bidi w:val="0"/>
              <w:jc w:val="center"/>
              <w:rPr>
                <w:color w:val="0000FF"/>
              </w:rPr>
            </w:pPr>
            <w:r>
              <w:rPr>
                <w:color w:val="0000FF"/>
              </w:rPr>
              <w:t>1</w:t>
            </w:r>
          </w:p>
        </w:tc>
        <w:tc>
          <w:tcPr>
            <w:tcW w:w="4730" w:type="dxa"/>
            <w:tcBorders>
              <w:tl2br w:val="nil"/>
              <w:tr2bl w:val="nil"/>
            </w:tcBorders>
            <w:vAlign w:val="center"/>
          </w:tcPr>
          <w:p>
            <w:pPr>
              <w:pStyle w:val="22"/>
              <w:bidi w:val="0"/>
              <w:jc w:val="center"/>
              <w:rPr>
                <w:color w:val="0000FF"/>
              </w:rPr>
            </w:pPr>
            <w:r>
              <w:rPr>
                <w:color w:val="0000FF"/>
              </w:rPr>
              <w:t>氨（mg/m</w:t>
            </w:r>
            <w:r>
              <w:rPr>
                <w:color w:val="0000FF"/>
                <w:vertAlign w:val="superscript"/>
              </w:rPr>
              <w:t>3</w:t>
            </w:r>
            <w:r>
              <w:rPr>
                <w:color w:val="0000FF"/>
              </w:rPr>
              <w:t>）</w:t>
            </w:r>
          </w:p>
        </w:tc>
        <w:tc>
          <w:tcPr>
            <w:tcW w:w="2675" w:type="dxa"/>
            <w:tcBorders>
              <w:tl2br w:val="nil"/>
              <w:tr2bl w:val="nil"/>
            </w:tcBorders>
            <w:vAlign w:val="center"/>
          </w:tcPr>
          <w:p>
            <w:pPr>
              <w:pStyle w:val="22"/>
              <w:bidi w:val="0"/>
              <w:jc w:val="center"/>
              <w:rPr>
                <w:color w:val="0000FF"/>
              </w:rPr>
            </w:pPr>
            <w:r>
              <w:rPr>
                <w:color w:val="0000FF"/>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900" w:type="dxa"/>
            <w:tcBorders>
              <w:tl2br w:val="nil"/>
              <w:tr2bl w:val="nil"/>
            </w:tcBorders>
            <w:vAlign w:val="center"/>
          </w:tcPr>
          <w:p>
            <w:pPr>
              <w:pStyle w:val="22"/>
              <w:bidi w:val="0"/>
              <w:jc w:val="center"/>
              <w:rPr>
                <w:color w:val="0000FF"/>
              </w:rPr>
            </w:pPr>
            <w:r>
              <w:rPr>
                <w:color w:val="0000FF"/>
              </w:rPr>
              <w:t>2</w:t>
            </w:r>
          </w:p>
        </w:tc>
        <w:tc>
          <w:tcPr>
            <w:tcW w:w="4730" w:type="dxa"/>
            <w:tcBorders>
              <w:tl2br w:val="nil"/>
              <w:tr2bl w:val="nil"/>
            </w:tcBorders>
            <w:vAlign w:val="center"/>
          </w:tcPr>
          <w:p>
            <w:pPr>
              <w:pStyle w:val="22"/>
              <w:bidi w:val="0"/>
              <w:jc w:val="center"/>
              <w:rPr>
                <w:color w:val="0000FF"/>
              </w:rPr>
            </w:pPr>
            <w:r>
              <w:rPr>
                <w:color w:val="0000FF"/>
              </w:rPr>
              <w:t>硫化氢（mg/m</w:t>
            </w:r>
            <w:r>
              <w:rPr>
                <w:color w:val="0000FF"/>
                <w:vertAlign w:val="superscript"/>
              </w:rPr>
              <w:t>3</w:t>
            </w:r>
            <w:r>
              <w:rPr>
                <w:color w:val="0000FF"/>
              </w:rPr>
              <w:t>）</w:t>
            </w:r>
          </w:p>
        </w:tc>
        <w:tc>
          <w:tcPr>
            <w:tcW w:w="2675" w:type="dxa"/>
            <w:tcBorders>
              <w:tl2br w:val="nil"/>
              <w:tr2bl w:val="nil"/>
            </w:tcBorders>
            <w:vAlign w:val="center"/>
          </w:tcPr>
          <w:p>
            <w:pPr>
              <w:pStyle w:val="22"/>
              <w:bidi w:val="0"/>
              <w:jc w:val="center"/>
              <w:rPr>
                <w:color w:val="0000FF"/>
              </w:rPr>
            </w:pPr>
            <w:r>
              <w:rPr>
                <w:color w:val="0000FF"/>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00" w:type="dxa"/>
            <w:tcBorders>
              <w:tl2br w:val="nil"/>
              <w:tr2bl w:val="nil"/>
            </w:tcBorders>
            <w:vAlign w:val="center"/>
          </w:tcPr>
          <w:p>
            <w:pPr>
              <w:pStyle w:val="22"/>
              <w:bidi w:val="0"/>
              <w:jc w:val="center"/>
              <w:rPr>
                <w:color w:val="0000FF"/>
              </w:rPr>
            </w:pPr>
            <w:r>
              <w:rPr>
                <w:color w:val="0000FF"/>
              </w:rPr>
              <w:t>3</w:t>
            </w:r>
          </w:p>
        </w:tc>
        <w:tc>
          <w:tcPr>
            <w:tcW w:w="4730" w:type="dxa"/>
            <w:tcBorders>
              <w:tl2br w:val="nil"/>
              <w:tr2bl w:val="nil"/>
            </w:tcBorders>
            <w:vAlign w:val="center"/>
          </w:tcPr>
          <w:p>
            <w:pPr>
              <w:pStyle w:val="22"/>
              <w:bidi w:val="0"/>
              <w:jc w:val="center"/>
              <w:rPr>
                <w:color w:val="0000FF"/>
              </w:rPr>
            </w:pPr>
            <w:r>
              <w:rPr>
                <w:color w:val="0000FF"/>
              </w:rPr>
              <w:t>臭气浓度（无量纲）</w:t>
            </w:r>
          </w:p>
        </w:tc>
        <w:tc>
          <w:tcPr>
            <w:tcW w:w="2675" w:type="dxa"/>
            <w:tcBorders>
              <w:tl2br w:val="nil"/>
              <w:tr2bl w:val="nil"/>
            </w:tcBorders>
            <w:vAlign w:val="center"/>
          </w:tcPr>
          <w:p>
            <w:pPr>
              <w:pStyle w:val="22"/>
              <w:bidi w:val="0"/>
              <w:jc w:val="center"/>
              <w:rPr>
                <w:color w:val="0000FF"/>
              </w:rPr>
            </w:pPr>
            <w:r>
              <w:rPr>
                <w:color w:val="0000FF"/>
              </w:rPr>
              <w:t>10</w:t>
            </w:r>
          </w:p>
        </w:tc>
      </w:tr>
    </w:tbl>
    <w:p>
      <w:pPr>
        <w:bidi w:val="0"/>
        <w:rPr>
          <w:color w:val="0000FF"/>
        </w:rPr>
      </w:pPr>
      <w:r>
        <w:rPr>
          <w:color w:val="0000FF"/>
        </w:rPr>
        <w:t>②实验室废气污染排放标准</w:t>
      </w:r>
    </w:p>
    <w:p>
      <w:pPr>
        <w:bidi w:val="0"/>
        <w:rPr>
          <w:color w:val="0000FF"/>
        </w:rPr>
      </w:pPr>
      <w:r>
        <w:rPr>
          <w:color w:val="0000FF"/>
        </w:rPr>
        <w:t>实验室分析检测过程中需使用酸碱及有机试剂，实验过程产生的废气通过集气罩收集，通过专用电控风道外排，末端有活性炭吸附装置。实验室废气经收集后通过楼顶</w:t>
      </w:r>
      <w:r>
        <w:rPr>
          <w:rFonts w:hint="eastAsia"/>
          <w:color w:val="0000FF"/>
          <w:lang w:eastAsia="zh-CN"/>
        </w:rPr>
        <w:t>排放</w:t>
      </w:r>
      <w:r>
        <w:rPr>
          <w:color w:val="0000FF"/>
        </w:rPr>
        <w:t>。其废气主要是酸雾和各种有机溶剂等常见污染物。其污染物执行《大气污染物综合排放标准》中排放标准。</w:t>
      </w:r>
    </w:p>
    <w:p>
      <w:pPr>
        <w:bidi w:val="0"/>
        <w:rPr>
          <w:color w:val="0000FF"/>
        </w:rPr>
      </w:pPr>
      <w:r>
        <w:rPr>
          <w:color w:val="0000FF"/>
        </w:rPr>
        <w:t>（2）水污染物排放标准</w:t>
      </w:r>
    </w:p>
    <w:p>
      <w:pPr>
        <w:bidi w:val="0"/>
        <w:rPr>
          <w:rFonts w:hint="default"/>
          <w:color w:val="0000FF"/>
          <w:lang w:val="en-US" w:eastAsia="zh-CN"/>
        </w:rPr>
      </w:pPr>
      <w:r>
        <w:rPr>
          <w:rFonts w:hint="eastAsia"/>
          <w:color w:val="0000FF"/>
          <w:lang w:val="en-US" w:eastAsia="zh-CN"/>
        </w:rPr>
        <w:t>1、实验室废水</w:t>
      </w:r>
    </w:p>
    <w:p>
      <w:pPr>
        <w:bidi w:val="0"/>
        <w:rPr>
          <w:rFonts w:hint="default"/>
          <w:color w:val="0000FF"/>
          <w:lang w:val="en-US" w:eastAsia="zh-CN"/>
        </w:rPr>
      </w:pPr>
      <w:r>
        <w:rPr>
          <w:color w:val="0000FF"/>
        </w:rPr>
        <w:t>本项目运营期实验废水经疾控中心污水处理站进行处理达标后排入市政污水管网，最终进入</w:t>
      </w:r>
      <w:r>
        <w:rPr>
          <w:rFonts w:hint="eastAsia"/>
          <w:color w:val="0000FF"/>
          <w:lang w:val="en-US" w:eastAsia="zh-CN"/>
        </w:rPr>
        <w:t>225团</w:t>
      </w:r>
      <w:r>
        <w:rPr>
          <w:color w:val="0000FF"/>
        </w:rPr>
        <w:t>污水处理厂进一步处理，项目废水经处理后，执行《</w:t>
      </w:r>
      <w:r>
        <w:rPr>
          <w:rFonts w:hint="eastAsia"/>
          <w:color w:val="0000FF"/>
          <w:lang w:eastAsia="zh-CN"/>
        </w:rPr>
        <w:t>医疗机构水污染物排放标准</w:t>
      </w:r>
      <w:r>
        <w:rPr>
          <w:color w:val="0000FF"/>
        </w:rPr>
        <w:t>》（GB18466-2005）中表</w:t>
      </w:r>
      <w:r>
        <w:rPr>
          <w:rFonts w:hint="default"/>
          <w:color w:val="0000FF"/>
          <w:lang w:val="en-US" w:eastAsia="zh-CN"/>
        </w:rPr>
        <w:t>2</w:t>
      </w:r>
      <w:r>
        <w:rPr>
          <w:rFonts w:hint="eastAsia"/>
          <w:color w:val="0000FF"/>
          <w:lang w:val="en-US" w:eastAsia="zh-CN"/>
        </w:rPr>
        <w:t>的“综合医疗机构和其他医疗机构水污染物排放限值”的</w:t>
      </w:r>
      <w:r>
        <w:rPr>
          <w:color w:val="0000FF"/>
        </w:rPr>
        <w:t>预处理标准。见表</w:t>
      </w:r>
      <w:r>
        <w:rPr>
          <w:rFonts w:hint="eastAsia"/>
          <w:color w:val="0000FF"/>
          <w:lang w:val="en-US" w:eastAsia="zh-CN"/>
        </w:rPr>
        <w:t>2.5-5</w:t>
      </w:r>
    </w:p>
    <w:p>
      <w:pPr>
        <w:pStyle w:val="22"/>
        <w:bidi w:val="0"/>
        <w:rPr>
          <w:rFonts w:hint="default" w:eastAsia="宋体"/>
          <w:b/>
          <w:bCs/>
          <w:color w:val="0000FF"/>
          <w:highlight w:val="none"/>
          <w:lang w:val="en-US" w:eastAsia="zh-CN"/>
        </w:rPr>
      </w:pPr>
      <w:r>
        <w:rPr>
          <w:b/>
          <w:bCs/>
          <w:color w:val="0000FF"/>
          <w:highlight w:val="none"/>
        </w:rPr>
        <w:t>表2.</w:t>
      </w:r>
      <w:r>
        <w:rPr>
          <w:rFonts w:hint="eastAsia"/>
          <w:b/>
          <w:bCs/>
          <w:color w:val="0000FF"/>
          <w:highlight w:val="none"/>
          <w:lang w:val="en-US" w:eastAsia="zh-CN"/>
        </w:rPr>
        <w:t>5</w:t>
      </w:r>
      <w:r>
        <w:rPr>
          <w:b/>
          <w:bCs/>
          <w:color w:val="0000FF"/>
          <w:highlight w:val="none"/>
        </w:rPr>
        <w:t>-</w:t>
      </w:r>
      <w:r>
        <w:rPr>
          <w:rFonts w:hint="eastAsia"/>
          <w:b/>
          <w:bCs/>
          <w:color w:val="0000FF"/>
          <w:highlight w:val="none"/>
          <w:lang w:val="en-US" w:eastAsia="zh-CN"/>
        </w:rPr>
        <w:t>5</w:t>
      </w:r>
      <w:r>
        <w:rPr>
          <w:b/>
          <w:bCs/>
          <w:color w:val="0000FF"/>
          <w:highlight w:val="none"/>
        </w:rPr>
        <w:t>综合医疗机构和其他医疗机构水污染物排放限值（日均值）</w:t>
      </w:r>
    </w:p>
    <w:tbl>
      <w:tblPr>
        <w:tblStyle w:val="23"/>
        <w:tblW w:w="84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3"/>
        <w:gridCol w:w="4601"/>
        <w:gridCol w:w="2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序号</w:t>
            </w:r>
          </w:p>
        </w:tc>
        <w:tc>
          <w:tcPr>
            <w:tcW w:w="4601" w:type="dxa"/>
            <w:tcBorders>
              <w:tl2br w:val="nil"/>
              <w:tr2bl w:val="nil"/>
            </w:tcBorders>
            <w:vAlign w:val="center"/>
          </w:tcPr>
          <w:p>
            <w:pPr>
              <w:pStyle w:val="22"/>
              <w:bidi w:val="0"/>
              <w:jc w:val="center"/>
              <w:rPr>
                <w:color w:val="0000FF"/>
                <w:highlight w:val="none"/>
              </w:rPr>
            </w:pPr>
            <w:r>
              <w:rPr>
                <w:color w:val="0000FF"/>
                <w:highlight w:val="none"/>
              </w:rPr>
              <w:t>控制项目</w:t>
            </w:r>
          </w:p>
        </w:tc>
        <w:tc>
          <w:tcPr>
            <w:tcW w:w="2385" w:type="dxa"/>
            <w:tcBorders>
              <w:tl2br w:val="nil"/>
              <w:tr2bl w:val="nil"/>
            </w:tcBorders>
            <w:vAlign w:val="center"/>
          </w:tcPr>
          <w:p>
            <w:pPr>
              <w:pStyle w:val="22"/>
              <w:bidi w:val="0"/>
              <w:jc w:val="center"/>
              <w:rPr>
                <w:color w:val="0000FF"/>
                <w:highlight w:val="none"/>
              </w:rPr>
            </w:pPr>
            <w:r>
              <w:rPr>
                <w:color w:val="0000FF"/>
                <w:highlight w:val="none"/>
              </w:rPr>
              <w:t>预处理标准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w:t>
            </w:r>
          </w:p>
        </w:tc>
        <w:tc>
          <w:tcPr>
            <w:tcW w:w="4601" w:type="dxa"/>
            <w:tcBorders>
              <w:tl2br w:val="nil"/>
              <w:tr2bl w:val="nil"/>
            </w:tcBorders>
            <w:vAlign w:val="center"/>
          </w:tcPr>
          <w:p>
            <w:pPr>
              <w:pStyle w:val="22"/>
              <w:bidi w:val="0"/>
              <w:jc w:val="center"/>
              <w:rPr>
                <w:color w:val="0000FF"/>
                <w:highlight w:val="none"/>
              </w:rPr>
            </w:pPr>
            <w:r>
              <w:rPr>
                <w:color w:val="0000FF"/>
                <w:highlight w:val="none"/>
              </w:rPr>
              <w:t>粪大肠菌群数（MPN/L）</w:t>
            </w:r>
          </w:p>
        </w:tc>
        <w:tc>
          <w:tcPr>
            <w:tcW w:w="2385" w:type="dxa"/>
            <w:tcBorders>
              <w:tl2br w:val="nil"/>
              <w:tr2bl w:val="nil"/>
            </w:tcBorders>
            <w:vAlign w:val="center"/>
          </w:tcPr>
          <w:p>
            <w:pPr>
              <w:pStyle w:val="22"/>
              <w:bidi w:val="0"/>
              <w:jc w:val="center"/>
              <w:rPr>
                <w:color w:val="0000FF"/>
                <w:highlight w:val="none"/>
              </w:rPr>
            </w:pPr>
            <w:r>
              <w:rPr>
                <w:color w:val="0000FF"/>
                <w:highlight w:val="none"/>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2</w:t>
            </w:r>
          </w:p>
        </w:tc>
        <w:tc>
          <w:tcPr>
            <w:tcW w:w="4601" w:type="dxa"/>
            <w:tcBorders>
              <w:tl2br w:val="nil"/>
              <w:tr2bl w:val="nil"/>
            </w:tcBorders>
            <w:vAlign w:val="center"/>
          </w:tcPr>
          <w:p>
            <w:pPr>
              <w:pStyle w:val="22"/>
              <w:bidi w:val="0"/>
              <w:jc w:val="center"/>
              <w:rPr>
                <w:color w:val="0000FF"/>
                <w:highlight w:val="none"/>
              </w:rPr>
            </w:pPr>
            <w:r>
              <w:rPr>
                <w:color w:val="0000FF"/>
                <w:highlight w:val="none"/>
              </w:rPr>
              <w:t>肠道致病菌</w:t>
            </w:r>
          </w:p>
        </w:tc>
        <w:tc>
          <w:tcPr>
            <w:tcW w:w="2385" w:type="dxa"/>
            <w:tcBorders>
              <w:tl2br w:val="nil"/>
              <w:tr2bl w:val="nil"/>
            </w:tcBorders>
            <w:vAlign w:val="center"/>
          </w:tcPr>
          <w:p>
            <w:pPr>
              <w:pStyle w:val="22"/>
              <w:bidi w:val="0"/>
              <w:jc w:val="center"/>
              <w:rPr>
                <w:color w:val="0000FF"/>
                <w:highlight w:val="none"/>
              </w:rPr>
            </w:pPr>
            <w:r>
              <w:rPr>
                <w:color w:val="0000FF"/>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3</w:t>
            </w:r>
          </w:p>
        </w:tc>
        <w:tc>
          <w:tcPr>
            <w:tcW w:w="4601" w:type="dxa"/>
            <w:tcBorders>
              <w:tl2br w:val="nil"/>
              <w:tr2bl w:val="nil"/>
            </w:tcBorders>
            <w:vAlign w:val="center"/>
          </w:tcPr>
          <w:p>
            <w:pPr>
              <w:pStyle w:val="22"/>
              <w:bidi w:val="0"/>
              <w:jc w:val="center"/>
              <w:rPr>
                <w:color w:val="0000FF"/>
                <w:highlight w:val="none"/>
              </w:rPr>
            </w:pPr>
            <w:r>
              <w:rPr>
                <w:color w:val="0000FF"/>
                <w:highlight w:val="none"/>
              </w:rPr>
              <w:t>肠道病毒</w:t>
            </w:r>
          </w:p>
        </w:tc>
        <w:tc>
          <w:tcPr>
            <w:tcW w:w="2385" w:type="dxa"/>
            <w:tcBorders>
              <w:tl2br w:val="nil"/>
              <w:tr2bl w:val="nil"/>
            </w:tcBorders>
            <w:vAlign w:val="center"/>
          </w:tcPr>
          <w:p>
            <w:pPr>
              <w:pStyle w:val="22"/>
              <w:bidi w:val="0"/>
              <w:jc w:val="center"/>
              <w:rPr>
                <w:color w:val="0000FF"/>
                <w:highlight w:val="none"/>
              </w:rPr>
            </w:pPr>
            <w:r>
              <w:rPr>
                <w:color w:val="0000FF"/>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4</w:t>
            </w:r>
          </w:p>
        </w:tc>
        <w:tc>
          <w:tcPr>
            <w:tcW w:w="4601" w:type="dxa"/>
            <w:tcBorders>
              <w:tl2br w:val="nil"/>
              <w:tr2bl w:val="nil"/>
            </w:tcBorders>
            <w:vAlign w:val="center"/>
          </w:tcPr>
          <w:p>
            <w:pPr>
              <w:pStyle w:val="22"/>
              <w:bidi w:val="0"/>
              <w:jc w:val="center"/>
              <w:rPr>
                <w:color w:val="0000FF"/>
                <w:highlight w:val="none"/>
              </w:rPr>
            </w:pPr>
            <w:r>
              <w:rPr>
                <w:color w:val="0000FF"/>
                <w:highlight w:val="none"/>
              </w:rPr>
              <w:t>pH</w:t>
            </w:r>
          </w:p>
        </w:tc>
        <w:tc>
          <w:tcPr>
            <w:tcW w:w="2385" w:type="dxa"/>
            <w:tcBorders>
              <w:tl2br w:val="nil"/>
              <w:tr2bl w:val="nil"/>
            </w:tcBorders>
            <w:vAlign w:val="center"/>
          </w:tcPr>
          <w:p>
            <w:pPr>
              <w:pStyle w:val="22"/>
              <w:bidi w:val="0"/>
              <w:jc w:val="center"/>
              <w:rPr>
                <w:color w:val="0000FF"/>
                <w:highlight w:val="none"/>
              </w:rPr>
            </w:pPr>
            <w:r>
              <w:rPr>
                <w:color w:val="0000FF"/>
                <w:highlight w:val="none"/>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jc w:val="center"/>
        </w:trPr>
        <w:tc>
          <w:tcPr>
            <w:tcW w:w="1433" w:type="dxa"/>
            <w:tcBorders>
              <w:tl2br w:val="nil"/>
              <w:tr2bl w:val="nil"/>
            </w:tcBorders>
            <w:vAlign w:val="center"/>
          </w:tcPr>
          <w:p>
            <w:pPr>
              <w:pStyle w:val="22"/>
              <w:bidi w:val="0"/>
              <w:jc w:val="center"/>
              <w:rPr>
                <w:color w:val="0000FF"/>
                <w:highlight w:val="none"/>
              </w:rPr>
            </w:pPr>
          </w:p>
          <w:p>
            <w:pPr>
              <w:pStyle w:val="22"/>
              <w:bidi w:val="0"/>
              <w:jc w:val="center"/>
              <w:rPr>
                <w:color w:val="0000FF"/>
                <w:highlight w:val="none"/>
              </w:rPr>
            </w:pPr>
            <w:r>
              <w:rPr>
                <w:color w:val="0000FF"/>
                <w:highlight w:val="none"/>
              </w:rPr>
              <w:t>5</w:t>
            </w:r>
          </w:p>
        </w:tc>
        <w:tc>
          <w:tcPr>
            <w:tcW w:w="4601" w:type="dxa"/>
            <w:tcBorders>
              <w:tl2br w:val="nil"/>
              <w:tr2bl w:val="nil"/>
            </w:tcBorders>
            <w:vAlign w:val="center"/>
          </w:tcPr>
          <w:p>
            <w:pPr>
              <w:pStyle w:val="22"/>
              <w:bidi w:val="0"/>
              <w:jc w:val="center"/>
              <w:rPr>
                <w:color w:val="0000FF"/>
                <w:highlight w:val="none"/>
              </w:rPr>
            </w:pPr>
            <w:r>
              <w:rPr>
                <w:color w:val="0000FF"/>
                <w:highlight w:val="none"/>
              </w:rPr>
              <w:t>化学需氧量（COD）</w:t>
            </w:r>
          </w:p>
          <w:p>
            <w:pPr>
              <w:pStyle w:val="22"/>
              <w:bidi w:val="0"/>
              <w:jc w:val="center"/>
              <w:rPr>
                <w:color w:val="0000FF"/>
                <w:highlight w:val="none"/>
              </w:rPr>
            </w:pPr>
            <w:r>
              <w:rPr>
                <w:color w:val="0000FF"/>
                <w:highlight w:val="none"/>
              </w:rPr>
              <w:t>浓度（mg/L）</w:t>
            </w:r>
          </w:p>
          <w:p>
            <w:pPr>
              <w:pStyle w:val="22"/>
              <w:bidi w:val="0"/>
              <w:jc w:val="center"/>
              <w:rPr>
                <w:color w:val="0000FF"/>
                <w:highlight w:val="none"/>
              </w:rPr>
            </w:pPr>
            <w:r>
              <w:rPr>
                <w:color w:val="0000FF"/>
                <w:highlight w:val="none"/>
              </w:rPr>
              <w:t>最高允许排放负荷（g/床位）</w:t>
            </w:r>
          </w:p>
        </w:tc>
        <w:tc>
          <w:tcPr>
            <w:tcW w:w="2385" w:type="dxa"/>
            <w:tcBorders>
              <w:tl2br w:val="nil"/>
              <w:tr2bl w:val="nil"/>
            </w:tcBorders>
            <w:vAlign w:val="center"/>
          </w:tcPr>
          <w:p>
            <w:pPr>
              <w:pStyle w:val="22"/>
              <w:bidi w:val="0"/>
              <w:jc w:val="center"/>
              <w:rPr>
                <w:color w:val="0000FF"/>
                <w:highlight w:val="none"/>
              </w:rPr>
            </w:pPr>
            <w:r>
              <w:rPr>
                <w:color w:val="0000FF"/>
                <w:highlight w:val="none"/>
              </w:rPr>
              <w:t>250</w:t>
            </w:r>
          </w:p>
          <w:p>
            <w:pPr>
              <w:pStyle w:val="22"/>
              <w:bidi w:val="0"/>
              <w:jc w:val="center"/>
              <w:rPr>
                <w:color w:val="0000FF"/>
                <w:highlight w:val="none"/>
              </w:rPr>
            </w:pPr>
            <w:r>
              <w:rPr>
                <w:color w:val="0000FF"/>
                <w:highlight w:val="none"/>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1433" w:type="dxa"/>
            <w:tcBorders>
              <w:tl2br w:val="nil"/>
              <w:tr2bl w:val="nil"/>
            </w:tcBorders>
            <w:vAlign w:val="center"/>
          </w:tcPr>
          <w:p>
            <w:pPr>
              <w:pStyle w:val="22"/>
              <w:bidi w:val="0"/>
              <w:jc w:val="center"/>
              <w:rPr>
                <w:color w:val="0000FF"/>
                <w:highlight w:val="none"/>
              </w:rPr>
            </w:pPr>
          </w:p>
          <w:p>
            <w:pPr>
              <w:pStyle w:val="22"/>
              <w:bidi w:val="0"/>
              <w:jc w:val="center"/>
              <w:rPr>
                <w:color w:val="0000FF"/>
                <w:highlight w:val="none"/>
              </w:rPr>
            </w:pPr>
            <w:r>
              <w:rPr>
                <w:color w:val="0000FF"/>
                <w:highlight w:val="none"/>
              </w:rPr>
              <w:t>6</w:t>
            </w:r>
          </w:p>
        </w:tc>
        <w:tc>
          <w:tcPr>
            <w:tcW w:w="4601" w:type="dxa"/>
            <w:tcBorders>
              <w:tl2br w:val="nil"/>
              <w:tr2bl w:val="nil"/>
            </w:tcBorders>
            <w:vAlign w:val="center"/>
          </w:tcPr>
          <w:p>
            <w:pPr>
              <w:pStyle w:val="22"/>
              <w:bidi w:val="0"/>
              <w:jc w:val="center"/>
              <w:rPr>
                <w:color w:val="0000FF"/>
                <w:highlight w:val="none"/>
              </w:rPr>
            </w:pPr>
            <w:r>
              <w:rPr>
                <w:color w:val="0000FF"/>
                <w:highlight w:val="none"/>
              </w:rPr>
              <w:t>生化需氧量（BOD）</w:t>
            </w:r>
          </w:p>
          <w:p>
            <w:pPr>
              <w:pStyle w:val="22"/>
              <w:bidi w:val="0"/>
              <w:jc w:val="center"/>
              <w:rPr>
                <w:color w:val="0000FF"/>
                <w:highlight w:val="none"/>
              </w:rPr>
            </w:pPr>
            <w:r>
              <w:rPr>
                <w:color w:val="0000FF"/>
                <w:highlight w:val="none"/>
              </w:rPr>
              <w:t>浓度（mg/L）</w:t>
            </w:r>
          </w:p>
          <w:p>
            <w:pPr>
              <w:pStyle w:val="22"/>
              <w:bidi w:val="0"/>
              <w:jc w:val="center"/>
              <w:rPr>
                <w:color w:val="0000FF"/>
                <w:highlight w:val="none"/>
              </w:rPr>
            </w:pPr>
            <w:r>
              <w:rPr>
                <w:color w:val="0000FF"/>
                <w:highlight w:val="none"/>
              </w:rPr>
              <w:t>最高允许排放负荷（g/床位）</w:t>
            </w:r>
          </w:p>
        </w:tc>
        <w:tc>
          <w:tcPr>
            <w:tcW w:w="2385" w:type="dxa"/>
            <w:tcBorders>
              <w:tl2br w:val="nil"/>
              <w:tr2bl w:val="nil"/>
            </w:tcBorders>
            <w:vAlign w:val="center"/>
          </w:tcPr>
          <w:p>
            <w:pPr>
              <w:pStyle w:val="22"/>
              <w:bidi w:val="0"/>
              <w:jc w:val="center"/>
              <w:rPr>
                <w:color w:val="0000FF"/>
                <w:highlight w:val="none"/>
              </w:rPr>
            </w:pPr>
          </w:p>
          <w:p>
            <w:pPr>
              <w:pStyle w:val="22"/>
              <w:bidi w:val="0"/>
              <w:jc w:val="center"/>
              <w:rPr>
                <w:color w:val="0000FF"/>
                <w:highlight w:val="none"/>
              </w:rPr>
            </w:pPr>
            <w:r>
              <w:rPr>
                <w:color w:val="0000FF"/>
                <w:highlight w:val="none"/>
              </w:rPr>
              <w:t>100</w:t>
            </w:r>
          </w:p>
          <w:p>
            <w:pPr>
              <w:pStyle w:val="22"/>
              <w:bidi w:val="0"/>
              <w:jc w:val="center"/>
              <w:rPr>
                <w:color w:val="0000FF"/>
                <w:highlight w:val="none"/>
              </w:rPr>
            </w:pPr>
            <w:r>
              <w:rPr>
                <w:color w:val="0000FF"/>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1433" w:type="dxa"/>
            <w:tcBorders>
              <w:tl2br w:val="nil"/>
              <w:tr2bl w:val="nil"/>
            </w:tcBorders>
            <w:vAlign w:val="center"/>
          </w:tcPr>
          <w:p>
            <w:pPr>
              <w:pStyle w:val="22"/>
              <w:bidi w:val="0"/>
              <w:jc w:val="center"/>
              <w:rPr>
                <w:color w:val="0000FF"/>
                <w:highlight w:val="none"/>
              </w:rPr>
            </w:pPr>
          </w:p>
          <w:p>
            <w:pPr>
              <w:pStyle w:val="22"/>
              <w:bidi w:val="0"/>
              <w:jc w:val="center"/>
              <w:rPr>
                <w:color w:val="0000FF"/>
                <w:highlight w:val="none"/>
              </w:rPr>
            </w:pPr>
            <w:r>
              <w:rPr>
                <w:color w:val="0000FF"/>
                <w:highlight w:val="none"/>
              </w:rPr>
              <w:t>7</w:t>
            </w:r>
          </w:p>
        </w:tc>
        <w:tc>
          <w:tcPr>
            <w:tcW w:w="4601" w:type="dxa"/>
            <w:tcBorders>
              <w:tl2br w:val="nil"/>
              <w:tr2bl w:val="nil"/>
            </w:tcBorders>
            <w:vAlign w:val="center"/>
          </w:tcPr>
          <w:p>
            <w:pPr>
              <w:pStyle w:val="22"/>
              <w:bidi w:val="0"/>
              <w:jc w:val="center"/>
              <w:rPr>
                <w:color w:val="0000FF"/>
                <w:highlight w:val="none"/>
              </w:rPr>
            </w:pPr>
            <w:r>
              <w:rPr>
                <w:color w:val="0000FF"/>
                <w:highlight w:val="none"/>
              </w:rPr>
              <w:t>悬浮物（SS）</w:t>
            </w:r>
          </w:p>
          <w:p>
            <w:pPr>
              <w:pStyle w:val="22"/>
              <w:bidi w:val="0"/>
              <w:jc w:val="center"/>
              <w:rPr>
                <w:color w:val="0000FF"/>
                <w:highlight w:val="none"/>
              </w:rPr>
            </w:pPr>
            <w:r>
              <w:rPr>
                <w:color w:val="0000FF"/>
                <w:highlight w:val="none"/>
              </w:rPr>
              <w:t>浓度（mg/L）</w:t>
            </w:r>
          </w:p>
          <w:p>
            <w:pPr>
              <w:pStyle w:val="22"/>
              <w:bidi w:val="0"/>
              <w:jc w:val="center"/>
              <w:rPr>
                <w:color w:val="0000FF"/>
                <w:highlight w:val="none"/>
              </w:rPr>
            </w:pPr>
            <w:r>
              <w:rPr>
                <w:color w:val="0000FF"/>
                <w:highlight w:val="none"/>
              </w:rPr>
              <w:t>最高允许排放负荷（g/床位）</w:t>
            </w:r>
          </w:p>
        </w:tc>
        <w:tc>
          <w:tcPr>
            <w:tcW w:w="2385" w:type="dxa"/>
            <w:tcBorders>
              <w:tl2br w:val="nil"/>
              <w:tr2bl w:val="nil"/>
            </w:tcBorders>
            <w:vAlign w:val="center"/>
          </w:tcPr>
          <w:p>
            <w:pPr>
              <w:pStyle w:val="22"/>
              <w:bidi w:val="0"/>
              <w:jc w:val="center"/>
              <w:rPr>
                <w:color w:val="0000FF"/>
                <w:highlight w:val="none"/>
              </w:rPr>
            </w:pPr>
          </w:p>
          <w:p>
            <w:pPr>
              <w:pStyle w:val="22"/>
              <w:bidi w:val="0"/>
              <w:jc w:val="center"/>
              <w:rPr>
                <w:color w:val="0000FF"/>
                <w:highlight w:val="none"/>
              </w:rPr>
            </w:pPr>
            <w:r>
              <w:rPr>
                <w:color w:val="0000FF"/>
                <w:highlight w:val="none"/>
              </w:rPr>
              <w:t>60</w:t>
            </w:r>
          </w:p>
          <w:p>
            <w:pPr>
              <w:pStyle w:val="22"/>
              <w:bidi w:val="0"/>
              <w:jc w:val="center"/>
              <w:rPr>
                <w:color w:val="0000FF"/>
                <w:highlight w:val="none"/>
              </w:rPr>
            </w:pPr>
            <w:r>
              <w:rPr>
                <w:color w:val="0000FF"/>
                <w:highlight w:val="none"/>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8</w:t>
            </w:r>
          </w:p>
        </w:tc>
        <w:tc>
          <w:tcPr>
            <w:tcW w:w="4601" w:type="dxa"/>
            <w:tcBorders>
              <w:tl2br w:val="nil"/>
              <w:tr2bl w:val="nil"/>
            </w:tcBorders>
            <w:vAlign w:val="center"/>
          </w:tcPr>
          <w:p>
            <w:pPr>
              <w:pStyle w:val="22"/>
              <w:bidi w:val="0"/>
              <w:jc w:val="center"/>
              <w:rPr>
                <w:color w:val="0000FF"/>
                <w:highlight w:val="none"/>
              </w:rPr>
            </w:pPr>
            <w:r>
              <w:rPr>
                <w:color w:val="0000FF"/>
                <w:highlight w:val="none"/>
              </w:rPr>
              <w:t>氨氮（mg/L）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9</w:t>
            </w:r>
          </w:p>
        </w:tc>
        <w:tc>
          <w:tcPr>
            <w:tcW w:w="4601" w:type="dxa"/>
            <w:tcBorders>
              <w:tl2br w:val="nil"/>
              <w:tr2bl w:val="nil"/>
            </w:tcBorders>
            <w:vAlign w:val="center"/>
          </w:tcPr>
          <w:p>
            <w:pPr>
              <w:pStyle w:val="22"/>
              <w:bidi w:val="0"/>
              <w:jc w:val="center"/>
              <w:rPr>
                <w:color w:val="0000FF"/>
                <w:highlight w:val="none"/>
              </w:rPr>
            </w:pPr>
            <w:r>
              <w:rPr>
                <w:color w:val="0000FF"/>
                <w:highlight w:val="none"/>
              </w:rPr>
              <w:t>动植物油（mg/L）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10</w:t>
            </w:r>
          </w:p>
        </w:tc>
        <w:tc>
          <w:tcPr>
            <w:tcW w:w="4601" w:type="dxa"/>
            <w:tcBorders>
              <w:tl2br w:val="nil"/>
              <w:tr2bl w:val="nil"/>
            </w:tcBorders>
            <w:vAlign w:val="center"/>
          </w:tcPr>
          <w:p>
            <w:pPr>
              <w:pStyle w:val="22"/>
              <w:bidi w:val="0"/>
              <w:jc w:val="center"/>
              <w:rPr>
                <w:color w:val="0000FF"/>
                <w:highlight w:val="none"/>
              </w:rPr>
            </w:pPr>
            <w:r>
              <w:rPr>
                <w:color w:val="0000FF"/>
                <w:highlight w:val="none"/>
              </w:rPr>
              <w:t>石油类（mg/L）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11</w:t>
            </w:r>
          </w:p>
        </w:tc>
        <w:tc>
          <w:tcPr>
            <w:tcW w:w="4601" w:type="dxa"/>
            <w:tcBorders>
              <w:tl2br w:val="nil"/>
              <w:tr2bl w:val="nil"/>
            </w:tcBorders>
            <w:vAlign w:val="center"/>
          </w:tcPr>
          <w:p>
            <w:pPr>
              <w:pStyle w:val="22"/>
              <w:bidi w:val="0"/>
              <w:jc w:val="center"/>
              <w:rPr>
                <w:color w:val="0000FF"/>
                <w:highlight w:val="none"/>
              </w:rPr>
            </w:pPr>
            <w:r>
              <w:rPr>
                <w:color w:val="0000FF"/>
                <w:highlight w:val="none"/>
              </w:rPr>
              <w:t>阴离子表面活性剂（mg/L）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12</w:t>
            </w:r>
          </w:p>
        </w:tc>
        <w:tc>
          <w:tcPr>
            <w:tcW w:w="4601" w:type="dxa"/>
            <w:tcBorders>
              <w:tl2br w:val="nil"/>
              <w:tr2bl w:val="nil"/>
            </w:tcBorders>
            <w:vAlign w:val="center"/>
          </w:tcPr>
          <w:p>
            <w:pPr>
              <w:pStyle w:val="22"/>
              <w:bidi w:val="0"/>
              <w:jc w:val="center"/>
              <w:rPr>
                <w:color w:val="0000FF"/>
                <w:highlight w:val="none"/>
              </w:rPr>
            </w:pPr>
            <w:r>
              <w:rPr>
                <w:color w:val="0000FF"/>
                <w:highlight w:val="none"/>
              </w:rPr>
              <w:t>色度（稀释倍数）</w:t>
            </w:r>
          </w:p>
        </w:tc>
        <w:tc>
          <w:tcPr>
            <w:tcW w:w="2385" w:type="dxa"/>
            <w:tcBorders>
              <w:tl2br w:val="nil"/>
              <w:tr2bl w:val="nil"/>
            </w:tcBorders>
            <w:vAlign w:val="center"/>
          </w:tcPr>
          <w:p>
            <w:pPr>
              <w:pStyle w:val="22"/>
              <w:bidi w:val="0"/>
              <w:jc w:val="center"/>
              <w:rPr>
                <w:color w:val="0000FF"/>
                <w:highlight w:val="none"/>
              </w:rPr>
            </w:pPr>
            <w:r>
              <w:rPr>
                <w:color w:val="0000FF"/>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13</w:t>
            </w:r>
          </w:p>
        </w:tc>
        <w:tc>
          <w:tcPr>
            <w:tcW w:w="4601" w:type="dxa"/>
            <w:tcBorders>
              <w:tl2br w:val="nil"/>
              <w:tr2bl w:val="nil"/>
            </w:tcBorders>
            <w:vAlign w:val="center"/>
          </w:tcPr>
          <w:p>
            <w:pPr>
              <w:pStyle w:val="22"/>
              <w:bidi w:val="0"/>
              <w:jc w:val="center"/>
              <w:rPr>
                <w:color w:val="0000FF"/>
                <w:highlight w:val="none"/>
              </w:rPr>
            </w:pPr>
            <w:r>
              <w:rPr>
                <w:color w:val="0000FF"/>
                <w:highlight w:val="none"/>
              </w:rPr>
              <w:t>挥发酚（mg/L）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14</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总氰化物（mg/L）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15</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总汞（mg/L）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16</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总镉（mg/L）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17</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总铬（mg/L）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18</w:t>
            </w:r>
          </w:p>
        </w:tc>
        <w:tc>
          <w:tcPr>
            <w:tcW w:w="4601" w:type="dxa"/>
            <w:tcBorders>
              <w:tl2br w:val="nil"/>
              <w:tr2bl w:val="nil"/>
            </w:tcBorders>
            <w:vAlign w:val="center"/>
          </w:tcPr>
          <w:p>
            <w:pPr>
              <w:pStyle w:val="22"/>
              <w:bidi w:val="0"/>
              <w:jc w:val="center"/>
              <w:rPr>
                <w:color w:val="0000FF"/>
                <w:highlight w:val="none"/>
              </w:rPr>
            </w:pPr>
            <w:r>
              <w:rPr>
                <w:color w:val="0000FF"/>
                <w:highlight w:val="none"/>
              </w:rPr>
              <w:t>六价铬（mg/L）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19</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总砷（mg/L）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20</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总铅（mg/L）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21</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总银（mg/L）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22</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总Α(Bq/L)</w:t>
            </w:r>
          </w:p>
        </w:tc>
        <w:tc>
          <w:tcPr>
            <w:tcW w:w="2385" w:type="dxa"/>
            <w:tcBorders>
              <w:tl2br w:val="nil"/>
              <w:tr2bl w:val="nil"/>
            </w:tcBorders>
            <w:vAlign w:val="center"/>
          </w:tcPr>
          <w:p>
            <w:pPr>
              <w:pStyle w:val="22"/>
              <w:bidi w:val="0"/>
              <w:jc w:val="center"/>
              <w:rPr>
                <w:color w:val="0000FF"/>
                <w:highlight w:val="none"/>
              </w:rPr>
            </w:pPr>
            <w:r>
              <w:rPr>
                <w:color w:val="0000FF"/>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23</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总Β(Bq/L)</w:t>
            </w:r>
          </w:p>
        </w:tc>
        <w:tc>
          <w:tcPr>
            <w:tcW w:w="2385" w:type="dxa"/>
            <w:tcBorders>
              <w:tl2br w:val="nil"/>
              <w:tr2bl w:val="nil"/>
            </w:tcBorders>
            <w:vAlign w:val="center"/>
          </w:tcPr>
          <w:p>
            <w:pPr>
              <w:pStyle w:val="22"/>
              <w:bidi w:val="0"/>
              <w:jc w:val="center"/>
              <w:rPr>
                <w:color w:val="0000FF"/>
                <w:highlight w:val="none"/>
              </w:rPr>
            </w:pPr>
            <w:r>
              <w:rPr>
                <w:color w:val="0000FF"/>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jc w:val="center"/>
        </w:trPr>
        <w:tc>
          <w:tcPr>
            <w:tcW w:w="1433" w:type="dxa"/>
            <w:tcBorders>
              <w:tl2br w:val="nil"/>
              <w:tr2bl w:val="nil"/>
            </w:tcBorders>
            <w:vAlign w:val="center"/>
          </w:tcPr>
          <w:p>
            <w:pPr>
              <w:pStyle w:val="22"/>
              <w:bidi w:val="0"/>
              <w:jc w:val="center"/>
              <w:rPr>
                <w:color w:val="0000FF"/>
                <w:highlight w:val="none"/>
              </w:rPr>
            </w:pPr>
            <w:r>
              <w:rPr>
                <w:color w:val="0000FF"/>
                <w:highlight w:val="none"/>
              </w:rPr>
              <w:t>24</w:t>
            </w:r>
          </w:p>
        </w:tc>
        <w:tc>
          <w:tcPr>
            <w:tcW w:w="4601" w:type="dxa"/>
            <w:tcBorders>
              <w:tl2br w:val="nil"/>
              <w:tr2bl w:val="nil"/>
            </w:tcBorders>
            <w:vAlign w:val="center"/>
          </w:tcPr>
          <w:p>
            <w:pPr>
              <w:pStyle w:val="22"/>
              <w:bidi w:val="0"/>
              <w:jc w:val="center"/>
              <w:rPr>
                <w:color w:val="0000FF"/>
                <w:highlight w:val="none"/>
              </w:rPr>
            </w:pPr>
            <w:r>
              <w:rPr>
                <w:color w:val="0000FF"/>
                <w:highlight w:val="none"/>
              </w:rPr>
              <w:t>总余氯</w:t>
            </w:r>
            <w:r>
              <w:rPr>
                <w:color w:val="0000FF"/>
                <w:highlight w:val="none"/>
                <w:vertAlign w:val="superscript"/>
              </w:rPr>
              <w:t>1）2）</w:t>
            </w:r>
            <w:r>
              <w:rPr>
                <w:color w:val="0000FF"/>
                <w:highlight w:val="none"/>
              </w:rPr>
              <w:t>（mg/L）</w:t>
            </w:r>
          </w:p>
        </w:tc>
        <w:tc>
          <w:tcPr>
            <w:tcW w:w="2385" w:type="dxa"/>
            <w:tcBorders>
              <w:tl2br w:val="nil"/>
              <w:tr2bl w:val="nil"/>
            </w:tcBorders>
            <w:vAlign w:val="center"/>
          </w:tcPr>
          <w:p>
            <w:pPr>
              <w:pStyle w:val="22"/>
              <w:bidi w:val="0"/>
              <w:jc w:val="center"/>
              <w:rPr>
                <w:color w:val="0000FF"/>
                <w:highlight w:val="none"/>
              </w:rPr>
            </w:pPr>
            <w:r>
              <w:rPr>
                <w:color w:val="0000FF"/>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rFonts w:hint="eastAsia" w:eastAsia="宋体"/>
                <w:color w:val="0000FF"/>
                <w:highlight w:val="none"/>
                <w:lang w:val="en-US" w:eastAsia="zh-CN"/>
              </w:rPr>
            </w:pPr>
            <w:r>
              <w:rPr>
                <w:rFonts w:hint="eastAsia"/>
                <w:color w:val="0000FF"/>
                <w:highlight w:val="none"/>
                <w:lang w:val="en-US" w:eastAsia="zh-CN"/>
              </w:rPr>
              <w:t>备注</w:t>
            </w:r>
          </w:p>
        </w:tc>
        <w:tc>
          <w:tcPr>
            <w:tcW w:w="6986" w:type="dxa"/>
            <w:gridSpan w:val="2"/>
            <w:tcBorders>
              <w:tl2br w:val="nil"/>
              <w:tr2bl w:val="nil"/>
            </w:tcBorders>
            <w:vAlign w:val="center"/>
          </w:tcPr>
          <w:p>
            <w:pPr>
              <w:pStyle w:val="22"/>
              <w:bidi w:val="0"/>
              <w:jc w:val="both"/>
              <w:rPr>
                <w:color w:val="0000FF"/>
                <w:highlight w:val="none"/>
              </w:rPr>
            </w:pPr>
            <w:r>
              <w:rPr>
                <w:rFonts w:hint="default"/>
                <w:color w:val="0000FF"/>
                <w:highlight w:val="none"/>
                <w:lang w:val="en-US" w:eastAsia="zh-CN"/>
              </w:rPr>
              <w:t>1</w:t>
            </w:r>
            <w:r>
              <w:rPr>
                <w:rFonts w:hint="eastAsia"/>
                <w:color w:val="0000FF"/>
                <w:highlight w:val="none"/>
                <w:lang w:val="en-US" w:eastAsia="zh-CN"/>
              </w:rPr>
              <w:t>）采用含氯消毒剂消毒的工艺控制要求为：</w:t>
            </w:r>
          </w:p>
          <w:p>
            <w:pPr>
              <w:pStyle w:val="22"/>
              <w:bidi w:val="0"/>
              <w:jc w:val="left"/>
              <w:rPr>
                <w:color w:val="0000FF"/>
                <w:highlight w:val="none"/>
              </w:rPr>
            </w:pPr>
            <w:r>
              <w:rPr>
                <w:rFonts w:hint="eastAsia"/>
                <w:color w:val="0000FF"/>
                <w:highlight w:val="none"/>
                <w:lang w:val="en-US" w:eastAsia="zh-CN"/>
              </w:rPr>
              <w:t>预处理标准：消毒接触池接触时间</w:t>
            </w:r>
            <w:r>
              <w:rPr>
                <w:rFonts w:hint="default"/>
                <w:color w:val="0000FF"/>
                <w:highlight w:val="none"/>
                <w:lang w:val="en-US" w:eastAsia="zh-CN"/>
              </w:rPr>
              <w:t>≥1h</w:t>
            </w:r>
            <w:r>
              <w:rPr>
                <w:rFonts w:hint="eastAsia"/>
                <w:color w:val="0000FF"/>
                <w:highlight w:val="none"/>
                <w:lang w:val="en-US" w:eastAsia="zh-CN"/>
              </w:rPr>
              <w:t>，接触池出口总余氯</w:t>
            </w:r>
            <w:r>
              <w:rPr>
                <w:rFonts w:hint="default"/>
                <w:color w:val="0000FF"/>
                <w:highlight w:val="none"/>
                <w:lang w:val="en-US" w:eastAsia="zh-CN"/>
              </w:rPr>
              <w:t>2</w:t>
            </w:r>
            <w:r>
              <w:rPr>
                <w:rFonts w:hint="default"/>
                <w:color w:val="0000FF"/>
                <w:highlight w:val="none"/>
                <w:vertAlign w:val="superscript"/>
                <w:lang w:val="en-US" w:eastAsia="zh-CN"/>
              </w:rPr>
              <w:t>-8</w:t>
            </w:r>
            <w:r>
              <w:rPr>
                <w:rFonts w:hint="default"/>
                <w:color w:val="0000FF"/>
                <w:highlight w:val="none"/>
                <w:lang w:val="en-US" w:eastAsia="zh-CN"/>
              </w:rPr>
              <w:t>mg/L</w:t>
            </w:r>
            <w:r>
              <w:rPr>
                <w:rFonts w:hint="eastAsia"/>
                <w:color w:val="0000FF"/>
                <w:highlight w:val="none"/>
                <w:lang w:val="en-US" w:eastAsia="zh-CN"/>
              </w:rPr>
              <w:t>。</w:t>
            </w:r>
          </w:p>
          <w:p>
            <w:pPr>
              <w:pStyle w:val="22"/>
              <w:bidi w:val="0"/>
              <w:jc w:val="both"/>
              <w:rPr>
                <w:color w:val="0000FF"/>
                <w:highlight w:val="none"/>
              </w:rPr>
            </w:pPr>
            <w:r>
              <w:rPr>
                <w:rFonts w:hint="default"/>
                <w:color w:val="0000FF"/>
                <w:highlight w:val="none"/>
                <w:lang w:val="en-US" w:eastAsia="zh-CN"/>
              </w:rPr>
              <w:t>2</w:t>
            </w:r>
            <w:r>
              <w:rPr>
                <w:rFonts w:hint="eastAsia"/>
                <w:color w:val="0000FF"/>
                <w:highlight w:val="none"/>
                <w:lang w:val="en-US" w:eastAsia="zh-CN"/>
              </w:rPr>
              <w:t>）采用其他消毒剂对总余氯不作要求。</w:t>
            </w:r>
          </w:p>
        </w:tc>
      </w:tr>
    </w:tbl>
    <w:p>
      <w:pPr>
        <w:bidi w:val="0"/>
        <w:rPr>
          <w:rFonts w:hint="eastAsia"/>
          <w:color w:val="0000FF"/>
          <w:lang w:val="en-US" w:eastAsia="zh-CN"/>
        </w:rPr>
      </w:pPr>
      <w:r>
        <w:rPr>
          <w:rFonts w:hint="eastAsia"/>
          <w:color w:val="0000FF"/>
          <w:lang w:val="en-US" w:eastAsia="zh-CN"/>
        </w:rPr>
        <w:t>2、办公楼生活废水</w:t>
      </w:r>
    </w:p>
    <w:p>
      <w:pPr>
        <w:bidi w:val="0"/>
        <w:rPr>
          <w:rFonts w:hint="default"/>
          <w:color w:val="0000FF"/>
          <w:lang w:val="en-US" w:eastAsia="zh-CN"/>
        </w:rPr>
      </w:pPr>
      <w:r>
        <w:rPr>
          <w:color w:val="0000FF"/>
        </w:rPr>
        <w:t>办公楼生活污水经化粪池处理后</w:t>
      </w:r>
      <w:r>
        <w:rPr>
          <w:rFonts w:hint="eastAsia"/>
          <w:color w:val="0000FF"/>
          <w:lang w:val="en-US" w:eastAsia="zh-CN"/>
        </w:rPr>
        <w:t>达到</w:t>
      </w:r>
      <w:r>
        <w:rPr>
          <w:color w:val="0000FF"/>
        </w:rPr>
        <w:t>《污水综合排放标准》（GB8978-1996）</w:t>
      </w:r>
      <w:r>
        <w:rPr>
          <w:rFonts w:hint="eastAsia"/>
          <w:color w:val="0000FF"/>
          <w:lang w:val="en-US" w:eastAsia="zh-CN"/>
        </w:rPr>
        <w:t>三级标准后</w:t>
      </w:r>
      <w:r>
        <w:rPr>
          <w:color w:val="0000FF"/>
        </w:rPr>
        <w:t>与</w:t>
      </w:r>
      <w:r>
        <w:rPr>
          <w:rFonts w:hint="eastAsia"/>
          <w:color w:val="0000FF"/>
          <w:lang w:val="en-US" w:eastAsia="zh-CN"/>
        </w:rPr>
        <w:t>实验室废水</w:t>
      </w:r>
      <w:r>
        <w:rPr>
          <w:color w:val="0000FF"/>
        </w:rPr>
        <w:t>一同经市政污水管网排入</w:t>
      </w:r>
      <w:r>
        <w:rPr>
          <w:rFonts w:hint="eastAsia"/>
          <w:color w:val="0000FF"/>
          <w:lang w:val="en-US" w:eastAsia="zh-CN"/>
        </w:rPr>
        <w:t>225团</w:t>
      </w:r>
      <w:r>
        <w:rPr>
          <w:color w:val="0000FF"/>
        </w:rPr>
        <w:t>污水处理厂进行进一步处理。</w:t>
      </w:r>
    </w:p>
    <w:p>
      <w:pPr>
        <w:pStyle w:val="22"/>
        <w:bidi w:val="0"/>
        <w:rPr>
          <w:color w:val="0000FF"/>
          <w:highlight w:val="none"/>
        </w:rPr>
      </w:pPr>
      <w:r>
        <w:rPr>
          <w:b/>
          <w:bCs/>
          <w:color w:val="0000FF"/>
          <w:highlight w:val="none"/>
        </w:rPr>
        <w:t>表2.</w:t>
      </w:r>
      <w:r>
        <w:rPr>
          <w:rFonts w:hint="eastAsia"/>
          <w:b/>
          <w:bCs/>
          <w:color w:val="0000FF"/>
          <w:highlight w:val="none"/>
          <w:lang w:val="en-US" w:eastAsia="zh-CN"/>
        </w:rPr>
        <w:t>5</w:t>
      </w:r>
      <w:r>
        <w:rPr>
          <w:b/>
          <w:bCs/>
          <w:color w:val="0000FF"/>
          <w:highlight w:val="none"/>
        </w:rPr>
        <w:t>-</w:t>
      </w:r>
      <w:r>
        <w:rPr>
          <w:rFonts w:hint="eastAsia"/>
          <w:b/>
          <w:bCs/>
          <w:color w:val="0000FF"/>
          <w:highlight w:val="none"/>
          <w:lang w:val="en-US" w:eastAsia="zh-CN"/>
        </w:rPr>
        <w:t>6</w:t>
      </w:r>
      <w:r>
        <w:rPr>
          <w:b/>
          <w:bCs/>
          <w:color w:val="0000FF"/>
          <w:highlight w:val="none"/>
        </w:rPr>
        <w:t>《污水综合排放标准》（GB8978-1996）</w:t>
      </w:r>
    </w:p>
    <w:tbl>
      <w:tblPr>
        <w:tblStyle w:val="23"/>
        <w:tblW w:w="8372" w:type="dxa"/>
        <w:tblInd w:w="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1"/>
        <w:gridCol w:w="2766"/>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771" w:type="dxa"/>
            <w:tcBorders>
              <w:top w:val="single" w:color="000000" w:sz="2" w:space="0"/>
              <w:left w:val="single" w:color="000000" w:sz="2" w:space="0"/>
              <w:right w:val="single" w:color="000000" w:sz="2" w:space="0"/>
            </w:tcBorders>
            <w:vAlign w:val="top"/>
          </w:tcPr>
          <w:p>
            <w:pPr>
              <w:pStyle w:val="22"/>
              <w:bidi w:val="0"/>
              <w:rPr>
                <w:color w:val="0000FF"/>
                <w:highlight w:val="none"/>
              </w:rPr>
            </w:pPr>
            <w:r>
              <w:rPr>
                <w:color w:val="0000FF"/>
                <w:highlight w:val="none"/>
              </w:rPr>
              <w:t>污染物</w:t>
            </w:r>
          </w:p>
        </w:tc>
        <w:tc>
          <w:tcPr>
            <w:tcW w:w="2766" w:type="dxa"/>
            <w:tcBorders>
              <w:top w:val="single" w:color="000000" w:sz="2" w:space="0"/>
              <w:left w:val="single" w:color="000000" w:sz="2" w:space="0"/>
            </w:tcBorders>
            <w:vAlign w:val="top"/>
          </w:tcPr>
          <w:p>
            <w:pPr>
              <w:pStyle w:val="22"/>
              <w:bidi w:val="0"/>
              <w:rPr>
                <w:color w:val="0000FF"/>
                <w:highlight w:val="none"/>
              </w:rPr>
            </w:pPr>
            <w:r>
              <w:rPr>
                <w:color w:val="0000FF"/>
                <w:highlight w:val="none"/>
              </w:rPr>
              <w:t>单位</w:t>
            </w:r>
          </w:p>
        </w:tc>
        <w:tc>
          <w:tcPr>
            <w:tcW w:w="2835" w:type="dxa"/>
            <w:tcBorders>
              <w:top w:val="single" w:color="000000" w:sz="2" w:space="0"/>
              <w:right w:val="single" w:color="000000" w:sz="2" w:space="0"/>
            </w:tcBorders>
            <w:vAlign w:val="top"/>
          </w:tcPr>
          <w:p>
            <w:pPr>
              <w:pStyle w:val="22"/>
              <w:bidi w:val="0"/>
              <w:rPr>
                <w:color w:val="0000FF"/>
                <w:highlight w:val="none"/>
              </w:rPr>
            </w:pPr>
            <w:r>
              <w:rPr>
                <w:color w:val="0000FF"/>
                <w:highlight w:val="none"/>
              </w:rPr>
              <w:t>标准值（三级排放标准）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71" w:type="dxa"/>
            <w:tcBorders>
              <w:left w:val="single" w:color="000000" w:sz="2" w:space="0"/>
              <w:right w:val="single" w:color="000000" w:sz="2" w:space="0"/>
            </w:tcBorders>
            <w:vAlign w:val="top"/>
          </w:tcPr>
          <w:p>
            <w:pPr>
              <w:pStyle w:val="22"/>
              <w:bidi w:val="0"/>
              <w:rPr>
                <w:color w:val="0000FF"/>
                <w:highlight w:val="none"/>
              </w:rPr>
            </w:pPr>
            <w:r>
              <w:rPr>
                <w:color w:val="0000FF"/>
                <w:highlight w:val="none"/>
              </w:rPr>
              <w:t>SS</w:t>
            </w:r>
          </w:p>
        </w:tc>
        <w:tc>
          <w:tcPr>
            <w:tcW w:w="2766" w:type="dxa"/>
            <w:tcBorders>
              <w:left w:val="single" w:color="000000" w:sz="2" w:space="0"/>
            </w:tcBorders>
            <w:vAlign w:val="top"/>
          </w:tcPr>
          <w:p>
            <w:pPr>
              <w:pStyle w:val="22"/>
              <w:bidi w:val="0"/>
              <w:rPr>
                <w:color w:val="0000FF"/>
                <w:highlight w:val="none"/>
              </w:rPr>
            </w:pPr>
            <w:r>
              <w:rPr>
                <w:color w:val="0000FF"/>
                <w:highlight w:val="none"/>
              </w:rPr>
              <w:t>mg/L</w:t>
            </w:r>
          </w:p>
        </w:tc>
        <w:tc>
          <w:tcPr>
            <w:tcW w:w="2835" w:type="dxa"/>
            <w:tcBorders>
              <w:right w:val="single" w:color="000000" w:sz="2" w:space="0"/>
            </w:tcBorders>
            <w:vAlign w:val="top"/>
          </w:tcPr>
          <w:p>
            <w:pPr>
              <w:pStyle w:val="22"/>
              <w:bidi w:val="0"/>
              <w:rPr>
                <w:color w:val="0000FF"/>
                <w:highlight w:val="none"/>
              </w:rPr>
            </w:pPr>
            <w:r>
              <w:rPr>
                <w:color w:val="0000FF"/>
                <w:highlight w:val="none"/>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771" w:type="dxa"/>
            <w:tcBorders>
              <w:left w:val="single" w:color="000000" w:sz="2" w:space="0"/>
              <w:right w:val="single" w:color="000000" w:sz="2" w:space="0"/>
            </w:tcBorders>
            <w:vAlign w:val="top"/>
          </w:tcPr>
          <w:p>
            <w:pPr>
              <w:pStyle w:val="22"/>
              <w:bidi w:val="0"/>
              <w:rPr>
                <w:color w:val="0000FF"/>
                <w:highlight w:val="none"/>
              </w:rPr>
            </w:pPr>
            <w:r>
              <w:rPr>
                <w:color w:val="0000FF"/>
                <w:highlight w:val="none"/>
              </w:rPr>
              <w:t>COD</w:t>
            </w:r>
          </w:p>
        </w:tc>
        <w:tc>
          <w:tcPr>
            <w:tcW w:w="2766" w:type="dxa"/>
            <w:tcBorders>
              <w:left w:val="single" w:color="000000" w:sz="2" w:space="0"/>
            </w:tcBorders>
            <w:vAlign w:val="top"/>
          </w:tcPr>
          <w:p>
            <w:pPr>
              <w:pStyle w:val="22"/>
              <w:bidi w:val="0"/>
              <w:rPr>
                <w:color w:val="0000FF"/>
                <w:highlight w:val="none"/>
              </w:rPr>
            </w:pPr>
            <w:r>
              <w:rPr>
                <w:color w:val="0000FF"/>
                <w:highlight w:val="none"/>
              </w:rPr>
              <w:t>mg/L</w:t>
            </w:r>
          </w:p>
        </w:tc>
        <w:tc>
          <w:tcPr>
            <w:tcW w:w="2835" w:type="dxa"/>
            <w:tcBorders>
              <w:right w:val="single" w:color="000000" w:sz="2" w:space="0"/>
            </w:tcBorders>
            <w:vAlign w:val="top"/>
          </w:tcPr>
          <w:p>
            <w:pPr>
              <w:pStyle w:val="22"/>
              <w:bidi w:val="0"/>
              <w:rPr>
                <w:color w:val="0000FF"/>
                <w:highlight w:val="none"/>
              </w:rPr>
            </w:pPr>
            <w:r>
              <w:rPr>
                <w:color w:val="0000FF"/>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71" w:type="dxa"/>
            <w:tcBorders>
              <w:left w:val="single" w:color="000000" w:sz="2" w:space="0"/>
              <w:right w:val="single" w:color="000000" w:sz="2" w:space="0"/>
            </w:tcBorders>
            <w:vAlign w:val="top"/>
          </w:tcPr>
          <w:p>
            <w:pPr>
              <w:pStyle w:val="22"/>
              <w:bidi w:val="0"/>
              <w:rPr>
                <w:color w:val="0000FF"/>
                <w:highlight w:val="none"/>
              </w:rPr>
            </w:pPr>
            <w:r>
              <w:rPr>
                <w:color w:val="0000FF"/>
                <w:highlight w:val="none"/>
              </w:rPr>
              <w:t>BOD5</w:t>
            </w:r>
          </w:p>
        </w:tc>
        <w:tc>
          <w:tcPr>
            <w:tcW w:w="2766" w:type="dxa"/>
            <w:tcBorders>
              <w:left w:val="single" w:color="000000" w:sz="2" w:space="0"/>
            </w:tcBorders>
            <w:vAlign w:val="top"/>
          </w:tcPr>
          <w:p>
            <w:pPr>
              <w:pStyle w:val="22"/>
              <w:bidi w:val="0"/>
              <w:rPr>
                <w:color w:val="0000FF"/>
                <w:highlight w:val="none"/>
              </w:rPr>
            </w:pPr>
            <w:r>
              <w:rPr>
                <w:color w:val="0000FF"/>
                <w:highlight w:val="none"/>
              </w:rPr>
              <w:t>mg/L</w:t>
            </w:r>
          </w:p>
        </w:tc>
        <w:tc>
          <w:tcPr>
            <w:tcW w:w="2835" w:type="dxa"/>
            <w:tcBorders>
              <w:right w:val="single" w:color="000000" w:sz="2" w:space="0"/>
            </w:tcBorders>
            <w:vAlign w:val="top"/>
          </w:tcPr>
          <w:p>
            <w:pPr>
              <w:pStyle w:val="22"/>
              <w:bidi w:val="0"/>
              <w:rPr>
                <w:color w:val="0000FF"/>
                <w:highlight w:val="none"/>
              </w:rPr>
            </w:pPr>
            <w:r>
              <w:rPr>
                <w:color w:val="0000FF"/>
                <w:highlight w:val="non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771" w:type="dxa"/>
            <w:tcBorders>
              <w:left w:val="single" w:color="000000" w:sz="2" w:space="0"/>
              <w:right w:val="single" w:color="000000" w:sz="2" w:space="0"/>
            </w:tcBorders>
            <w:vAlign w:val="top"/>
          </w:tcPr>
          <w:p>
            <w:pPr>
              <w:pStyle w:val="22"/>
              <w:bidi w:val="0"/>
              <w:rPr>
                <w:color w:val="0000FF"/>
                <w:highlight w:val="none"/>
              </w:rPr>
            </w:pPr>
            <w:r>
              <w:rPr>
                <w:color w:val="0000FF"/>
                <w:highlight w:val="none"/>
              </w:rPr>
              <w:t>NH3-N</w:t>
            </w:r>
          </w:p>
        </w:tc>
        <w:tc>
          <w:tcPr>
            <w:tcW w:w="2766" w:type="dxa"/>
            <w:tcBorders>
              <w:left w:val="single" w:color="000000" w:sz="2" w:space="0"/>
            </w:tcBorders>
            <w:vAlign w:val="top"/>
          </w:tcPr>
          <w:p>
            <w:pPr>
              <w:pStyle w:val="22"/>
              <w:bidi w:val="0"/>
              <w:rPr>
                <w:color w:val="0000FF"/>
                <w:highlight w:val="none"/>
              </w:rPr>
            </w:pPr>
            <w:r>
              <w:rPr>
                <w:color w:val="0000FF"/>
                <w:highlight w:val="none"/>
              </w:rPr>
              <w:t>mg/L</w:t>
            </w:r>
          </w:p>
        </w:tc>
        <w:tc>
          <w:tcPr>
            <w:tcW w:w="2835" w:type="dxa"/>
            <w:tcBorders>
              <w:right w:val="single" w:color="000000" w:sz="2" w:space="0"/>
            </w:tcBorders>
            <w:vAlign w:val="top"/>
          </w:tcPr>
          <w:p>
            <w:pPr>
              <w:pStyle w:val="22"/>
              <w:bidi w:val="0"/>
              <w:rPr>
                <w:color w:val="0000FF"/>
                <w:highlight w:val="none"/>
              </w:rPr>
            </w:pPr>
            <w:r>
              <w:rPr>
                <w:color w:val="0000FF"/>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771" w:type="dxa"/>
            <w:tcBorders>
              <w:left w:val="single" w:color="000000" w:sz="2" w:space="0"/>
              <w:right w:val="single" w:color="000000" w:sz="2" w:space="0"/>
            </w:tcBorders>
            <w:vAlign w:val="top"/>
          </w:tcPr>
          <w:p>
            <w:pPr>
              <w:pStyle w:val="22"/>
              <w:bidi w:val="0"/>
              <w:rPr>
                <w:color w:val="0000FF"/>
                <w:highlight w:val="none"/>
              </w:rPr>
            </w:pPr>
            <w:r>
              <w:rPr>
                <w:color w:val="0000FF"/>
                <w:highlight w:val="none"/>
              </w:rPr>
              <w:t>动植物油</w:t>
            </w:r>
          </w:p>
        </w:tc>
        <w:tc>
          <w:tcPr>
            <w:tcW w:w="2766" w:type="dxa"/>
            <w:tcBorders>
              <w:left w:val="single" w:color="000000" w:sz="2" w:space="0"/>
            </w:tcBorders>
            <w:vAlign w:val="top"/>
          </w:tcPr>
          <w:p>
            <w:pPr>
              <w:pStyle w:val="22"/>
              <w:bidi w:val="0"/>
              <w:rPr>
                <w:color w:val="0000FF"/>
                <w:highlight w:val="none"/>
              </w:rPr>
            </w:pPr>
            <w:r>
              <w:rPr>
                <w:color w:val="0000FF"/>
                <w:highlight w:val="none"/>
              </w:rPr>
              <w:t>mg/L</w:t>
            </w:r>
          </w:p>
        </w:tc>
        <w:tc>
          <w:tcPr>
            <w:tcW w:w="2835" w:type="dxa"/>
            <w:tcBorders>
              <w:right w:val="single" w:color="000000" w:sz="2" w:space="0"/>
            </w:tcBorders>
            <w:vAlign w:val="top"/>
          </w:tcPr>
          <w:p>
            <w:pPr>
              <w:pStyle w:val="22"/>
              <w:bidi w:val="0"/>
              <w:rPr>
                <w:color w:val="0000FF"/>
                <w:highlight w:val="none"/>
              </w:rPr>
            </w:pPr>
            <w:r>
              <w:rPr>
                <w:color w:val="0000FF"/>
                <w:highlight w:val="none"/>
              </w:rPr>
              <w:t>100</w:t>
            </w:r>
          </w:p>
        </w:tc>
      </w:tr>
    </w:tbl>
    <w:p>
      <w:pPr>
        <w:bidi w:val="0"/>
        <w:rPr>
          <w:color w:val="0000FF"/>
        </w:rPr>
      </w:pPr>
      <w:r>
        <w:rPr>
          <w:color w:val="0000FF"/>
        </w:rPr>
        <w:t>（3）噪声</w:t>
      </w:r>
    </w:p>
    <w:p>
      <w:pPr>
        <w:bidi w:val="0"/>
        <w:rPr>
          <w:rFonts w:hint="eastAsia"/>
          <w:color w:val="0000FF"/>
          <w:lang w:val="en-US" w:eastAsia="zh-CN"/>
        </w:rPr>
      </w:pPr>
      <w:r>
        <w:rPr>
          <w:color w:val="0000FF"/>
        </w:rPr>
        <w:t>项目运营期噪声排放执行《</w:t>
      </w:r>
      <w:r>
        <w:rPr>
          <w:rFonts w:hint="eastAsia"/>
          <w:color w:val="0000FF"/>
          <w:lang w:eastAsia="zh-CN"/>
        </w:rPr>
        <w:t>工业企业厂界环境噪声排放标准</w:t>
      </w:r>
      <w:r>
        <w:rPr>
          <w:color w:val="0000FF"/>
        </w:rPr>
        <w:t>》（GB12348-2008）中</w:t>
      </w:r>
      <w:r>
        <w:rPr>
          <w:rFonts w:hint="eastAsia"/>
          <w:color w:val="0000FF"/>
          <w:lang w:val="en-US" w:eastAsia="zh-CN"/>
        </w:rPr>
        <w:t>1</w:t>
      </w:r>
      <w:r>
        <w:rPr>
          <w:color w:val="0000FF"/>
        </w:rPr>
        <w:t>类标准</w:t>
      </w:r>
      <w:r>
        <w:rPr>
          <w:rFonts w:hint="eastAsia"/>
          <w:color w:val="0000FF"/>
          <w:lang w:eastAsia="zh-CN"/>
        </w:rPr>
        <w:t>，</w:t>
      </w:r>
      <w:r>
        <w:rPr>
          <w:color w:val="0000FF"/>
        </w:rPr>
        <w:t>标准值见表2.</w:t>
      </w:r>
      <w:r>
        <w:rPr>
          <w:rFonts w:hint="eastAsia"/>
          <w:color w:val="0000FF"/>
          <w:lang w:val="en-US" w:eastAsia="zh-CN"/>
        </w:rPr>
        <w:t>5</w:t>
      </w:r>
      <w:r>
        <w:rPr>
          <w:color w:val="0000FF"/>
        </w:rPr>
        <w:t>-</w:t>
      </w:r>
      <w:r>
        <w:rPr>
          <w:rFonts w:hint="eastAsia"/>
          <w:color w:val="0000FF"/>
          <w:lang w:val="en-US" w:eastAsia="zh-CN"/>
        </w:rPr>
        <w:t>7</w:t>
      </w:r>
      <w:r>
        <w:rPr>
          <w:color w:val="0000FF"/>
        </w:rPr>
        <w:t>。</w:t>
      </w:r>
    </w:p>
    <w:p>
      <w:pPr>
        <w:pStyle w:val="22"/>
        <w:bidi w:val="0"/>
        <w:rPr>
          <w:b/>
          <w:bCs/>
          <w:color w:val="0000FF"/>
        </w:rPr>
      </w:pPr>
      <w:r>
        <w:rPr>
          <w:b/>
          <w:bCs/>
          <w:color w:val="0000FF"/>
        </w:rPr>
        <w:t>表2.</w:t>
      </w:r>
      <w:r>
        <w:rPr>
          <w:rFonts w:hint="eastAsia"/>
          <w:b/>
          <w:bCs/>
          <w:color w:val="0000FF"/>
          <w:lang w:val="en-US" w:eastAsia="zh-CN"/>
        </w:rPr>
        <w:t>5</w:t>
      </w:r>
      <w:r>
        <w:rPr>
          <w:b/>
          <w:bCs/>
          <w:color w:val="0000FF"/>
        </w:rPr>
        <w:t>-</w:t>
      </w:r>
      <w:r>
        <w:rPr>
          <w:rFonts w:hint="eastAsia"/>
          <w:b/>
          <w:bCs/>
          <w:color w:val="0000FF"/>
          <w:lang w:val="en-US" w:eastAsia="zh-CN"/>
        </w:rPr>
        <w:t xml:space="preserve">7   </w:t>
      </w:r>
      <w:r>
        <w:rPr>
          <w:b/>
          <w:bCs/>
          <w:color w:val="0000FF"/>
        </w:rPr>
        <w:t>《工业企业厂界环境噪声排放标准》（GB12348-2008）</w:t>
      </w:r>
      <w:r>
        <w:rPr>
          <w:rFonts w:hint="eastAsia"/>
          <w:b/>
          <w:bCs/>
          <w:color w:val="0000FF"/>
          <w:lang w:val="en-US" w:eastAsia="zh-CN"/>
        </w:rPr>
        <w:t xml:space="preserve">   </w:t>
      </w:r>
      <w:r>
        <w:rPr>
          <w:b/>
          <w:bCs/>
          <w:color w:val="0000FF"/>
        </w:rPr>
        <w:t>单位：dB（A）</w:t>
      </w:r>
    </w:p>
    <w:p>
      <w:pPr>
        <w:spacing w:line="18" w:lineRule="exact"/>
        <w:rPr>
          <w:color w:val="0000FF"/>
        </w:rPr>
      </w:pPr>
    </w:p>
    <w:tbl>
      <w:tblPr>
        <w:tblStyle w:val="23"/>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9"/>
        <w:gridCol w:w="2840"/>
        <w:gridCol w:w="2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2839" w:type="dxa"/>
            <w:vMerge w:val="restart"/>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边界外声环境功能区类别</w:t>
            </w:r>
          </w:p>
        </w:tc>
        <w:tc>
          <w:tcPr>
            <w:tcW w:w="5683" w:type="dxa"/>
            <w:gridSpan w:val="2"/>
            <w:tcBorders>
              <w:tl2br w:val="nil"/>
              <w:tr2bl w:val="nil"/>
            </w:tcBorders>
            <w:vAlign w:val="center"/>
          </w:tcPr>
          <w:p>
            <w:pPr>
              <w:pStyle w:val="22"/>
              <w:bidi w:val="0"/>
              <w:jc w:val="center"/>
              <w:rPr>
                <w:color w:val="0000FF"/>
              </w:rPr>
            </w:pPr>
            <w:r>
              <w:rPr>
                <w:color w:val="0000FF"/>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839" w:type="dxa"/>
            <w:vMerge w:val="continue"/>
            <w:tcBorders>
              <w:tl2br w:val="nil"/>
              <w:tr2bl w:val="nil"/>
            </w:tcBorders>
            <w:vAlign w:val="center"/>
          </w:tcPr>
          <w:p>
            <w:pPr>
              <w:pStyle w:val="22"/>
              <w:bidi w:val="0"/>
              <w:jc w:val="center"/>
              <w:rPr>
                <w:color w:val="0000FF"/>
              </w:rPr>
            </w:pPr>
          </w:p>
        </w:tc>
        <w:tc>
          <w:tcPr>
            <w:tcW w:w="2840" w:type="dxa"/>
            <w:tcBorders>
              <w:tl2br w:val="nil"/>
              <w:tr2bl w:val="nil"/>
            </w:tcBorders>
            <w:vAlign w:val="center"/>
          </w:tcPr>
          <w:p>
            <w:pPr>
              <w:pStyle w:val="22"/>
              <w:bidi w:val="0"/>
              <w:jc w:val="center"/>
              <w:rPr>
                <w:color w:val="0000FF"/>
              </w:rPr>
            </w:pPr>
            <w:r>
              <w:rPr>
                <w:color w:val="0000FF"/>
              </w:rPr>
              <w:t>昼间</w:t>
            </w:r>
          </w:p>
        </w:tc>
        <w:tc>
          <w:tcPr>
            <w:tcW w:w="2843" w:type="dxa"/>
            <w:tcBorders>
              <w:tl2br w:val="nil"/>
              <w:tr2bl w:val="nil"/>
            </w:tcBorders>
            <w:vAlign w:val="center"/>
          </w:tcPr>
          <w:p>
            <w:pPr>
              <w:pStyle w:val="22"/>
              <w:bidi w:val="0"/>
              <w:jc w:val="center"/>
              <w:rPr>
                <w:color w:val="0000FF"/>
              </w:rPr>
            </w:pPr>
            <w:r>
              <w:rPr>
                <w:color w:val="0000FF"/>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2839"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1（四周厂界）</w:t>
            </w:r>
          </w:p>
        </w:tc>
        <w:tc>
          <w:tcPr>
            <w:tcW w:w="284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55</w:t>
            </w:r>
          </w:p>
        </w:tc>
        <w:tc>
          <w:tcPr>
            <w:tcW w:w="2843"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45</w:t>
            </w:r>
          </w:p>
        </w:tc>
      </w:tr>
    </w:tbl>
    <w:p>
      <w:pPr>
        <w:bidi w:val="0"/>
        <w:rPr>
          <w:color w:val="0000FF"/>
        </w:rPr>
      </w:pPr>
      <w:r>
        <w:rPr>
          <w:color w:val="0000FF"/>
        </w:rPr>
        <w:t>（4）固废</w:t>
      </w:r>
    </w:p>
    <w:p>
      <w:pPr>
        <w:bidi w:val="0"/>
        <w:rPr>
          <w:color w:val="0000FF"/>
        </w:rPr>
      </w:pPr>
      <w:r>
        <w:rPr>
          <w:color w:val="0000FF"/>
        </w:rPr>
        <w:t>①医疗垃圾、实验废液、废活性炭、废滤芯属于危险废物，执行《关于危险废物转移联单管理办法》、《危险废物贮存污染控制标准》（GB18597-2001）（2013修订）等有关规定；</w:t>
      </w:r>
    </w:p>
    <w:p>
      <w:pPr>
        <w:bidi w:val="0"/>
        <w:rPr>
          <w:color w:val="0000FF"/>
        </w:rPr>
      </w:pPr>
      <w:r>
        <w:rPr>
          <w:color w:val="0000FF"/>
        </w:rPr>
        <w:t>②</w:t>
      </w:r>
      <w:r>
        <w:rPr>
          <w:rFonts w:hint="eastAsia"/>
          <w:color w:val="0000FF"/>
          <w:lang w:val="en-US" w:eastAsia="zh-CN"/>
        </w:rPr>
        <w:t>本项目排放的一般固体废物执行《一般工业固体废物贮存和填埋污染控制标准》（</w:t>
      </w:r>
      <w:r>
        <w:rPr>
          <w:rFonts w:hint="default"/>
          <w:color w:val="0000FF"/>
          <w:lang w:val="en-US" w:eastAsia="zh-CN"/>
        </w:rPr>
        <w:t>GB18599-2020</w:t>
      </w:r>
      <w:r>
        <w:rPr>
          <w:rFonts w:hint="eastAsia"/>
          <w:color w:val="0000FF"/>
          <w:lang w:val="en-US" w:eastAsia="zh-CN"/>
        </w:rPr>
        <w:t>）要求，“在固体废物的产生、收集、运输、利用、处理、处置过程中，必须严格控制”。</w:t>
      </w:r>
    </w:p>
    <w:p>
      <w:pPr>
        <w:bidi w:val="0"/>
        <w:rPr>
          <w:rFonts w:hint="eastAsia"/>
          <w:color w:val="0000FF"/>
          <w:lang w:eastAsia="zh-CN"/>
        </w:rPr>
      </w:pPr>
      <w:r>
        <w:rPr>
          <w:color w:val="0000FF"/>
        </w:rPr>
        <w:t>③污水处理设施产生的少量污泥属于危废，应按危险废物进行处理和处置。污泥清掏前应进行监测，执行《</w:t>
      </w:r>
      <w:r>
        <w:rPr>
          <w:rFonts w:hint="eastAsia"/>
          <w:color w:val="0000FF"/>
          <w:lang w:eastAsia="zh-CN"/>
        </w:rPr>
        <w:t>医疗机构水污染物排放标准</w:t>
      </w:r>
      <w:r>
        <w:rPr>
          <w:color w:val="0000FF"/>
        </w:rPr>
        <w:t>》（GB18466-2005）</w:t>
      </w:r>
      <w:r>
        <w:rPr>
          <w:rFonts w:hint="eastAsia"/>
          <w:color w:val="0000FF"/>
          <w:lang w:val="en-US" w:eastAsia="zh-CN"/>
        </w:rPr>
        <w:t>中表4</w:t>
      </w:r>
      <w:r>
        <w:rPr>
          <w:color w:val="0000FF"/>
        </w:rPr>
        <w:t>医疗机构污泥控制标准，详见表2.</w:t>
      </w:r>
      <w:r>
        <w:rPr>
          <w:rFonts w:hint="eastAsia"/>
          <w:color w:val="0000FF"/>
          <w:lang w:val="en-US" w:eastAsia="zh-CN"/>
        </w:rPr>
        <w:t>5</w:t>
      </w:r>
      <w:r>
        <w:rPr>
          <w:color w:val="0000FF"/>
        </w:rPr>
        <w:t>-</w:t>
      </w:r>
      <w:r>
        <w:rPr>
          <w:rFonts w:hint="eastAsia"/>
          <w:color w:val="0000FF"/>
          <w:lang w:val="en-US" w:eastAsia="zh-CN"/>
        </w:rPr>
        <w:t>8</w:t>
      </w:r>
    </w:p>
    <w:p>
      <w:pPr>
        <w:pStyle w:val="22"/>
        <w:bidi w:val="0"/>
        <w:jc w:val="center"/>
        <w:rPr>
          <w:b/>
          <w:color w:val="0000FF"/>
          <w:sz w:val="6"/>
        </w:rPr>
      </w:pPr>
      <w:r>
        <w:rPr>
          <w:b/>
          <w:bCs/>
          <w:color w:val="0000FF"/>
        </w:rPr>
        <w:t>表</w:t>
      </w:r>
      <w:r>
        <w:rPr>
          <w:rFonts w:hint="eastAsia"/>
          <w:b/>
          <w:bCs/>
          <w:color w:val="0000FF"/>
          <w:lang w:val="en-US" w:eastAsia="zh-CN"/>
        </w:rPr>
        <w:t>2.5-8</w:t>
      </w:r>
      <w:r>
        <w:rPr>
          <w:b/>
          <w:bCs/>
          <w:color w:val="0000FF"/>
        </w:rPr>
        <w:t>污水处理站污泥排放标准</w:t>
      </w:r>
    </w:p>
    <w:tbl>
      <w:tblPr>
        <w:tblStyle w:val="17"/>
        <w:tblW w:w="90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417"/>
        <w:gridCol w:w="1282"/>
        <w:gridCol w:w="2278"/>
        <w:gridCol w:w="1282"/>
        <w:gridCol w:w="11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661" w:type="dxa"/>
            <w:tcBorders>
              <w:tl2br w:val="nil"/>
              <w:tr2bl w:val="nil"/>
            </w:tcBorders>
            <w:noWrap w:val="0"/>
            <w:vAlign w:val="center"/>
          </w:tcPr>
          <w:p>
            <w:pPr>
              <w:pStyle w:val="22"/>
              <w:bidi w:val="0"/>
              <w:jc w:val="center"/>
              <w:rPr>
                <w:color w:val="0000FF"/>
              </w:rPr>
            </w:pPr>
            <w:r>
              <w:rPr>
                <w:color w:val="0000FF"/>
              </w:rPr>
              <w:t>标准号</w:t>
            </w:r>
          </w:p>
        </w:tc>
        <w:tc>
          <w:tcPr>
            <w:tcW w:w="1417" w:type="dxa"/>
            <w:tcBorders>
              <w:tl2br w:val="nil"/>
              <w:tr2bl w:val="nil"/>
            </w:tcBorders>
            <w:noWrap w:val="0"/>
            <w:vAlign w:val="center"/>
          </w:tcPr>
          <w:p>
            <w:pPr>
              <w:pStyle w:val="22"/>
              <w:bidi w:val="0"/>
              <w:jc w:val="center"/>
              <w:rPr>
                <w:color w:val="0000FF"/>
              </w:rPr>
            </w:pPr>
            <w:r>
              <w:rPr>
                <w:color w:val="0000FF"/>
              </w:rPr>
              <w:t>排放标准</w:t>
            </w:r>
          </w:p>
        </w:tc>
        <w:tc>
          <w:tcPr>
            <w:tcW w:w="1282" w:type="dxa"/>
            <w:tcBorders>
              <w:tl2br w:val="nil"/>
              <w:tr2bl w:val="nil"/>
            </w:tcBorders>
            <w:noWrap w:val="0"/>
            <w:vAlign w:val="center"/>
          </w:tcPr>
          <w:p>
            <w:pPr>
              <w:pStyle w:val="22"/>
              <w:bidi w:val="0"/>
              <w:jc w:val="center"/>
              <w:rPr>
                <w:color w:val="0000FF"/>
              </w:rPr>
            </w:pPr>
            <w:r>
              <w:rPr>
                <w:color w:val="0000FF"/>
              </w:rPr>
              <w:t>类别</w:t>
            </w:r>
          </w:p>
        </w:tc>
        <w:tc>
          <w:tcPr>
            <w:tcW w:w="2278" w:type="dxa"/>
            <w:tcBorders>
              <w:tl2br w:val="nil"/>
              <w:tr2bl w:val="nil"/>
            </w:tcBorders>
            <w:noWrap w:val="0"/>
            <w:vAlign w:val="center"/>
          </w:tcPr>
          <w:p>
            <w:pPr>
              <w:pStyle w:val="22"/>
              <w:bidi w:val="0"/>
              <w:jc w:val="center"/>
              <w:rPr>
                <w:color w:val="0000FF"/>
              </w:rPr>
            </w:pPr>
            <w:r>
              <w:rPr>
                <w:color w:val="0000FF"/>
              </w:rPr>
              <w:t>控制项目</w:t>
            </w:r>
          </w:p>
        </w:tc>
        <w:tc>
          <w:tcPr>
            <w:tcW w:w="1282" w:type="dxa"/>
            <w:tcBorders>
              <w:tl2br w:val="nil"/>
              <w:tr2bl w:val="nil"/>
            </w:tcBorders>
            <w:noWrap w:val="0"/>
            <w:vAlign w:val="center"/>
          </w:tcPr>
          <w:p>
            <w:pPr>
              <w:pStyle w:val="22"/>
              <w:bidi w:val="0"/>
              <w:jc w:val="center"/>
              <w:rPr>
                <w:color w:val="0000FF"/>
              </w:rPr>
            </w:pPr>
            <w:r>
              <w:rPr>
                <w:color w:val="0000FF"/>
              </w:rPr>
              <w:t>排放限值</w:t>
            </w:r>
          </w:p>
        </w:tc>
        <w:tc>
          <w:tcPr>
            <w:tcW w:w="1156" w:type="dxa"/>
            <w:tcBorders>
              <w:tl2br w:val="nil"/>
              <w:tr2bl w:val="nil"/>
            </w:tcBorders>
            <w:noWrap w:val="0"/>
            <w:vAlign w:val="center"/>
          </w:tcPr>
          <w:p>
            <w:pPr>
              <w:pStyle w:val="22"/>
              <w:bidi w:val="0"/>
              <w:jc w:val="center"/>
              <w:rPr>
                <w:color w:val="0000FF"/>
              </w:rPr>
            </w:pPr>
            <w:r>
              <w:rPr>
                <w:color w:val="0000FF"/>
              </w:rPr>
              <w:t>评价对象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661" w:type="dxa"/>
            <w:vMerge w:val="restart"/>
            <w:tcBorders>
              <w:tl2br w:val="nil"/>
              <w:tr2bl w:val="nil"/>
            </w:tcBorders>
            <w:noWrap w:val="0"/>
            <w:vAlign w:val="center"/>
          </w:tcPr>
          <w:p>
            <w:pPr>
              <w:pStyle w:val="22"/>
              <w:bidi w:val="0"/>
              <w:jc w:val="center"/>
              <w:rPr>
                <w:color w:val="0000FF"/>
              </w:rPr>
            </w:pPr>
            <w:r>
              <w:rPr>
                <w:color w:val="0000FF"/>
              </w:rPr>
              <w:t>GB18466—2005</w:t>
            </w:r>
          </w:p>
        </w:tc>
        <w:tc>
          <w:tcPr>
            <w:tcW w:w="1417" w:type="dxa"/>
            <w:vMerge w:val="restart"/>
            <w:tcBorders>
              <w:tl2br w:val="nil"/>
              <w:tr2bl w:val="nil"/>
            </w:tcBorders>
            <w:noWrap w:val="0"/>
            <w:vAlign w:val="center"/>
          </w:tcPr>
          <w:p>
            <w:pPr>
              <w:pStyle w:val="22"/>
              <w:bidi w:val="0"/>
              <w:jc w:val="center"/>
              <w:rPr>
                <w:color w:val="0000FF"/>
              </w:rPr>
            </w:pPr>
            <w:r>
              <w:rPr>
                <w:color w:val="0000FF"/>
              </w:rPr>
              <w:t>《医疗机构水污染物</w:t>
            </w:r>
          </w:p>
          <w:p>
            <w:pPr>
              <w:pStyle w:val="22"/>
              <w:bidi w:val="0"/>
              <w:jc w:val="center"/>
              <w:rPr>
                <w:color w:val="0000FF"/>
              </w:rPr>
            </w:pPr>
            <w:r>
              <w:rPr>
                <w:color w:val="0000FF"/>
              </w:rPr>
              <w:t>排放标准》</w:t>
            </w:r>
          </w:p>
        </w:tc>
        <w:tc>
          <w:tcPr>
            <w:tcW w:w="1282" w:type="dxa"/>
            <w:vMerge w:val="restart"/>
            <w:tcBorders>
              <w:tl2br w:val="nil"/>
              <w:tr2bl w:val="nil"/>
            </w:tcBorders>
            <w:noWrap w:val="0"/>
            <w:vAlign w:val="center"/>
          </w:tcPr>
          <w:p>
            <w:pPr>
              <w:pStyle w:val="22"/>
              <w:bidi w:val="0"/>
              <w:jc w:val="center"/>
              <w:rPr>
                <w:color w:val="0000FF"/>
              </w:rPr>
            </w:pPr>
            <w:r>
              <w:rPr>
                <w:color w:val="0000FF"/>
              </w:rPr>
              <w:t>综合医疗机构及其他医</w:t>
            </w:r>
          </w:p>
          <w:p>
            <w:pPr>
              <w:pStyle w:val="22"/>
              <w:bidi w:val="0"/>
              <w:jc w:val="center"/>
              <w:rPr>
                <w:color w:val="0000FF"/>
              </w:rPr>
            </w:pPr>
            <w:r>
              <w:rPr>
                <w:color w:val="0000FF"/>
              </w:rPr>
              <w:t>疗机构</w:t>
            </w:r>
          </w:p>
        </w:tc>
        <w:tc>
          <w:tcPr>
            <w:tcW w:w="2278" w:type="dxa"/>
            <w:tcBorders>
              <w:tl2br w:val="nil"/>
              <w:tr2bl w:val="nil"/>
            </w:tcBorders>
            <w:noWrap w:val="0"/>
            <w:vAlign w:val="center"/>
          </w:tcPr>
          <w:p>
            <w:pPr>
              <w:pStyle w:val="22"/>
              <w:bidi w:val="0"/>
              <w:jc w:val="center"/>
              <w:rPr>
                <w:color w:val="0000FF"/>
              </w:rPr>
            </w:pPr>
            <w:r>
              <w:rPr>
                <w:color w:val="0000FF"/>
              </w:rPr>
              <w:t>粪大肠菌群</w:t>
            </w:r>
          </w:p>
        </w:tc>
        <w:tc>
          <w:tcPr>
            <w:tcW w:w="1282" w:type="dxa"/>
            <w:tcBorders>
              <w:tl2br w:val="nil"/>
              <w:tr2bl w:val="nil"/>
            </w:tcBorders>
            <w:noWrap w:val="0"/>
            <w:vAlign w:val="center"/>
          </w:tcPr>
          <w:p>
            <w:pPr>
              <w:pStyle w:val="22"/>
              <w:bidi w:val="0"/>
              <w:jc w:val="center"/>
              <w:rPr>
                <w:color w:val="0000FF"/>
              </w:rPr>
            </w:pPr>
            <w:r>
              <w:rPr>
                <w:color w:val="0000FF"/>
              </w:rPr>
              <w:t>≤100MPN/g</w:t>
            </w:r>
          </w:p>
        </w:tc>
        <w:tc>
          <w:tcPr>
            <w:tcW w:w="1156" w:type="dxa"/>
            <w:vMerge w:val="restart"/>
            <w:tcBorders>
              <w:tl2br w:val="nil"/>
              <w:tr2bl w:val="nil"/>
            </w:tcBorders>
            <w:noWrap w:val="0"/>
            <w:vAlign w:val="center"/>
          </w:tcPr>
          <w:p>
            <w:pPr>
              <w:pStyle w:val="22"/>
              <w:bidi w:val="0"/>
              <w:jc w:val="center"/>
              <w:rPr>
                <w:color w:val="0000FF"/>
              </w:rPr>
            </w:pPr>
            <w:r>
              <w:rPr>
                <w:color w:val="0000FF"/>
              </w:rPr>
              <w:t>污水处理站污泥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1661" w:type="dxa"/>
            <w:vMerge w:val="continue"/>
            <w:tcBorders>
              <w:tl2br w:val="nil"/>
              <w:tr2bl w:val="nil"/>
            </w:tcBorders>
            <w:noWrap w:val="0"/>
            <w:vAlign w:val="center"/>
          </w:tcPr>
          <w:p>
            <w:pPr>
              <w:pStyle w:val="22"/>
              <w:bidi w:val="0"/>
              <w:jc w:val="center"/>
              <w:rPr>
                <w:color w:val="0000FF"/>
              </w:rPr>
            </w:pPr>
          </w:p>
        </w:tc>
        <w:tc>
          <w:tcPr>
            <w:tcW w:w="1417" w:type="dxa"/>
            <w:vMerge w:val="continue"/>
            <w:tcBorders>
              <w:tl2br w:val="nil"/>
              <w:tr2bl w:val="nil"/>
            </w:tcBorders>
            <w:noWrap w:val="0"/>
            <w:vAlign w:val="center"/>
          </w:tcPr>
          <w:p>
            <w:pPr>
              <w:pStyle w:val="22"/>
              <w:bidi w:val="0"/>
              <w:jc w:val="center"/>
              <w:rPr>
                <w:color w:val="0000FF"/>
              </w:rPr>
            </w:pPr>
          </w:p>
        </w:tc>
        <w:tc>
          <w:tcPr>
            <w:tcW w:w="1282" w:type="dxa"/>
            <w:vMerge w:val="continue"/>
            <w:tcBorders>
              <w:tl2br w:val="nil"/>
              <w:tr2bl w:val="nil"/>
            </w:tcBorders>
            <w:noWrap w:val="0"/>
            <w:vAlign w:val="center"/>
          </w:tcPr>
          <w:p>
            <w:pPr>
              <w:pStyle w:val="22"/>
              <w:bidi w:val="0"/>
              <w:jc w:val="center"/>
              <w:rPr>
                <w:color w:val="0000FF"/>
              </w:rPr>
            </w:pPr>
          </w:p>
        </w:tc>
        <w:tc>
          <w:tcPr>
            <w:tcW w:w="2278" w:type="dxa"/>
            <w:tcBorders>
              <w:tl2br w:val="nil"/>
              <w:tr2bl w:val="nil"/>
            </w:tcBorders>
            <w:noWrap w:val="0"/>
            <w:vAlign w:val="center"/>
          </w:tcPr>
          <w:p>
            <w:pPr>
              <w:pStyle w:val="22"/>
              <w:bidi w:val="0"/>
              <w:jc w:val="center"/>
              <w:rPr>
                <w:color w:val="0000FF"/>
              </w:rPr>
            </w:pPr>
            <w:r>
              <w:rPr>
                <w:color w:val="0000FF"/>
              </w:rPr>
              <w:t>蛔虫卵死亡率</w:t>
            </w:r>
          </w:p>
        </w:tc>
        <w:tc>
          <w:tcPr>
            <w:tcW w:w="1282" w:type="dxa"/>
            <w:tcBorders>
              <w:tl2br w:val="nil"/>
              <w:tr2bl w:val="nil"/>
            </w:tcBorders>
            <w:noWrap w:val="0"/>
            <w:vAlign w:val="center"/>
          </w:tcPr>
          <w:p>
            <w:pPr>
              <w:pStyle w:val="22"/>
              <w:bidi w:val="0"/>
              <w:jc w:val="center"/>
              <w:rPr>
                <w:color w:val="0000FF"/>
              </w:rPr>
            </w:pPr>
            <w:r>
              <w:rPr>
                <w:color w:val="0000FF"/>
              </w:rPr>
              <w:t>95%</w:t>
            </w:r>
          </w:p>
        </w:tc>
        <w:tc>
          <w:tcPr>
            <w:tcW w:w="1156" w:type="dxa"/>
            <w:vMerge w:val="continue"/>
            <w:tcBorders>
              <w:tl2br w:val="nil"/>
              <w:tr2bl w:val="nil"/>
            </w:tcBorders>
            <w:noWrap w:val="0"/>
            <w:vAlign w:val="center"/>
          </w:tcPr>
          <w:p>
            <w:pPr>
              <w:pStyle w:val="22"/>
              <w:bidi w:val="0"/>
              <w:jc w:val="center"/>
              <w:rPr>
                <w:color w:val="0000FF"/>
              </w:rPr>
            </w:pPr>
          </w:p>
        </w:tc>
      </w:tr>
    </w:tbl>
    <w:p>
      <w:pPr>
        <w:pStyle w:val="5"/>
        <w:bidi w:val="0"/>
        <w:rPr>
          <w:rFonts w:hint="default"/>
          <w:lang w:val="en-US" w:eastAsia="zh-CN"/>
        </w:rPr>
      </w:pPr>
      <w:bookmarkStart w:id="22" w:name="_Toc8393"/>
      <w:r>
        <w:rPr>
          <w:rFonts w:hint="eastAsia"/>
          <w:lang w:val="en-US" w:eastAsia="zh-CN"/>
        </w:rPr>
        <w:t>2.6评价工作等级</w:t>
      </w:r>
      <w:bookmarkEnd w:id="22"/>
    </w:p>
    <w:p>
      <w:pPr>
        <w:bidi w:val="0"/>
        <w:rPr>
          <w:color w:val="0000FF"/>
        </w:rPr>
      </w:pPr>
      <w:r>
        <w:rPr>
          <w:color w:val="0000FF"/>
        </w:rPr>
        <w:t>根据《建设项目环境影响评价技术导则》（HJ2.1-2016、HJ2.2-2018、HJ2.3-2018、HJ2.4-2009、HJ169-2018）要求，并根据项目的排污特征、污染物排放量及项目所在地的环境区划要求，确定评价工作等级如下。</w:t>
      </w:r>
    </w:p>
    <w:p>
      <w:pPr>
        <w:pStyle w:val="6"/>
        <w:bidi w:val="0"/>
      </w:pPr>
      <w:bookmarkStart w:id="23" w:name="_Toc5504"/>
      <w:r>
        <w:rPr>
          <w:rFonts w:hint="eastAsia"/>
          <w:lang w:val="en-US" w:eastAsia="zh-CN"/>
        </w:rPr>
        <w:t>2.6.1</w:t>
      </w:r>
      <w:r>
        <w:t>大气环境评价等级</w:t>
      </w:r>
      <w:bookmarkEnd w:id="23"/>
    </w:p>
    <w:p>
      <w:pPr>
        <w:bidi w:val="0"/>
        <w:rPr>
          <w:color w:val="0000FF"/>
        </w:rPr>
      </w:pPr>
      <w:r>
        <w:rPr>
          <w:rFonts w:hint="eastAsia"/>
          <w:color w:val="0000FF"/>
          <w:lang w:val="en-US" w:eastAsia="zh-CN"/>
        </w:rPr>
        <w:t>根据</w:t>
      </w:r>
      <w:r>
        <w:rPr>
          <w:rFonts w:hint="default"/>
          <w:color w:val="0000FF"/>
          <w:lang w:val="en-US" w:eastAsia="zh-CN"/>
        </w:rPr>
        <w:t>HJ2.2-2018</w:t>
      </w:r>
      <w:r>
        <w:rPr>
          <w:rFonts w:hint="eastAsia"/>
          <w:color w:val="0000FF"/>
          <w:lang w:val="en-US" w:eastAsia="zh-CN"/>
        </w:rPr>
        <w:t>《环境影响评价技术导则 大气环境》规定，选择推荐模式中的</w:t>
      </w:r>
      <w:r>
        <w:rPr>
          <w:rFonts w:hint="default"/>
          <w:color w:val="0000FF"/>
          <w:lang w:val="en-US" w:eastAsia="zh-CN"/>
        </w:rPr>
        <w:t>AERSCREEN</w:t>
      </w:r>
      <w:r>
        <w:rPr>
          <w:rFonts w:hint="eastAsia"/>
          <w:color w:val="0000FF"/>
          <w:lang w:val="en-US" w:eastAsia="zh-CN"/>
        </w:rPr>
        <w:t>对项目的大气环境评价工作进行分级。</w:t>
      </w:r>
    </w:p>
    <w:p>
      <w:pPr>
        <w:bidi w:val="0"/>
        <w:rPr>
          <w:color w:val="0000FF"/>
        </w:rPr>
      </w:pPr>
      <w:r>
        <w:rPr>
          <w:rFonts w:hint="eastAsia"/>
          <w:color w:val="0000FF"/>
          <w:lang w:val="en-US" w:eastAsia="zh-CN"/>
        </w:rPr>
        <w:t>根据项目污染源初步调查结果，分别计算项目排放主要污染物的最大地面空气质量浓度占标率</w:t>
      </w:r>
      <w:r>
        <w:rPr>
          <w:rFonts w:hint="default"/>
          <w:color w:val="0000FF"/>
          <w:lang w:val="en-US" w:eastAsia="zh-CN"/>
        </w:rPr>
        <w:t>Pi</w:t>
      </w:r>
      <w:r>
        <w:rPr>
          <w:rFonts w:hint="eastAsia"/>
          <w:color w:val="0000FF"/>
          <w:lang w:val="en-US" w:eastAsia="zh-CN"/>
        </w:rPr>
        <w:t>（第</w:t>
      </w:r>
      <w:r>
        <w:rPr>
          <w:rFonts w:hint="default"/>
          <w:color w:val="0000FF"/>
          <w:lang w:val="en-US" w:eastAsia="zh-CN"/>
        </w:rPr>
        <w:t>i</w:t>
      </w:r>
      <w:r>
        <w:rPr>
          <w:rFonts w:hint="eastAsia"/>
          <w:color w:val="0000FF"/>
          <w:lang w:val="en-US" w:eastAsia="zh-CN"/>
        </w:rPr>
        <w:t>个污染物，简称“最大浓度占标率”），及第</w:t>
      </w:r>
      <w:r>
        <w:rPr>
          <w:rFonts w:hint="default"/>
          <w:color w:val="0000FF"/>
          <w:lang w:val="en-US" w:eastAsia="zh-CN"/>
        </w:rPr>
        <w:t>i</w:t>
      </w:r>
      <w:r>
        <w:rPr>
          <w:rFonts w:hint="eastAsia"/>
          <w:color w:val="0000FF"/>
          <w:lang w:val="en-US" w:eastAsia="zh-CN"/>
        </w:rPr>
        <w:t>个污染物的地面空气质量浓度达到标准值的</w:t>
      </w:r>
      <w:r>
        <w:rPr>
          <w:rFonts w:hint="default"/>
          <w:color w:val="0000FF"/>
          <w:lang w:val="en-US" w:eastAsia="zh-CN"/>
        </w:rPr>
        <w:t>10%</w:t>
      </w:r>
      <w:r>
        <w:rPr>
          <w:rFonts w:hint="eastAsia"/>
          <w:color w:val="0000FF"/>
          <w:lang w:val="en-US" w:eastAsia="zh-CN"/>
        </w:rPr>
        <w:t>时所对应的最远距离</w:t>
      </w:r>
      <w:r>
        <w:rPr>
          <w:rFonts w:hint="default"/>
          <w:color w:val="0000FF"/>
          <w:lang w:val="en-US" w:eastAsia="zh-CN"/>
        </w:rPr>
        <w:t>D10%</w:t>
      </w:r>
      <w:r>
        <w:rPr>
          <w:rFonts w:hint="eastAsia"/>
          <w:color w:val="0000FF"/>
          <w:lang w:val="en-US" w:eastAsia="zh-CN"/>
        </w:rPr>
        <w:t>。其中</w:t>
      </w:r>
      <w:r>
        <w:rPr>
          <w:rFonts w:hint="default"/>
          <w:color w:val="0000FF"/>
          <w:lang w:val="en-US" w:eastAsia="zh-CN"/>
        </w:rPr>
        <w:t>Pi</w:t>
      </w:r>
      <w:r>
        <w:rPr>
          <w:rFonts w:hint="eastAsia"/>
          <w:color w:val="0000FF"/>
          <w:lang w:val="en-US" w:eastAsia="zh-CN"/>
        </w:rPr>
        <w:t>定义见公式：</w:t>
      </w:r>
    </w:p>
    <w:p>
      <w:pPr>
        <w:bidi w:val="0"/>
        <w:jc w:val="center"/>
        <w:rPr>
          <w:rFonts w:hint="eastAsia"/>
          <w:color w:val="0000FF"/>
          <w:lang w:val="en-US" w:eastAsia="zh-CN"/>
        </w:rPr>
      </w:pPr>
      <w:r>
        <w:rPr>
          <w:rFonts w:hint="eastAsia"/>
          <w:color w:val="0000FF"/>
        </w:rPr>
        <w:t>Pi=Ci/Coi×100%</w:t>
      </w:r>
    </w:p>
    <w:p>
      <w:pPr>
        <w:bidi w:val="0"/>
        <w:rPr>
          <w:color w:val="0000FF"/>
        </w:rPr>
      </w:pPr>
      <w:r>
        <w:rPr>
          <w:rFonts w:hint="eastAsia"/>
          <w:color w:val="0000FF"/>
          <w:lang w:val="en-US" w:eastAsia="zh-CN"/>
        </w:rPr>
        <w:t>式中：</w:t>
      </w:r>
      <w:r>
        <w:rPr>
          <w:rFonts w:hint="default"/>
          <w:color w:val="0000FF"/>
          <w:lang w:val="en-US" w:eastAsia="zh-CN"/>
        </w:rPr>
        <w:t>Pi</w:t>
      </w:r>
      <w:r>
        <w:rPr>
          <w:rFonts w:hint="eastAsia"/>
          <w:color w:val="0000FF"/>
          <w:lang w:val="en-US" w:eastAsia="zh-CN"/>
        </w:rPr>
        <w:t>—第</w:t>
      </w:r>
      <w:r>
        <w:rPr>
          <w:rFonts w:hint="default"/>
          <w:color w:val="0000FF"/>
          <w:lang w:val="en-US" w:eastAsia="zh-CN"/>
        </w:rPr>
        <w:t>i</w:t>
      </w:r>
      <w:r>
        <w:rPr>
          <w:rFonts w:hint="eastAsia"/>
          <w:color w:val="0000FF"/>
          <w:lang w:val="en-US" w:eastAsia="zh-CN"/>
        </w:rPr>
        <w:t>个污染物的最大地面浓度占标率，</w:t>
      </w:r>
      <w:r>
        <w:rPr>
          <w:rFonts w:hint="default"/>
          <w:color w:val="0000FF"/>
          <w:lang w:val="en-US" w:eastAsia="zh-CN"/>
        </w:rPr>
        <w:t>%</w:t>
      </w:r>
      <w:r>
        <w:rPr>
          <w:rFonts w:hint="eastAsia"/>
          <w:color w:val="0000FF"/>
          <w:lang w:val="en-US" w:eastAsia="zh-CN"/>
        </w:rPr>
        <w:t>；</w:t>
      </w:r>
    </w:p>
    <w:p>
      <w:pPr>
        <w:bidi w:val="0"/>
        <w:rPr>
          <w:color w:val="0000FF"/>
        </w:rPr>
      </w:pPr>
      <w:r>
        <w:rPr>
          <w:rFonts w:hint="default"/>
          <w:color w:val="0000FF"/>
          <w:lang w:val="en-US" w:eastAsia="zh-CN"/>
        </w:rPr>
        <w:t>Ci</w:t>
      </w:r>
      <w:r>
        <w:rPr>
          <w:rFonts w:hint="eastAsia"/>
          <w:color w:val="0000FF"/>
          <w:lang w:val="en-US" w:eastAsia="zh-CN"/>
        </w:rPr>
        <w:t>—采用估算模型计算出的第</w:t>
      </w:r>
      <w:r>
        <w:rPr>
          <w:rFonts w:hint="default"/>
          <w:color w:val="0000FF"/>
          <w:lang w:val="en-US" w:eastAsia="zh-CN"/>
        </w:rPr>
        <w:t>i</w:t>
      </w:r>
      <w:r>
        <w:rPr>
          <w:rFonts w:hint="eastAsia"/>
          <w:color w:val="0000FF"/>
          <w:lang w:val="en-US" w:eastAsia="zh-CN"/>
        </w:rPr>
        <w:t>个污染物的最大</w:t>
      </w:r>
      <w:r>
        <w:rPr>
          <w:rFonts w:hint="default"/>
          <w:color w:val="0000FF"/>
          <w:lang w:val="en-US" w:eastAsia="zh-CN"/>
        </w:rPr>
        <w:t>1h</w:t>
      </w:r>
      <w:r>
        <w:rPr>
          <w:rFonts w:hint="eastAsia"/>
          <w:color w:val="0000FF"/>
          <w:lang w:val="en-US" w:eastAsia="zh-CN"/>
        </w:rPr>
        <w:t>地面空气质量浓度，</w:t>
      </w:r>
      <w:r>
        <w:rPr>
          <w:rFonts w:hint="default"/>
          <w:color w:val="0000FF"/>
          <w:lang w:val="en-US" w:eastAsia="zh-CN"/>
        </w:rPr>
        <w:t>ug/</w:t>
      </w:r>
      <w:r>
        <w:rPr>
          <w:color w:val="0000FF"/>
        </w:rPr>
        <w:t>m</w:t>
      </w:r>
      <w:r>
        <w:rPr>
          <w:color w:val="0000FF"/>
          <w:vertAlign w:val="superscript"/>
        </w:rPr>
        <w:t>3</w:t>
      </w:r>
      <w:r>
        <w:rPr>
          <w:rFonts w:hint="eastAsia"/>
          <w:color w:val="0000FF"/>
          <w:lang w:val="en-US" w:eastAsia="zh-CN"/>
        </w:rPr>
        <w:t>；</w:t>
      </w:r>
    </w:p>
    <w:p>
      <w:pPr>
        <w:bidi w:val="0"/>
        <w:rPr>
          <w:color w:val="0000FF"/>
        </w:rPr>
      </w:pPr>
      <w:r>
        <w:rPr>
          <w:rFonts w:hint="default"/>
          <w:color w:val="0000FF"/>
          <w:lang w:val="en-US" w:eastAsia="zh-CN"/>
        </w:rPr>
        <w:t>C0i</w:t>
      </w:r>
      <w:r>
        <w:rPr>
          <w:rFonts w:hint="eastAsia"/>
          <w:color w:val="0000FF"/>
          <w:lang w:val="en-US" w:eastAsia="zh-CN"/>
        </w:rPr>
        <w:t>—第</w:t>
      </w:r>
      <w:r>
        <w:rPr>
          <w:rFonts w:hint="default"/>
          <w:color w:val="0000FF"/>
          <w:lang w:val="en-US" w:eastAsia="zh-CN"/>
        </w:rPr>
        <w:t>i</w:t>
      </w:r>
      <w:r>
        <w:rPr>
          <w:rFonts w:hint="eastAsia"/>
          <w:color w:val="0000FF"/>
          <w:lang w:val="en-US" w:eastAsia="zh-CN"/>
        </w:rPr>
        <w:t>个污染物的环境空气质量浓度标准，</w:t>
      </w:r>
      <w:r>
        <w:rPr>
          <w:rFonts w:hint="default"/>
          <w:color w:val="0000FF"/>
          <w:lang w:val="en-US" w:eastAsia="zh-CN"/>
        </w:rPr>
        <w:t>ug/m</w:t>
      </w:r>
      <w:r>
        <w:rPr>
          <w:rFonts w:hint="eastAsia"/>
          <w:color w:val="0000FF"/>
          <w:vertAlign w:val="superscript"/>
          <w:lang w:val="en-US" w:eastAsia="zh-CN"/>
        </w:rPr>
        <w:t>3</w:t>
      </w:r>
      <w:r>
        <w:rPr>
          <w:rFonts w:hint="eastAsia"/>
          <w:color w:val="0000FF"/>
          <w:lang w:val="en-US" w:eastAsia="zh-CN"/>
        </w:rPr>
        <w:t>。一般选用</w:t>
      </w:r>
      <w:r>
        <w:rPr>
          <w:rFonts w:hint="default"/>
          <w:color w:val="0000FF"/>
          <w:lang w:val="en-US" w:eastAsia="zh-CN"/>
        </w:rPr>
        <w:t>GB3095</w:t>
      </w:r>
      <w:r>
        <w:rPr>
          <w:rFonts w:hint="eastAsia"/>
          <w:color w:val="0000FF"/>
          <w:lang w:val="en-US" w:eastAsia="zh-CN"/>
        </w:rPr>
        <w:t>中</w:t>
      </w:r>
      <w:r>
        <w:rPr>
          <w:rFonts w:hint="default"/>
          <w:color w:val="0000FF"/>
          <w:lang w:val="en-US" w:eastAsia="zh-CN"/>
        </w:rPr>
        <w:t>1h</w:t>
      </w:r>
      <w:r>
        <w:rPr>
          <w:rFonts w:hint="eastAsia"/>
          <w:color w:val="0000FF"/>
          <w:lang w:val="en-US" w:eastAsia="zh-CN"/>
        </w:rPr>
        <w:t>平均质量浓度的二级浓度限值，如项目位于一类环境空气功能区，应选择相应的一级浓度限值；</w:t>
      </w:r>
    </w:p>
    <w:p>
      <w:pPr>
        <w:bidi w:val="0"/>
        <w:rPr>
          <w:color w:val="0000FF"/>
        </w:rPr>
      </w:pPr>
      <w:r>
        <w:rPr>
          <w:rFonts w:hint="eastAsia"/>
          <w:color w:val="0000FF"/>
          <w:lang w:val="en-US" w:eastAsia="zh-CN"/>
        </w:rPr>
        <w:t>对该标准中未包含的污染物，使用</w:t>
      </w:r>
      <w:r>
        <w:rPr>
          <w:rFonts w:hint="default"/>
          <w:color w:val="0000FF"/>
          <w:lang w:val="en-US" w:eastAsia="zh-CN"/>
        </w:rPr>
        <w:t>5.2</w:t>
      </w:r>
      <w:r>
        <w:rPr>
          <w:rFonts w:hint="eastAsia"/>
          <w:color w:val="0000FF"/>
          <w:lang w:val="en-US" w:eastAsia="zh-CN"/>
        </w:rPr>
        <w:t>确定的评价因子</w:t>
      </w:r>
      <w:r>
        <w:rPr>
          <w:rFonts w:hint="default"/>
          <w:color w:val="0000FF"/>
          <w:lang w:val="en-US" w:eastAsia="zh-CN"/>
        </w:rPr>
        <w:t>1h</w:t>
      </w:r>
      <w:r>
        <w:rPr>
          <w:rFonts w:hint="eastAsia"/>
          <w:color w:val="0000FF"/>
          <w:lang w:val="en-US" w:eastAsia="zh-CN"/>
        </w:rPr>
        <w:t>平均质量浓度限值。对仅有</w:t>
      </w:r>
      <w:r>
        <w:rPr>
          <w:rFonts w:hint="default"/>
          <w:color w:val="0000FF"/>
          <w:lang w:val="en-US" w:eastAsia="zh-CN"/>
        </w:rPr>
        <w:t>8h</w:t>
      </w:r>
      <w:r>
        <w:rPr>
          <w:rFonts w:hint="eastAsia"/>
          <w:color w:val="0000FF"/>
          <w:lang w:val="en-US" w:eastAsia="zh-CN"/>
        </w:rPr>
        <w:t>平均质量浓度限值、日平均质量浓度限值或年平均质量浓度限值的，可分别按</w:t>
      </w:r>
      <w:r>
        <w:rPr>
          <w:rFonts w:hint="default"/>
          <w:color w:val="0000FF"/>
          <w:lang w:val="en-US" w:eastAsia="zh-CN"/>
        </w:rPr>
        <w:t>2</w:t>
      </w:r>
      <w:r>
        <w:rPr>
          <w:rFonts w:hint="eastAsia"/>
          <w:color w:val="0000FF"/>
          <w:lang w:val="en-US" w:eastAsia="zh-CN"/>
        </w:rPr>
        <w:t>倍、</w:t>
      </w:r>
      <w:r>
        <w:rPr>
          <w:rFonts w:hint="default"/>
          <w:color w:val="0000FF"/>
          <w:lang w:val="en-US" w:eastAsia="zh-CN"/>
        </w:rPr>
        <w:t>3</w:t>
      </w:r>
      <w:r>
        <w:rPr>
          <w:rFonts w:hint="eastAsia"/>
          <w:color w:val="0000FF"/>
          <w:lang w:val="en-US" w:eastAsia="zh-CN"/>
        </w:rPr>
        <w:t>倍、</w:t>
      </w:r>
      <w:r>
        <w:rPr>
          <w:rFonts w:hint="default"/>
          <w:color w:val="0000FF"/>
          <w:lang w:val="en-US" w:eastAsia="zh-CN"/>
        </w:rPr>
        <w:t>6</w:t>
      </w:r>
      <w:r>
        <w:rPr>
          <w:rFonts w:hint="eastAsia"/>
          <w:color w:val="0000FF"/>
          <w:lang w:val="en-US" w:eastAsia="zh-CN"/>
        </w:rPr>
        <w:t>倍折算为</w:t>
      </w:r>
      <w:r>
        <w:rPr>
          <w:rFonts w:hint="default"/>
          <w:color w:val="0000FF"/>
          <w:lang w:val="en-US" w:eastAsia="zh-CN"/>
        </w:rPr>
        <w:t>1h</w:t>
      </w:r>
      <w:r>
        <w:rPr>
          <w:rFonts w:hint="eastAsia"/>
          <w:color w:val="0000FF"/>
          <w:lang w:val="en-US" w:eastAsia="zh-CN"/>
        </w:rPr>
        <w:t>平均质量浓度限值。</w:t>
      </w:r>
    </w:p>
    <w:p>
      <w:pPr>
        <w:bidi w:val="0"/>
        <w:rPr>
          <w:color w:val="0000FF"/>
        </w:rPr>
      </w:pPr>
      <w:r>
        <w:rPr>
          <w:rFonts w:hint="eastAsia"/>
          <w:color w:val="0000FF"/>
          <w:lang w:val="en-US" w:eastAsia="zh-CN"/>
        </w:rPr>
        <w:t>最大地面空气质量浓度占标率</w:t>
      </w:r>
      <w:r>
        <w:rPr>
          <w:rFonts w:hint="default"/>
          <w:color w:val="0000FF"/>
          <w:lang w:val="en-US" w:eastAsia="zh-CN"/>
        </w:rPr>
        <w:t>Pi</w:t>
      </w:r>
      <w:r>
        <w:rPr>
          <w:rFonts w:hint="eastAsia"/>
          <w:color w:val="0000FF"/>
          <w:lang w:val="en-US" w:eastAsia="zh-CN"/>
        </w:rPr>
        <w:t>按上述公式计算，如污染物数</w:t>
      </w:r>
      <w:r>
        <w:rPr>
          <w:rFonts w:hint="default"/>
          <w:color w:val="0000FF"/>
          <w:lang w:val="en-US" w:eastAsia="zh-CN"/>
        </w:rPr>
        <w:t>i</w:t>
      </w:r>
      <w:r>
        <w:rPr>
          <w:rFonts w:hint="eastAsia"/>
          <w:color w:val="0000FF"/>
          <w:lang w:val="en-US" w:eastAsia="zh-CN"/>
        </w:rPr>
        <w:t>大于</w:t>
      </w:r>
      <w:r>
        <w:rPr>
          <w:rFonts w:hint="default"/>
          <w:color w:val="0000FF"/>
          <w:lang w:val="en-US" w:eastAsia="zh-CN"/>
        </w:rPr>
        <w:t>1</w:t>
      </w:r>
      <w:r>
        <w:rPr>
          <w:rFonts w:hint="eastAsia"/>
          <w:color w:val="0000FF"/>
          <w:lang w:val="en-US" w:eastAsia="zh-CN"/>
        </w:rPr>
        <w:t>，取</w:t>
      </w:r>
      <w:r>
        <w:rPr>
          <w:rFonts w:hint="default"/>
          <w:color w:val="0000FF"/>
          <w:lang w:val="en-US" w:eastAsia="zh-CN"/>
        </w:rPr>
        <w:t>P</w:t>
      </w:r>
      <w:r>
        <w:rPr>
          <w:rFonts w:hint="eastAsia"/>
          <w:color w:val="0000FF"/>
          <w:lang w:val="en-US" w:eastAsia="zh-CN"/>
        </w:rPr>
        <w:t>值中最大者</w:t>
      </w:r>
      <w:r>
        <w:rPr>
          <w:rFonts w:hint="default"/>
          <w:color w:val="0000FF"/>
          <w:lang w:val="en-US" w:eastAsia="zh-CN"/>
        </w:rPr>
        <w:t>Pmax</w:t>
      </w:r>
      <w:r>
        <w:rPr>
          <w:rFonts w:hint="eastAsia"/>
          <w:color w:val="0000FF"/>
          <w:lang w:val="en-US" w:eastAsia="zh-CN"/>
        </w:rPr>
        <w:t>评价工作等级判据详见下表。</w:t>
      </w:r>
    </w:p>
    <w:p>
      <w:pPr>
        <w:pStyle w:val="22"/>
        <w:bidi w:val="0"/>
        <w:rPr>
          <w:rFonts w:hint="eastAsia"/>
          <w:b/>
          <w:bCs/>
          <w:color w:val="0000FF"/>
        </w:rPr>
      </w:pPr>
      <w:r>
        <w:rPr>
          <w:rFonts w:hint="eastAsia"/>
          <w:b/>
          <w:bCs/>
          <w:color w:val="0000FF"/>
        </w:rPr>
        <w:t>表2</w:t>
      </w:r>
      <w:r>
        <w:rPr>
          <w:rFonts w:hint="eastAsia"/>
          <w:b/>
          <w:bCs/>
          <w:color w:val="0000FF"/>
          <w:lang w:val="en-US" w:eastAsia="zh-CN"/>
        </w:rPr>
        <w:t>.6-1</w:t>
      </w:r>
      <w:r>
        <w:rPr>
          <w:rFonts w:hint="eastAsia"/>
          <w:b/>
          <w:bCs/>
          <w:color w:val="0000FF"/>
        </w:rPr>
        <w:t>大气环境影响评价工作等级</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0"/>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0" w:type="dxa"/>
            <w:tcBorders>
              <w:tl2br w:val="nil"/>
              <w:tr2bl w:val="nil"/>
            </w:tcBorders>
            <w:noWrap w:val="0"/>
            <w:vAlign w:val="center"/>
          </w:tcPr>
          <w:p>
            <w:pPr>
              <w:pStyle w:val="22"/>
              <w:bidi w:val="0"/>
              <w:rPr>
                <w:rFonts w:hint="eastAsia"/>
                <w:color w:val="0000FF"/>
              </w:rPr>
            </w:pPr>
            <w:r>
              <w:rPr>
                <w:rFonts w:hint="eastAsia"/>
                <w:color w:val="0000FF"/>
              </w:rPr>
              <w:t>评价工作等级</w:t>
            </w:r>
          </w:p>
        </w:tc>
        <w:tc>
          <w:tcPr>
            <w:tcW w:w="4792" w:type="dxa"/>
            <w:tcBorders>
              <w:tl2br w:val="nil"/>
              <w:tr2bl w:val="nil"/>
            </w:tcBorders>
            <w:noWrap w:val="0"/>
            <w:vAlign w:val="center"/>
          </w:tcPr>
          <w:p>
            <w:pPr>
              <w:pStyle w:val="22"/>
              <w:bidi w:val="0"/>
              <w:rPr>
                <w:rFonts w:hint="eastAsia"/>
                <w:color w:val="0000FF"/>
              </w:rPr>
            </w:pPr>
            <w:r>
              <w:rPr>
                <w:rFonts w:hint="eastAsia"/>
                <w:color w:val="0000FF"/>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0" w:type="dxa"/>
            <w:tcBorders>
              <w:tl2br w:val="nil"/>
              <w:tr2bl w:val="nil"/>
            </w:tcBorders>
            <w:noWrap w:val="0"/>
            <w:vAlign w:val="center"/>
          </w:tcPr>
          <w:p>
            <w:pPr>
              <w:pStyle w:val="22"/>
              <w:bidi w:val="0"/>
              <w:rPr>
                <w:rFonts w:hint="eastAsia"/>
                <w:color w:val="0000FF"/>
              </w:rPr>
            </w:pPr>
            <w:r>
              <w:rPr>
                <w:rFonts w:hint="eastAsia"/>
                <w:color w:val="0000FF"/>
              </w:rPr>
              <w:t>一级</w:t>
            </w:r>
          </w:p>
        </w:tc>
        <w:tc>
          <w:tcPr>
            <w:tcW w:w="4792" w:type="dxa"/>
            <w:tcBorders>
              <w:tl2br w:val="nil"/>
              <w:tr2bl w:val="nil"/>
            </w:tcBorders>
            <w:noWrap w:val="0"/>
            <w:vAlign w:val="center"/>
          </w:tcPr>
          <w:p>
            <w:pPr>
              <w:pStyle w:val="22"/>
              <w:bidi w:val="0"/>
              <w:rPr>
                <w:rFonts w:hint="eastAsia"/>
                <w:color w:val="0000FF"/>
              </w:rPr>
            </w:pPr>
            <w:r>
              <w:rPr>
                <w:rFonts w:hint="eastAsia"/>
                <w:color w:val="0000FF"/>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0" w:type="dxa"/>
            <w:tcBorders>
              <w:tl2br w:val="nil"/>
              <w:tr2bl w:val="nil"/>
            </w:tcBorders>
            <w:noWrap w:val="0"/>
            <w:vAlign w:val="center"/>
          </w:tcPr>
          <w:p>
            <w:pPr>
              <w:pStyle w:val="22"/>
              <w:bidi w:val="0"/>
              <w:rPr>
                <w:rFonts w:hint="eastAsia"/>
                <w:color w:val="0000FF"/>
              </w:rPr>
            </w:pPr>
            <w:r>
              <w:rPr>
                <w:rFonts w:hint="eastAsia"/>
                <w:color w:val="0000FF"/>
              </w:rPr>
              <w:t>二级</w:t>
            </w:r>
          </w:p>
        </w:tc>
        <w:tc>
          <w:tcPr>
            <w:tcW w:w="4792" w:type="dxa"/>
            <w:tcBorders>
              <w:tl2br w:val="nil"/>
              <w:tr2bl w:val="nil"/>
            </w:tcBorders>
            <w:noWrap w:val="0"/>
            <w:vAlign w:val="center"/>
          </w:tcPr>
          <w:p>
            <w:pPr>
              <w:pStyle w:val="22"/>
              <w:bidi w:val="0"/>
              <w:rPr>
                <w:rFonts w:hint="eastAsia"/>
                <w:color w:val="0000FF"/>
              </w:rPr>
            </w:pPr>
            <w:r>
              <w:rPr>
                <w:rFonts w:hint="eastAsia"/>
                <w:color w:val="0000FF"/>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0" w:type="dxa"/>
            <w:tcBorders>
              <w:tl2br w:val="nil"/>
              <w:tr2bl w:val="nil"/>
            </w:tcBorders>
            <w:noWrap w:val="0"/>
            <w:vAlign w:val="center"/>
          </w:tcPr>
          <w:p>
            <w:pPr>
              <w:pStyle w:val="22"/>
              <w:bidi w:val="0"/>
              <w:rPr>
                <w:rFonts w:hint="eastAsia"/>
                <w:color w:val="0000FF"/>
              </w:rPr>
            </w:pPr>
            <w:r>
              <w:rPr>
                <w:rFonts w:hint="eastAsia"/>
                <w:color w:val="0000FF"/>
              </w:rPr>
              <w:t>三级</w:t>
            </w:r>
          </w:p>
        </w:tc>
        <w:tc>
          <w:tcPr>
            <w:tcW w:w="4792" w:type="dxa"/>
            <w:tcBorders>
              <w:tl2br w:val="nil"/>
              <w:tr2bl w:val="nil"/>
            </w:tcBorders>
            <w:noWrap w:val="0"/>
            <w:vAlign w:val="center"/>
          </w:tcPr>
          <w:p>
            <w:pPr>
              <w:pStyle w:val="22"/>
              <w:bidi w:val="0"/>
              <w:rPr>
                <w:rFonts w:hint="eastAsia"/>
                <w:color w:val="0000FF"/>
              </w:rPr>
            </w:pPr>
            <w:r>
              <w:rPr>
                <w:rFonts w:hint="eastAsia"/>
                <w:color w:val="0000FF"/>
              </w:rPr>
              <w:t>Pmax&lt;1%</w:t>
            </w:r>
          </w:p>
        </w:tc>
      </w:tr>
    </w:tbl>
    <w:p>
      <w:pPr>
        <w:bidi w:val="0"/>
        <w:rPr>
          <w:color w:val="0000FF"/>
        </w:rPr>
      </w:pPr>
      <w:r>
        <w:rPr>
          <w:rFonts w:hint="eastAsia"/>
          <w:color w:val="0000FF"/>
          <w:lang w:val="en-US" w:eastAsia="zh-CN"/>
        </w:rPr>
        <w:t>根据本项目的主要大气污染物排放量，按照《环境影响评价技术导则 大气环境》（</w:t>
      </w:r>
      <w:r>
        <w:rPr>
          <w:rFonts w:hint="default"/>
          <w:color w:val="0000FF"/>
          <w:lang w:val="en-US" w:eastAsia="zh-CN"/>
        </w:rPr>
        <w:t>HJ2.2-2018</w:t>
      </w:r>
      <w:r>
        <w:rPr>
          <w:rFonts w:hint="eastAsia"/>
          <w:color w:val="0000FF"/>
          <w:lang w:val="en-US" w:eastAsia="zh-CN"/>
        </w:rPr>
        <w:t>）中提供的估算模式</w:t>
      </w:r>
      <w:r>
        <w:rPr>
          <w:rFonts w:hint="default"/>
          <w:color w:val="0000FF"/>
          <w:lang w:val="en-US" w:eastAsia="zh-CN"/>
        </w:rPr>
        <w:t>AERSCREEN</w:t>
      </w:r>
      <w:r>
        <w:rPr>
          <w:rFonts w:hint="eastAsia"/>
          <w:color w:val="0000FF"/>
          <w:lang w:val="en-US" w:eastAsia="zh-CN"/>
        </w:rPr>
        <w:t>进行初步预测，以表</w:t>
      </w:r>
      <w:r>
        <w:rPr>
          <w:rFonts w:hint="default"/>
          <w:color w:val="0000FF"/>
          <w:lang w:val="en-US" w:eastAsia="zh-CN"/>
        </w:rPr>
        <w:t>2.</w:t>
      </w:r>
      <w:r>
        <w:rPr>
          <w:rFonts w:hint="eastAsia"/>
          <w:color w:val="0000FF"/>
          <w:lang w:val="en-US" w:eastAsia="zh-CN"/>
        </w:rPr>
        <w:t>6</w:t>
      </w:r>
      <w:r>
        <w:rPr>
          <w:rFonts w:hint="default"/>
          <w:color w:val="0000FF"/>
          <w:lang w:val="en-US" w:eastAsia="zh-CN"/>
        </w:rPr>
        <w:t>-1</w:t>
      </w:r>
      <w:r>
        <w:rPr>
          <w:rFonts w:hint="eastAsia"/>
          <w:color w:val="0000FF"/>
          <w:lang w:val="en-US" w:eastAsia="zh-CN"/>
        </w:rPr>
        <w:t>标准计算，估算模型参数见表</w:t>
      </w:r>
      <w:r>
        <w:rPr>
          <w:rFonts w:hint="default"/>
          <w:color w:val="0000FF"/>
          <w:lang w:val="en-US" w:eastAsia="zh-CN"/>
        </w:rPr>
        <w:t>2.</w:t>
      </w:r>
      <w:r>
        <w:rPr>
          <w:rFonts w:hint="eastAsia"/>
          <w:color w:val="0000FF"/>
          <w:lang w:val="en-US" w:eastAsia="zh-CN"/>
        </w:rPr>
        <w:t>6</w:t>
      </w:r>
      <w:r>
        <w:rPr>
          <w:rFonts w:hint="default"/>
          <w:color w:val="0000FF"/>
          <w:lang w:val="en-US" w:eastAsia="zh-CN"/>
        </w:rPr>
        <w:t>-2</w:t>
      </w:r>
      <w:r>
        <w:rPr>
          <w:rFonts w:hint="eastAsia"/>
          <w:color w:val="0000FF"/>
          <w:lang w:val="en-US" w:eastAsia="zh-CN"/>
        </w:rPr>
        <w:t>，废气污染源正常排放的源强特征参数列于表</w:t>
      </w:r>
      <w:r>
        <w:rPr>
          <w:rFonts w:hint="default"/>
          <w:color w:val="0000FF"/>
          <w:lang w:val="en-US" w:eastAsia="zh-CN"/>
        </w:rPr>
        <w:t>2.</w:t>
      </w:r>
      <w:r>
        <w:rPr>
          <w:rFonts w:hint="eastAsia"/>
          <w:color w:val="0000FF"/>
          <w:lang w:val="en-US" w:eastAsia="zh-CN"/>
        </w:rPr>
        <w:t>6</w:t>
      </w:r>
      <w:r>
        <w:rPr>
          <w:rFonts w:hint="default"/>
          <w:color w:val="0000FF"/>
          <w:lang w:val="en-US" w:eastAsia="zh-CN"/>
        </w:rPr>
        <w:t>-3</w:t>
      </w:r>
      <w:r>
        <w:rPr>
          <w:rFonts w:hint="eastAsia"/>
          <w:color w:val="0000FF"/>
          <w:lang w:val="en-US" w:eastAsia="zh-CN"/>
        </w:rPr>
        <w:t>中。</w:t>
      </w:r>
    </w:p>
    <w:p>
      <w:pPr>
        <w:bidi w:val="0"/>
        <w:rPr>
          <w:rFonts w:hint="eastAsia"/>
          <w:color w:val="0000FF"/>
          <w:lang w:val="en-US" w:eastAsia="zh-CN"/>
        </w:rPr>
      </w:pPr>
      <w:r>
        <w:rPr>
          <w:rFonts w:hint="eastAsia"/>
          <w:color w:val="0000FF"/>
          <w:lang w:val="en-US" w:eastAsia="zh-CN"/>
        </w:rPr>
        <w:t>以表</w:t>
      </w:r>
      <w:r>
        <w:rPr>
          <w:rFonts w:hint="default"/>
          <w:color w:val="0000FF"/>
          <w:lang w:val="en-US" w:eastAsia="zh-CN"/>
        </w:rPr>
        <w:t>2.</w:t>
      </w:r>
      <w:r>
        <w:rPr>
          <w:rFonts w:hint="eastAsia"/>
          <w:color w:val="0000FF"/>
          <w:lang w:val="en-US" w:eastAsia="zh-CN"/>
        </w:rPr>
        <w:t>6</w:t>
      </w:r>
      <w:r>
        <w:rPr>
          <w:rFonts w:hint="default"/>
          <w:color w:val="0000FF"/>
          <w:lang w:val="en-US" w:eastAsia="zh-CN"/>
        </w:rPr>
        <w:t>-1</w:t>
      </w:r>
      <w:r>
        <w:rPr>
          <w:rFonts w:hint="eastAsia"/>
          <w:color w:val="0000FF"/>
          <w:lang w:val="en-US" w:eastAsia="zh-CN"/>
        </w:rPr>
        <w:t>标准计算，估算模式选取的气象条件为较为不利的气象条件。主要大气污染物的最大地面浓度占标率见表</w:t>
      </w:r>
      <w:r>
        <w:rPr>
          <w:rFonts w:hint="default"/>
          <w:color w:val="0000FF"/>
          <w:lang w:val="en-US" w:eastAsia="zh-CN"/>
        </w:rPr>
        <w:t>2.</w:t>
      </w:r>
      <w:r>
        <w:rPr>
          <w:rFonts w:hint="eastAsia"/>
          <w:color w:val="0000FF"/>
          <w:lang w:val="en-US" w:eastAsia="zh-CN"/>
        </w:rPr>
        <w:t>6</w:t>
      </w:r>
      <w:r>
        <w:rPr>
          <w:rFonts w:hint="default"/>
          <w:color w:val="0000FF"/>
          <w:lang w:val="en-US" w:eastAsia="zh-CN"/>
        </w:rPr>
        <w:t>-4</w:t>
      </w:r>
      <w:r>
        <w:rPr>
          <w:rFonts w:hint="eastAsia"/>
          <w:color w:val="0000FF"/>
          <w:lang w:val="en-US" w:eastAsia="zh-CN"/>
        </w:rPr>
        <w:t>。</w:t>
      </w:r>
    </w:p>
    <w:p>
      <w:pPr>
        <w:pStyle w:val="22"/>
        <w:bidi w:val="0"/>
        <w:rPr>
          <w:b/>
          <w:bCs/>
          <w:color w:val="0000FF"/>
        </w:rPr>
      </w:pPr>
      <w:r>
        <w:rPr>
          <w:b/>
          <w:bCs/>
          <w:color w:val="0000FF"/>
        </w:rPr>
        <w:t>表</w:t>
      </w:r>
      <w:r>
        <w:rPr>
          <w:rFonts w:hint="eastAsia"/>
          <w:b/>
          <w:bCs/>
          <w:color w:val="0000FF"/>
          <w:lang w:val="en-US" w:eastAsia="zh-CN"/>
        </w:rPr>
        <w:t>2.6-2</w:t>
      </w:r>
      <w:r>
        <w:rPr>
          <w:b/>
          <w:bCs/>
          <w:color w:val="0000FF"/>
        </w:rPr>
        <w:t>估算模型参数表</w:t>
      </w:r>
    </w:p>
    <w:tbl>
      <w:tblPr>
        <w:tblStyle w:val="23"/>
        <w:tblW w:w="83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66"/>
        <w:gridCol w:w="2789"/>
        <w:gridCol w:w="27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555" w:type="dxa"/>
            <w:gridSpan w:val="2"/>
            <w:vAlign w:val="center"/>
          </w:tcPr>
          <w:p>
            <w:pPr>
              <w:pStyle w:val="22"/>
              <w:bidi w:val="0"/>
              <w:jc w:val="center"/>
              <w:rPr>
                <w:color w:val="0000FF"/>
              </w:rPr>
            </w:pPr>
            <w:r>
              <w:rPr>
                <w:color w:val="0000FF"/>
              </w:rPr>
              <w:t>参数</w:t>
            </w:r>
          </w:p>
        </w:tc>
        <w:tc>
          <w:tcPr>
            <w:tcW w:w="2771" w:type="dxa"/>
            <w:vAlign w:val="center"/>
          </w:tcPr>
          <w:p>
            <w:pPr>
              <w:pStyle w:val="22"/>
              <w:bidi w:val="0"/>
              <w:jc w:val="center"/>
              <w:rPr>
                <w:color w:val="0000FF"/>
              </w:rPr>
            </w:pPr>
            <w:r>
              <w:rPr>
                <w:color w:val="0000FF"/>
              </w:rPr>
              <w:t>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2766" w:type="dxa"/>
            <w:vMerge w:val="restart"/>
            <w:tcBorders>
              <w:bottom w:val="nil"/>
            </w:tcBorders>
            <w:vAlign w:val="center"/>
          </w:tcPr>
          <w:p>
            <w:pPr>
              <w:pStyle w:val="22"/>
              <w:bidi w:val="0"/>
              <w:jc w:val="center"/>
              <w:rPr>
                <w:color w:val="0000FF"/>
              </w:rPr>
            </w:pPr>
            <w:r>
              <w:rPr>
                <w:color w:val="0000FF"/>
              </w:rPr>
              <w:t>城市/农村选项</w:t>
            </w:r>
          </w:p>
        </w:tc>
        <w:tc>
          <w:tcPr>
            <w:tcW w:w="2789" w:type="dxa"/>
            <w:vAlign w:val="center"/>
          </w:tcPr>
          <w:p>
            <w:pPr>
              <w:pStyle w:val="22"/>
              <w:bidi w:val="0"/>
              <w:jc w:val="center"/>
              <w:rPr>
                <w:color w:val="0000FF"/>
              </w:rPr>
            </w:pPr>
            <w:r>
              <w:rPr>
                <w:color w:val="0000FF"/>
              </w:rPr>
              <w:t>城市/农村</w:t>
            </w:r>
          </w:p>
        </w:tc>
        <w:tc>
          <w:tcPr>
            <w:tcW w:w="2771" w:type="dxa"/>
            <w:vAlign w:val="center"/>
          </w:tcPr>
          <w:p>
            <w:pPr>
              <w:pStyle w:val="22"/>
              <w:bidi w:val="0"/>
              <w:jc w:val="center"/>
              <w:rPr>
                <w:color w:val="0000FF"/>
              </w:rPr>
            </w:pPr>
            <w:r>
              <w:rPr>
                <w:color w:val="0000FF"/>
              </w:rPr>
              <w:t>农村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0" w:hRule="atLeast"/>
          <w:jc w:val="center"/>
        </w:trPr>
        <w:tc>
          <w:tcPr>
            <w:tcW w:w="2766" w:type="dxa"/>
            <w:vMerge w:val="continue"/>
            <w:tcBorders>
              <w:top w:val="nil"/>
            </w:tcBorders>
            <w:vAlign w:val="center"/>
          </w:tcPr>
          <w:p>
            <w:pPr>
              <w:pStyle w:val="22"/>
              <w:bidi w:val="0"/>
              <w:jc w:val="center"/>
              <w:rPr>
                <w:color w:val="0000FF"/>
              </w:rPr>
            </w:pPr>
          </w:p>
        </w:tc>
        <w:tc>
          <w:tcPr>
            <w:tcW w:w="2789" w:type="dxa"/>
            <w:vAlign w:val="center"/>
          </w:tcPr>
          <w:p>
            <w:pPr>
              <w:pStyle w:val="22"/>
              <w:bidi w:val="0"/>
              <w:jc w:val="center"/>
              <w:rPr>
                <w:color w:val="0000FF"/>
              </w:rPr>
            </w:pPr>
            <w:r>
              <w:rPr>
                <w:color w:val="0000FF"/>
              </w:rPr>
              <w:t>人口数（城市选项时）</w:t>
            </w:r>
          </w:p>
        </w:tc>
        <w:tc>
          <w:tcPr>
            <w:tcW w:w="2771" w:type="dxa"/>
            <w:vAlign w:val="center"/>
          </w:tcPr>
          <w:p>
            <w:pPr>
              <w:pStyle w:val="22"/>
              <w:bidi w:val="0"/>
              <w:jc w:val="center"/>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5555" w:type="dxa"/>
            <w:gridSpan w:val="2"/>
            <w:vAlign w:val="center"/>
          </w:tcPr>
          <w:p>
            <w:pPr>
              <w:pStyle w:val="22"/>
              <w:bidi w:val="0"/>
              <w:jc w:val="center"/>
              <w:rPr>
                <w:color w:val="0000FF"/>
              </w:rPr>
            </w:pPr>
            <w:r>
              <w:rPr>
                <w:color w:val="0000FF"/>
              </w:rPr>
              <w:t>最高环境温度/℃</w:t>
            </w:r>
          </w:p>
        </w:tc>
        <w:tc>
          <w:tcPr>
            <w:tcW w:w="2771" w:type="dxa"/>
            <w:vAlign w:val="center"/>
          </w:tcPr>
          <w:p>
            <w:pPr>
              <w:pStyle w:val="22"/>
              <w:bidi w:val="0"/>
              <w:jc w:val="center"/>
              <w:rPr>
                <w:color w:val="0000FF"/>
              </w:rPr>
            </w:pPr>
            <w:r>
              <w:rPr>
                <w:color w:val="0000FF"/>
              </w:rPr>
              <w:t>40.6℃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555" w:type="dxa"/>
            <w:gridSpan w:val="2"/>
            <w:vAlign w:val="center"/>
          </w:tcPr>
          <w:p>
            <w:pPr>
              <w:pStyle w:val="22"/>
              <w:bidi w:val="0"/>
              <w:jc w:val="center"/>
              <w:rPr>
                <w:color w:val="0000FF"/>
              </w:rPr>
            </w:pPr>
            <w:r>
              <w:rPr>
                <w:color w:val="0000FF"/>
              </w:rPr>
              <w:t>最低环境温度/℃</w:t>
            </w:r>
          </w:p>
        </w:tc>
        <w:tc>
          <w:tcPr>
            <w:tcW w:w="2771" w:type="dxa"/>
            <w:vAlign w:val="center"/>
          </w:tcPr>
          <w:p>
            <w:pPr>
              <w:pStyle w:val="22"/>
              <w:bidi w:val="0"/>
              <w:jc w:val="center"/>
              <w:rPr>
                <w:color w:val="0000FF"/>
              </w:rPr>
            </w:pPr>
            <w:r>
              <w:rPr>
                <w:color w:val="0000FF"/>
              </w:rPr>
              <w:t>-22.8℃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5555" w:type="dxa"/>
            <w:gridSpan w:val="2"/>
            <w:vAlign w:val="center"/>
          </w:tcPr>
          <w:p>
            <w:pPr>
              <w:pStyle w:val="22"/>
              <w:bidi w:val="0"/>
              <w:jc w:val="center"/>
              <w:rPr>
                <w:color w:val="0000FF"/>
              </w:rPr>
            </w:pPr>
            <w:r>
              <w:rPr>
                <w:color w:val="0000FF"/>
              </w:rPr>
              <w:t>土地利用类型</w:t>
            </w:r>
          </w:p>
        </w:tc>
        <w:tc>
          <w:tcPr>
            <w:tcW w:w="2771" w:type="dxa"/>
            <w:vAlign w:val="center"/>
          </w:tcPr>
          <w:p>
            <w:pPr>
              <w:pStyle w:val="22"/>
              <w:bidi w:val="0"/>
              <w:jc w:val="center"/>
              <w:rPr>
                <w:rFonts w:hint="default" w:eastAsia="宋体"/>
                <w:color w:val="0000FF"/>
                <w:lang w:val="en-US" w:eastAsia="zh-CN"/>
              </w:rPr>
            </w:pPr>
            <w:r>
              <w:rPr>
                <w:rFonts w:hint="eastAsia"/>
                <w:color w:val="0000FF"/>
                <w:lang w:val="en-US" w:eastAsia="zh-CN"/>
              </w:rPr>
              <w:t>沙漠化荒地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555" w:type="dxa"/>
            <w:gridSpan w:val="2"/>
            <w:vAlign w:val="center"/>
          </w:tcPr>
          <w:p>
            <w:pPr>
              <w:pStyle w:val="22"/>
              <w:bidi w:val="0"/>
              <w:jc w:val="center"/>
              <w:rPr>
                <w:color w:val="0000FF"/>
              </w:rPr>
            </w:pPr>
            <w:r>
              <w:rPr>
                <w:color w:val="0000FF"/>
              </w:rPr>
              <w:t>区域湿度条件</w:t>
            </w:r>
          </w:p>
        </w:tc>
        <w:tc>
          <w:tcPr>
            <w:tcW w:w="2771" w:type="dxa"/>
            <w:vAlign w:val="center"/>
          </w:tcPr>
          <w:p>
            <w:pPr>
              <w:pStyle w:val="22"/>
              <w:bidi w:val="0"/>
              <w:jc w:val="center"/>
              <w:rPr>
                <w:color w:val="0000FF"/>
              </w:rPr>
            </w:pPr>
            <w:r>
              <w:rPr>
                <w:color w:val="0000FF"/>
              </w:rPr>
              <w:t>干燥气候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2766" w:type="dxa"/>
            <w:vMerge w:val="restart"/>
            <w:vAlign w:val="center"/>
          </w:tcPr>
          <w:p>
            <w:pPr>
              <w:pStyle w:val="22"/>
              <w:bidi w:val="0"/>
              <w:jc w:val="center"/>
              <w:rPr>
                <w:color w:val="0000FF"/>
              </w:rPr>
            </w:pPr>
            <w:r>
              <w:rPr>
                <w:color w:val="0000FF"/>
              </w:rPr>
              <w:t>是否考虑地形</w:t>
            </w:r>
          </w:p>
        </w:tc>
        <w:tc>
          <w:tcPr>
            <w:tcW w:w="2789" w:type="dxa"/>
            <w:vAlign w:val="center"/>
          </w:tcPr>
          <w:p>
            <w:pPr>
              <w:pStyle w:val="22"/>
              <w:bidi w:val="0"/>
              <w:jc w:val="center"/>
              <w:rPr>
                <w:color w:val="0000FF"/>
              </w:rPr>
            </w:pPr>
            <w:r>
              <w:rPr>
                <w:color w:val="0000FF"/>
              </w:rPr>
              <w:t>考虑地形</w:t>
            </w:r>
          </w:p>
        </w:tc>
        <w:tc>
          <w:tcPr>
            <w:tcW w:w="2771" w:type="dxa"/>
            <w:vAlign w:val="center"/>
          </w:tcPr>
          <w:p>
            <w:pPr>
              <w:pStyle w:val="22"/>
              <w:bidi w:val="0"/>
              <w:jc w:val="center"/>
              <w:rPr>
                <w:color w:val="0000FF"/>
              </w:rPr>
            </w:pPr>
            <w:r>
              <w:rPr>
                <w:color w:val="0000FF"/>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2766" w:type="dxa"/>
            <w:vMerge w:val="continue"/>
            <w:vAlign w:val="center"/>
          </w:tcPr>
          <w:p>
            <w:pPr>
              <w:pStyle w:val="22"/>
              <w:bidi w:val="0"/>
              <w:jc w:val="center"/>
              <w:rPr>
                <w:color w:val="0000FF"/>
              </w:rPr>
            </w:pPr>
          </w:p>
        </w:tc>
        <w:tc>
          <w:tcPr>
            <w:tcW w:w="2789" w:type="dxa"/>
            <w:vAlign w:val="center"/>
          </w:tcPr>
          <w:p>
            <w:pPr>
              <w:pStyle w:val="22"/>
              <w:bidi w:val="0"/>
              <w:jc w:val="center"/>
              <w:rPr>
                <w:color w:val="0000FF"/>
              </w:rPr>
            </w:pPr>
            <w:r>
              <w:rPr>
                <w:color w:val="0000FF"/>
              </w:rPr>
              <w:t>地形数据分辨率/m</w:t>
            </w:r>
          </w:p>
        </w:tc>
        <w:tc>
          <w:tcPr>
            <w:tcW w:w="2771" w:type="dxa"/>
            <w:vAlign w:val="center"/>
          </w:tcPr>
          <w:p>
            <w:pPr>
              <w:pStyle w:val="22"/>
              <w:bidi w:val="0"/>
              <w:jc w:val="center"/>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2766" w:type="dxa"/>
            <w:vMerge w:val="restart"/>
            <w:tcBorders>
              <w:bottom w:val="nil"/>
            </w:tcBorders>
            <w:vAlign w:val="center"/>
          </w:tcPr>
          <w:p>
            <w:pPr>
              <w:pStyle w:val="22"/>
              <w:bidi w:val="0"/>
              <w:jc w:val="center"/>
              <w:rPr>
                <w:color w:val="0000FF"/>
              </w:rPr>
            </w:pPr>
          </w:p>
          <w:p>
            <w:pPr>
              <w:pStyle w:val="22"/>
              <w:bidi w:val="0"/>
              <w:jc w:val="center"/>
              <w:rPr>
                <w:color w:val="0000FF"/>
              </w:rPr>
            </w:pPr>
            <w:r>
              <w:rPr>
                <w:color w:val="0000FF"/>
              </w:rPr>
              <w:t>是否考虑岸线熏烟</w:t>
            </w:r>
          </w:p>
        </w:tc>
        <w:tc>
          <w:tcPr>
            <w:tcW w:w="2789" w:type="dxa"/>
            <w:vAlign w:val="center"/>
          </w:tcPr>
          <w:p>
            <w:pPr>
              <w:pStyle w:val="22"/>
              <w:bidi w:val="0"/>
              <w:jc w:val="center"/>
              <w:rPr>
                <w:color w:val="0000FF"/>
              </w:rPr>
            </w:pPr>
            <w:r>
              <w:rPr>
                <w:color w:val="0000FF"/>
              </w:rPr>
              <w:t>考虑岸线熏烟</w:t>
            </w:r>
          </w:p>
        </w:tc>
        <w:tc>
          <w:tcPr>
            <w:tcW w:w="2771" w:type="dxa"/>
            <w:vAlign w:val="center"/>
          </w:tcPr>
          <w:p>
            <w:pPr>
              <w:pStyle w:val="22"/>
              <w:bidi w:val="0"/>
              <w:jc w:val="center"/>
              <w:rPr>
                <w:color w:val="0000FF"/>
              </w:rPr>
            </w:pPr>
            <w:r>
              <w:rPr>
                <w:color w:val="0000FF"/>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2766" w:type="dxa"/>
            <w:vMerge w:val="continue"/>
            <w:tcBorders>
              <w:top w:val="nil"/>
              <w:bottom w:val="nil"/>
            </w:tcBorders>
            <w:vAlign w:val="center"/>
          </w:tcPr>
          <w:p>
            <w:pPr>
              <w:pStyle w:val="22"/>
              <w:bidi w:val="0"/>
              <w:jc w:val="center"/>
              <w:rPr>
                <w:color w:val="0000FF"/>
              </w:rPr>
            </w:pPr>
          </w:p>
        </w:tc>
        <w:tc>
          <w:tcPr>
            <w:tcW w:w="2789" w:type="dxa"/>
            <w:vAlign w:val="center"/>
          </w:tcPr>
          <w:p>
            <w:pPr>
              <w:pStyle w:val="22"/>
              <w:bidi w:val="0"/>
              <w:jc w:val="center"/>
              <w:rPr>
                <w:color w:val="0000FF"/>
              </w:rPr>
            </w:pPr>
            <w:r>
              <w:rPr>
                <w:color w:val="0000FF"/>
              </w:rPr>
              <w:t>岸线距离/km</w:t>
            </w:r>
          </w:p>
        </w:tc>
        <w:tc>
          <w:tcPr>
            <w:tcW w:w="2771" w:type="dxa"/>
            <w:vAlign w:val="center"/>
          </w:tcPr>
          <w:p>
            <w:pPr>
              <w:pStyle w:val="22"/>
              <w:bidi w:val="0"/>
              <w:jc w:val="center"/>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2766" w:type="dxa"/>
            <w:vMerge w:val="continue"/>
            <w:tcBorders>
              <w:top w:val="nil"/>
            </w:tcBorders>
            <w:vAlign w:val="center"/>
          </w:tcPr>
          <w:p>
            <w:pPr>
              <w:pStyle w:val="22"/>
              <w:bidi w:val="0"/>
              <w:jc w:val="center"/>
              <w:rPr>
                <w:color w:val="0000FF"/>
              </w:rPr>
            </w:pPr>
          </w:p>
        </w:tc>
        <w:tc>
          <w:tcPr>
            <w:tcW w:w="2789" w:type="dxa"/>
            <w:vAlign w:val="center"/>
          </w:tcPr>
          <w:p>
            <w:pPr>
              <w:pStyle w:val="22"/>
              <w:bidi w:val="0"/>
              <w:jc w:val="center"/>
              <w:rPr>
                <w:color w:val="0000FF"/>
              </w:rPr>
            </w:pPr>
            <w:r>
              <w:rPr>
                <w:color w:val="0000FF"/>
              </w:rPr>
              <w:t>岸线方向/º</w:t>
            </w:r>
          </w:p>
        </w:tc>
        <w:tc>
          <w:tcPr>
            <w:tcW w:w="2771" w:type="dxa"/>
            <w:vAlign w:val="center"/>
          </w:tcPr>
          <w:p>
            <w:pPr>
              <w:pStyle w:val="22"/>
              <w:bidi w:val="0"/>
              <w:jc w:val="center"/>
              <w:rPr>
                <w:color w:val="0000FF"/>
              </w:rPr>
            </w:pPr>
            <w:r>
              <w:rPr>
                <w:color w:val="0000FF"/>
              </w:rPr>
              <w:t>/</w:t>
            </w:r>
          </w:p>
        </w:tc>
      </w:tr>
    </w:tbl>
    <w:p>
      <w:pPr>
        <w:pStyle w:val="22"/>
        <w:bidi w:val="0"/>
        <w:rPr>
          <w:b/>
          <w:bCs/>
          <w:color w:val="0000FF"/>
        </w:rPr>
      </w:pPr>
      <w:r>
        <w:rPr>
          <w:b/>
          <w:bCs/>
          <w:color w:val="0000FF"/>
        </w:rPr>
        <w:t>表</w:t>
      </w:r>
      <w:r>
        <w:rPr>
          <w:rFonts w:hint="eastAsia"/>
          <w:b/>
          <w:bCs/>
          <w:color w:val="0000FF"/>
          <w:lang w:val="en-US" w:eastAsia="zh-CN"/>
        </w:rPr>
        <w:t>2.6-3</w:t>
      </w:r>
      <w:r>
        <w:rPr>
          <w:b/>
          <w:bCs/>
          <w:color w:val="0000FF"/>
        </w:rPr>
        <w:t>面源参数表</w:t>
      </w:r>
    </w:p>
    <w:tbl>
      <w:tblPr>
        <w:tblStyle w:val="23"/>
        <w:tblW w:w="89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750"/>
        <w:gridCol w:w="911"/>
        <w:gridCol w:w="818"/>
        <w:gridCol w:w="722"/>
        <w:gridCol w:w="772"/>
        <w:gridCol w:w="583"/>
        <w:gridCol w:w="788"/>
        <w:gridCol w:w="655"/>
        <w:gridCol w:w="1108"/>
        <w:gridCol w:w="1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479" w:type="dxa"/>
            <w:vMerge w:val="restart"/>
            <w:tcBorders>
              <w:bottom w:val="nil"/>
            </w:tcBorders>
            <w:textDirection w:val="tbRlV"/>
            <w:vAlign w:val="center"/>
          </w:tcPr>
          <w:p>
            <w:pPr>
              <w:pStyle w:val="22"/>
              <w:bidi w:val="0"/>
              <w:rPr>
                <w:color w:val="0000FF"/>
              </w:rPr>
            </w:pPr>
            <w:r>
              <w:rPr>
                <w:color w:val="0000FF"/>
              </w:rPr>
              <w:t>编号</w:t>
            </w:r>
          </w:p>
        </w:tc>
        <w:tc>
          <w:tcPr>
            <w:tcW w:w="750" w:type="dxa"/>
            <w:vMerge w:val="restart"/>
            <w:tcBorders>
              <w:bottom w:val="nil"/>
            </w:tcBorders>
            <w:textDirection w:val="tbRlV"/>
            <w:vAlign w:val="center"/>
          </w:tcPr>
          <w:p>
            <w:pPr>
              <w:pStyle w:val="22"/>
              <w:bidi w:val="0"/>
              <w:rPr>
                <w:color w:val="0000FF"/>
              </w:rPr>
            </w:pPr>
            <w:r>
              <w:rPr>
                <w:color w:val="0000FF"/>
              </w:rPr>
              <w:t>名称</w:t>
            </w:r>
          </w:p>
        </w:tc>
        <w:tc>
          <w:tcPr>
            <w:tcW w:w="911" w:type="dxa"/>
            <w:vMerge w:val="restart"/>
            <w:tcBorders>
              <w:bottom w:val="nil"/>
            </w:tcBorders>
            <w:vAlign w:val="center"/>
          </w:tcPr>
          <w:p>
            <w:pPr>
              <w:pStyle w:val="22"/>
              <w:bidi w:val="0"/>
              <w:rPr>
                <w:color w:val="0000FF"/>
              </w:rPr>
            </w:pPr>
            <w:r>
              <w:rPr>
                <w:color w:val="0000FF"/>
              </w:rPr>
              <w:t>面源海拔</w:t>
            </w:r>
          </w:p>
          <w:p>
            <w:pPr>
              <w:pStyle w:val="22"/>
              <w:bidi w:val="0"/>
              <w:rPr>
                <w:color w:val="0000FF"/>
              </w:rPr>
            </w:pPr>
            <w:r>
              <w:rPr>
                <w:color w:val="0000FF"/>
              </w:rPr>
              <w:t>高度/m</w:t>
            </w:r>
          </w:p>
        </w:tc>
        <w:tc>
          <w:tcPr>
            <w:tcW w:w="818" w:type="dxa"/>
            <w:vMerge w:val="restart"/>
            <w:tcBorders>
              <w:bottom w:val="nil"/>
            </w:tcBorders>
            <w:vAlign w:val="center"/>
          </w:tcPr>
          <w:p>
            <w:pPr>
              <w:pStyle w:val="22"/>
              <w:bidi w:val="0"/>
              <w:jc w:val="center"/>
              <w:rPr>
                <w:color w:val="0000FF"/>
              </w:rPr>
            </w:pPr>
            <w:r>
              <w:rPr>
                <w:color w:val="0000FF"/>
              </w:rPr>
              <w:t>面源长度/m</w:t>
            </w:r>
          </w:p>
        </w:tc>
        <w:tc>
          <w:tcPr>
            <w:tcW w:w="722" w:type="dxa"/>
            <w:vMerge w:val="restart"/>
            <w:tcBorders>
              <w:bottom w:val="nil"/>
              <w:right w:val="single" w:color="000000" w:sz="4" w:space="0"/>
            </w:tcBorders>
            <w:vAlign w:val="center"/>
          </w:tcPr>
          <w:p>
            <w:pPr>
              <w:pStyle w:val="22"/>
              <w:bidi w:val="0"/>
              <w:jc w:val="center"/>
              <w:rPr>
                <w:color w:val="0000FF"/>
              </w:rPr>
            </w:pPr>
            <w:r>
              <w:rPr>
                <w:color w:val="0000FF"/>
              </w:rPr>
              <w:t>面源宽度/m</w:t>
            </w:r>
          </w:p>
        </w:tc>
        <w:tc>
          <w:tcPr>
            <w:tcW w:w="772" w:type="dxa"/>
            <w:vMerge w:val="restart"/>
            <w:tcBorders>
              <w:left w:val="single" w:color="000000" w:sz="4" w:space="0"/>
              <w:bottom w:val="nil"/>
            </w:tcBorders>
            <w:vAlign w:val="center"/>
          </w:tcPr>
          <w:p>
            <w:pPr>
              <w:pStyle w:val="22"/>
              <w:bidi w:val="0"/>
              <w:jc w:val="center"/>
              <w:rPr>
                <w:color w:val="0000FF"/>
              </w:rPr>
            </w:pPr>
            <w:r>
              <w:rPr>
                <w:color w:val="0000FF"/>
              </w:rPr>
              <w:t>与正北方向夹角/°</w:t>
            </w:r>
          </w:p>
        </w:tc>
        <w:tc>
          <w:tcPr>
            <w:tcW w:w="583" w:type="dxa"/>
            <w:vMerge w:val="restart"/>
            <w:tcBorders>
              <w:bottom w:val="nil"/>
            </w:tcBorders>
            <w:vAlign w:val="center"/>
          </w:tcPr>
          <w:p>
            <w:pPr>
              <w:pStyle w:val="22"/>
              <w:bidi w:val="0"/>
              <w:jc w:val="center"/>
              <w:rPr>
                <w:color w:val="0000FF"/>
              </w:rPr>
            </w:pPr>
            <w:r>
              <w:rPr>
                <w:color w:val="0000FF"/>
              </w:rPr>
              <w:t>面源有效排放高度/m</w:t>
            </w:r>
          </w:p>
        </w:tc>
        <w:tc>
          <w:tcPr>
            <w:tcW w:w="788" w:type="dxa"/>
            <w:vMerge w:val="restart"/>
            <w:tcBorders>
              <w:bottom w:val="nil"/>
            </w:tcBorders>
            <w:vAlign w:val="center"/>
          </w:tcPr>
          <w:p>
            <w:pPr>
              <w:pStyle w:val="22"/>
              <w:bidi w:val="0"/>
              <w:rPr>
                <w:color w:val="0000FF"/>
              </w:rPr>
            </w:pPr>
          </w:p>
          <w:p>
            <w:pPr>
              <w:pStyle w:val="22"/>
              <w:bidi w:val="0"/>
              <w:jc w:val="center"/>
              <w:rPr>
                <w:color w:val="0000FF"/>
              </w:rPr>
            </w:pPr>
            <w:r>
              <w:rPr>
                <w:color w:val="0000FF"/>
              </w:rPr>
              <w:t>年排放小时数/h</w:t>
            </w:r>
          </w:p>
        </w:tc>
        <w:tc>
          <w:tcPr>
            <w:tcW w:w="655" w:type="dxa"/>
            <w:vMerge w:val="restart"/>
            <w:tcBorders>
              <w:bottom w:val="nil"/>
            </w:tcBorders>
            <w:textDirection w:val="tbRlV"/>
            <w:vAlign w:val="center"/>
          </w:tcPr>
          <w:p>
            <w:pPr>
              <w:pStyle w:val="22"/>
              <w:bidi w:val="0"/>
              <w:rPr>
                <w:color w:val="0000FF"/>
              </w:rPr>
            </w:pPr>
            <w:r>
              <w:rPr>
                <w:color w:val="0000FF"/>
              </w:rPr>
              <w:t>排放工况</w:t>
            </w:r>
          </w:p>
        </w:tc>
        <w:tc>
          <w:tcPr>
            <w:tcW w:w="2497" w:type="dxa"/>
            <w:gridSpan w:val="2"/>
            <w:vAlign w:val="center"/>
          </w:tcPr>
          <w:p>
            <w:pPr>
              <w:pStyle w:val="22"/>
              <w:bidi w:val="0"/>
              <w:rPr>
                <w:color w:val="0000FF"/>
              </w:rPr>
            </w:pPr>
            <w:r>
              <w:rPr>
                <w:color w:val="0000FF"/>
              </w:rPr>
              <w:t>污染物排放速率</w:t>
            </w:r>
          </w:p>
          <w:p>
            <w:pPr>
              <w:pStyle w:val="22"/>
              <w:bidi w:val="0"/>
              <w:rPr>
                <w:color w:val="0000FF"/>
              </w:rPr>
            </w:pPr>
            <w:r>
              <w:rPr>
                <w:color w:val="0000FF"/>
              </w:rPr>
              <w:t>/(kg/a)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jc w:val="center"/>
        </w:trPr>
        <w:tc>
          <w:tcPr>
            <w:tcW w:w="479" w:type="dxa"/>
            <w:vMerge w:val="continue"/>
            <w:tcBorders>
              <w:top w:val="nil"/>
            </w:tcBorders>
            <w:textDirection w:val="tbRlV"/>
            <w:vAlign w:val="center"/>
          </w:tcPr>
          <w:p>
            <w:pPr>
              <w:pStyle w:val="22"/>
              <w:bidi w:val="0"/>
              <w:rPr>
                <w:color w:val="0000FF"/>
              </w:rPr>
            </w:pPr>
          </w:p>
        </w:tc>
        <w:tc>
          <w:tcPr>
            <w:tcW w:w="750" w:type="dxa"/>
            <w:vMerge w:val="continue"/>
            <w:tcBorders>
              <w:top w:val="nil"/>
            </w:tcBorders>
            <w:textDirection w:val="tbRlV"/>
            <w:vAlign w:val="center"/>
          </w:tcPr>
          <w:p>
            <w:pPr>
              <w:pStyle w:val="22"/>
              <w:bidi w:val="0"/>
              <w:rPr>
                <w:color w:val="0000FF"/>
              </w:rPr>
            </w:pPr>
          </w:p>
        </w:tc>
        <w:tc>
          <w:tcPr>
            <w:tcW w:w="911" w:type="dxa"/>
            <w:vMerge w:val="continue"/>
            <w:tcBorders>
              <w:top w:val="nil"/>
            </w:tcBorders>
            <w:vAlign w:val="center"/>
          </w:tcPr>
          <w:p>
            <w:pPr>
              <w:pStyle w:val="22"/>
              <w:bidi w:val="0"/>
              <w:rPr>
                <w:color w:val="0000FF"/>
              </w:rPr>
            </w:pPr>
          </w:p>
        </w:tc>
        <w:tc>
          <w:tcPr>
            <w:tcW w:w="818" w:type="dxa"/>
            <w:vMerge w:val="continue"/>
            <w:tcBorders>
              <w:top w:val="nil"/>
            </w:tcBorders>
            <w:vAlign w:val="center"/>
          </w:tcPr>
          <w:p>
            <w:pPr>
              <w:pStyle w:val="22"/>
              <w:bidi w:val="0"/>
              <w:rPr>
                <w:color w:val="0000FF"/>
              </w:rPr>
            </w:pPr>
          </w:p>
        </w:tc>
        <w:tc>
          <w:tcPr>
            <w:tcW w:w="722" w:type="dxa"/>
            <w:vMerge w:val="continue"/>
            <w:tcBorders>
              <w:top w:val="nil"/>
              <w:right w:val="single" w:color="000000" w:sz="4" w:space="0"/>
            </w:tcBorders>
            <w:vAlign w:val="center"/>
          </w:tcPr>
          <w:p>
            <w:pPr>
              <w:pStyle w:val="22"/>
              <w:bidi w:val="0"/>
              <w:rPr>
                <w:color w:val="0000FF"/>
              </w:rPr>
            </w:pPr>
          </w:p>
        </w:tc>
        <w:tc>
          <w:tcPr>
            <w:tcW w:w="772" w:type="dxa"/>
            <w:vMerge w:val="continue"/>
            <w:tcBorders>
              <w:top w:val="nil"/>
              <w:left w:val="single" w:color="000000" w:sz="4" w:space="0"/>
            </w:tcBorders>
            <w:vAlign w:val="center"/>
          </w:tcPr>
          <w:p>
            <w:pPr>
              <w:pStyle w:val="22"/>
              <w:bidi w:val="0"/>
              <w:rPr>
                <w:color w:val="0000FF"/>
              </w:rPr>
            </w:pPr>
          </w:p>
        </w:tc>
        <w:tc>
          <w:tcPr>
            <w:tcW w:w="583" w:type="dxa"/>
            <w:vMerge w:val="continue"/>
            <w:tcBorders>
              <w:top w:val="nil"/>
            </w:tcBorders>
            <w:vAlign w:val="center"/>
          </w:tcPr>
          <w:p>
            <w:pPr>
              <w:pStyle w:val="22"/>
              <w:bidi w:val="0"/>
              <w:rPr>
                <w:color w:val="0000FF"/>
              </w:rPr>
            </w:pPr>
          </w:p>
        </w:tc>
        <w:tc>
          <w:tcPr>
            <w:tcW w:w="788" w:type="dxa"/>
            <w:vMerge w:val="continue"/>
            <w:tcBorders>
              <w:top w:val="nil"/>
            </w:tcBorders>
            <w:vAlign w:val="center"/>
          </w:tcPr>
          <w:p>
            <w:pPr>
              <w:pStyle w:val="22"/>
              <w:bidi w:val="0"/>
              <w:rPr>
                <w:color w:val="0000FF"/>
              </w:rPr>
            </w:pPr>
          </w:p>
        </w:tc>
        <w:tc>
          <w:tcPr>
            <w:tcW w:w="655" w:type="dxa"/>
            <w:vMerge w:val="continue"/>
            <w:tcBorders>
              <w:top w:val="nil"/>
            </w:tcBorders>
            <w:textDirection w:val="tbRlV"/>
            <w:vAlign w:val="center"/>
          </w:tcPr>
          <w:p>
            <w:pPr>
              <w:pStyle w:val="22"/>
              <w:bidi w:val="0"/>
              <w:rPr>
                <w:color w:val="0000FF"/>
              </w:rPr>
            </w:pPr>
          </w:p>
        </w:tc>
        <w:tc>
          <w:tcPr>
            <w:tcW w:w="1108" w:type="dxa"/>
            <w:vAlign w:val="center"/>
          </w:tcPr>
          <w:p>
            <w:pPr>
              <w:pStyle w:val="22"/>
              <w:bidi w:val="0"/>
              <w:rPr>
                <w:color w:val="0000FF"/>
              </w:rPr>
            </w:pPr>
            <w:r>
              <w:rPr>
                <w:color w:val="0000FF"/>
              </w:rPr>
              <w:t>NH</w:t>
            </w:r>
            <w:r>
              <w:rPr>
                <w:color w:val="0000FF"/>
                <w:vertAlign w:val="subscript"/>
              </w:rPr>
              <w:t>3</w:t>
            </w:r>
          </w:p>
        </w:tc>
        <w:tc>
          <w:tcPr>
            <w:tcW w:w="1389" w:type="dxa"/>
            <w:vAlign w:val="center"/>
          </w:tcPr>
          <w:p>
            <w:pPr>
              <w:pStyle w:val="22"/>
              <w:bidi w:val="0"/>
              <w:rPr>
                <w:color w:val="0000FF"/>
              </w:rPr>
            </w:pPr>
            <w:r>
              <w:rPr>
                <w:color w:val="0000FF"/>
              </w:rPr>
              <w:t>H</w:t>
            </w:r>
            <w:r>
              <w:rPr>
                <w:color w:val="0000FF"/>
                <w:vertAlign w:val="subscript"/>
              </w:rPr>
              <w:t>2</w:t>
            </w:r>
            <w:r>
              <w:rPr>
                <w:color w:val="0000FF"/>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479" w:type="dxa"/>
            <w:vAlign w:val="center"/>
          </w:tcPr>
          <w:p>
            <w:pPr>
              <w:pStyle w:val="22"/>
              <w:bidi w:val="0"/>
              <w:rPr>
                <w:color w:val="0000FF"/>
              </w:rPr>
            </w:pPr>
            <w:r>
              <w:rPr>
                <w:color w:val="0000FF"/>
              </w:rPr>
              <w:t>1</w:t>
            </w:r>
          </w:p>
        </w:tc>
        <w:tc>
          <w:tcPr>
            <w:tcW w:w="750" w:type="dxa"/>
            <w:vAlign w:val="center"/>
          </w:tcPr>
          <w:p>
            <w:pPr>
              <w:pStyle w:val="22"/>
              <w:bidi w:val="0"/>
              <w:rPr>
                <w:rFonts w:hint="default"/>
                <w:color w:val="0000FF"/>
                <w:lang w:val="en-US" w:eastAsia="zh-CN"/>
              </w:rPr>
            </w:pPr>
            <w:r>
              <w:rPr>
                <w:rFonts w:hint="eastAsia"/>
                <w:color w:val="0000FF"/>
                <w:lang w:val="en-US" w:eastAsia="zh-CN"/>
              </w:rPr>
              <w:t>污水处理站</w:t>
            </w:r>
          </w:p>
        </w:tc>
        <w:tc>
          <w:tcPr>
            <w:tcW w:w="911" w:type="dxa"/>
            <w:vAlign w:val="center"/>
          </w:tcPr>
          <w:p>
            <w:pPr>
              <w:pStyle w:val="22"/>
              <w:bidi w:val="0"/>
              <w:rPr>
                <w:color w:val="0000FF"/>
              </w:rPr>
            </w:pPr>
            <w:r>
              <w:rPr>
                <w:color w:val="0000FF"/>
              </w:rPr>
              <w:t>1455</w:t>
            </w:r>
          </w:p>
        </w:tc>
        <w:tc>
          <w:tcPr>
            <w:tcW w:w="818" w:type="dxa"/>
            <w:vAlign w:val="center"/>
          </w:tcPr>
          <w:p>
            <w:pPr>
              <w:pStyle w:val="22"/>
              <w:bidi w:val="0"/>
              <w:rPr>
                <w:rFonts w:hint="default" w:eastAsia="宋体"/>
                <w:color w:val="0000FF"/>
                <w:lang w:val="en-US" w:eastAsia="zh-CN"/>
              </w:rPr>
            </w:pPr>
            <w:r>
              <w:rPr>
                <w:rFonts w:hint="eastAsia"/>
                <w:color w:val="0000FF"/>
                <w:lang w:val="en-US" w:eastAsia="zh-CN"/>
              </w:rPr>
              <w:t>2.5</w:t>
            </w:r>
          </w:p>
        </w:tc>
        <w:tc>
          <w:tcPr>
            <w:tcW w:w="722" w:type="dxa"/>
            <w:tcBorders>
              <w:right w:val="single" w:color="000000" w:sz="4" w:space="0"/>
            </w:tcBorders>
            <w:vAlign w:val="center"/>
          </w:tcPr>
          <w:p>
            <w:pPr>
              <w:pStyle w:val="22"/>
              <w:bidi w:val="0"/>
              <w:rPr>
                <w:rFonts w:hint="default" w:eastAsia="宋体"/>
                <w:color w:val="0000FF"/>
                <w:lang w:val="en-US" w:eastAsia="zh-CN"/>
              </w:rPr>
            </w:pPr>
            <w:r>
              <w:rPr>
                <w:rFonts w:hint="eastAsia"/>
                <w:color w:val="0000FF"/>
                <w:lang w:val="en-US" w:eastAsia="zh-CN"/>
              </w:rPr>
              <w:t>2</w:t>
            </w:r>
          </w:p>
        </w:tc>
        <w:tc>
          <w:tcPr>
            <w:tcW w:w="772" w:type="dxa"/>
            <w:tcBorders>
              <w:left w:val="single" w:color="000000" w:sz="4" w:space="0"/>
            </w:tcBorders>
            <w:vAlign w:val="center"/>
          </w:tcPr>
          <w:p>
            <w:pPr>
              <w:pStyle w:val="22"/>
              <w:bidi w:val="0"/>
              <w:rPr>
                <w:color w:val="0000FF"/>
              </w:rPr>
            </w:pPr>
            <w:r>
              <w:rPr>
                <w:color w:val="0000FF"/>
              </w:rPr>
              <w:t>0</w:t>
            </w:r>
          </w:p>
        </w:tc>
        <w:tc>
          <w:tcPr>
            <w:tcW w:w="583" w:type="dxa"/>
            <w:vAlign w:val="center"/>
          </w:tcPr>
          <w:p>
            <w:pPr>
              <w:pStyle w:val="22"/>
              <w:bidi w:val="0"/>
              <w:rPr>
                <w:color w:val="0000FF"/>
              </w:rPr>
            </w:pPr>
            <w:r>
              <w:rPr>
                <w:color w:val="0000FF"/>
              </w:rPr>
              <w:t>1</w:t>
            </w:r>
          </w:p>
        </w:tc>
        <w:tc>
          <w:tcPr>
            <w:tcW w:w="788" w:type="dxa"/>
            <w:vAlign w:val="center"/>
          </w:tcPr>
          <w:p>
            <w:pPr>
              <w:pStyle w:val="22"/>
              <w:bidi w:val="0"/>
              <w:rPr>
                <w:color w:val="0000FF"/>
              </w:rPr>
            </w:pPr>
            <w:r>
              <w:rPr>
                <w:color w:val="0000FF"/>
              </w:rPr>
              <w:t>8760</w:t>
            </w:r>
          </w:p>
        </w:tc>
        <w:tc>
          <w:tcPr>
            <w:tcW w:w="655" w:type="dxa"/>
            <w:textDirection w:val="tbRlV"/>
            <w:vAlign w:val="center"/>
          </w:tcPr>
          <w:p>
            <w:pPr>
              <w:pStyle w:val="22"/>
              <w:bidi w:val="0"/>
              <w:rPr>
                <w:color w:val="0000FF"/>
              </w:rPr>
            </w:pPr>
            <w:r>
              <w:rPr>
                <w:color w:val="0000FF"/>
              </w:rPr>
              <w:t>正常</w:t>
            </w:r>
          </w:p>
        </w:tc>
        <w:tc>
          <w:tcPr>
            <w:tcW w:w="1108" w:type="dxa"/>
            <w:vAlign w:val="center"/>
          </w:tcPr>
          <w:p>
            <w:pPr>
              <w:pStyle w:val="22"/>
              <w:bidi w:val="0"/>
              <w:rPr>
                <w:rFonts w:hint="default" w:eastAsia="宋体"/>
                <w:color w:val="0000FF"/>
                <w:lang w:val="en-US" w:eastAsia="zh-CN"/>
              </w:rPr>
            </w:pPr>
            <w:r>
              <w:rPr>
                <w:rFonts w:hint="eastAsia"/>
                <w:color w:val="0000FF"/>
                <w:lang w:val="en-US" w:eastAsia="zh-CN"/>
              </w:rPr>
              <w:t>0.05</w:t>
            </w:r>
          </w:p>
        </w:tc>
        <w:tc>
          <w:tcPr>
            <w:tcW w:w="1389" w:type="dxa"/>
            <w:vAlign w:val="center"/>
          </w:tcPr>
          <w:p>
            <w:pPr>
              <w:pStyle w:val="22"/>
              <w:bidi w:val="0"/>
              <w:rPr>
                <w:rFonts w:hint="default" w:eastAsia="宋体"/>
                <w:color w:val="0000FF"/>
                <w:lang w:val="en-US" w:eastAsia="zh-CN"/>
              </w:rPr>
            </w:pPr>
            <w:r>
              <w:rPr>
                <w:rFonts w:hint="eastAsia"/>
                <w:color w:val="0000FF"/>
                <w:lang w:val="en-US" w:eastAsia="zh-CN"/>
              </w:rPr>
              <w:t>0.002</w:t>
            </w:r>
          </w:p>
        </w:tc>
      </w:tr>
    </w:tbl>
    <w:p>
      <w:pPr>
        <w:pStyle w:val="22"/>
        <w:bidi w:val="0"/>
        <w:rPr>
          <w:b/>
          <w:bCs/>
          <w:color w:val="0000FF"/>
        </w:rPr>
      </w:pPr>
      <w:r>
        <w:rPr>
          <w:b/>
          <w:bCs/>
          <w:color w:val="0000FF"/>
        </w:rPr>
        <w:t>表2</w:t>
      </w:r>
      <w:r>
        <w:rPr>
          <w:rFonts w:hint="eastAsia"/>
          <w:b/>
          <w:bCs/>
          <w:color w:val="0000FF"/>
          <w:lang w:val="en-US" w:eastAsia="zh-CN"/>
        </w:rPr>
        <w:t>.6-4</w:t>
      </w:r>
      <w:r>
        <w:rPr>
          <w:b/>
          <w:bCs/>
          <w:color w:val="0000FF"/>
        </w:rPr>
        <w:t>污染物评价级别判断一览表</w:t>
      </w:r>
    </w:p>
    <w:tbl>
      <w:tblPr>
        <w:tblStyle w:val="23"/>
        <w:tblpPr w:leftFromText="180" w:rightFromText="180" w:vertAnchor="text" w:horzAnchor="page" w:tblpXSpec="center" w:tblpY="24"/>
        <w:tblOverlap w:val="never"/>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6"/>
        <w:gridCol w:w="1316"/>
        <w:gridCol w:w="1419"/>
        <w:gridCol w:w="1420"/>
        <w:gridCol w:w="1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4" w:hRule="atLeast"/>
          <w:jc w:val="center"/>
        </w:trPr>
        <w:tc>
          <w:tcPr>
            <w:tcW w:w="4262" w:type="dxa"/>
            <w:gridSpan w:val="2"/>
            <w:vAlign w:val="center"/>
          </w:tcPr>
          <w:p>
            <w:pPr>
              <w:pStyle w:val="22"/>
              <w:bidi w:val="0"/>
              <w:jc w:val="center"/>
              <w:rPr>
                <w:color w:val="0000FF"/>
              </w:rPr>
            </w:pPr>
            <w:r>
              <w:rPr>
                <w:color w:val="0000FF"/>
              </w:rPr>
              <w:t>污染物名称</w:t>
            </w:r>
          </w:p>
        </w:tc>
        <w:tc>
          <w:tcPr>
            <w:tcW w:w="1419" w:type="dxa"/>
            <w:vAlign w:val="center"/>
          </w:tcPr>
          <w:p>
            <w:pPr>
              <w:pStyle w:val="22"/>
              <w:bidi w:val="0"/>
              <w:jc w:val="center"/>
              <w:rPr>
                <w:color w:val="0000FF"/>
              </w:rPr>
            </w:pPr>
            <w:r>
              <w:rPr>
                <w:color w:val="0000FF"/>
              </w:rPr>
              <w:t>Pmax（%）</w:t>
            </w:r>
          </w:p>
        </w:tc>
        <w:tc>
          <w:tcPr>
            <w:tcW w:w="1420" w:type="dxa"/>
            <w:vAlign w:val="center"/>
          </w:tcPr>
          <w:p>
            <w:pPr>
              <w:pStyle w:val="22"/>
              <w:bidi w:val="0"/>
              <w:jc w:val="center"/>
              <w:rPr>
                <w:color w:val="0000FF"/>
              </w:rPr>
            </w:pPr>
            <w:r>
              <w:rPr>
                <w:color w:val="0000FF"/>
              </w:rPr>
              <w:t>D10%（m）</w:t>
            </w:r>
          </w:p>
        </w:tc>
        <w:tc>
          <w:tcPr>
            <w:tcW w:w="1425" w:type="dxa"/>
            <w:vAlign w:val="center"/>
          </w:tcPr>
          <w:p>
            <w:pPr>
              <w:pStyle w:val="22"/>
              <w:bidi w:val="0"/>
              <w:jc w:val="center"/>
              <w:rPr>
                <w:color w:val="0000FF"/>
              </w:rPr>
            </w:pPr>
            <w:r>
              <w:rPr>
                <w:color w:val="0000FF"/>
              </w:rPr>
              <w:t>评价级别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jc w:val="center"/>
        </w:trPr>
        <w:tc>
          <w:tcPr>
            <w:tcW w:w="2946" w:type="dxa"/>
            <w:vMerge w:val="restart"/>
            <w:tcBorders>
              <w:bottom w:val="nil"/>
            </w:tcBorders>
            <w:vAlign w:val="center"/>
          </w:tcPr>
          <w:p>
            <w:pPr>
              <w:pStyle w:val="22"/>
              <w:bidi w:val="0"/>
              <w:jc w:val="center"/>
              <w:rPr>
                <w:color w:val="0000FF"/>
              </w:rPr>
            </w:pPr>
            <w:r>
              <w:rPr>
                <w:color w:val="0000FF"/>
              </w:rPr>
              <w:t>污水处理站恶臭</w:t>
            </w:r>
          </w:p>
          <w:p>
            <w:pPr>
              <w:pStyle w:val="22"/>
              <w:bidi w:val="0"/>
              <w:jc w:val="center"/>
              <w:rPr>
                <w:color w:val="0000FF"/>
              </w:rPr>
            </w:pPr>
            <w:r>
              <w:rPr>
                <w:color w:val="0000FF"/>
              </w:rPr>
              <w:t>（污水处理站尺寸</w:t>
            </w:r>
            <w:r>
              <w:rPr>
                <w:rFonts w:hint="eastAsia"/>
                <w:color w:val="0000FF"/>
                <w:lang w:val="en-US" w:eastAsia="zh-CN"/>
              </w:rPr>
              <w:t>2.5</w:t>
            </w:r>
            <w:r>
              <w:rPr>
                <w:color w:val="0000FF"/>
              </w:rPr>
              <w:t>×</w:t>
            </w:r>
            <w:r>
              <w:rPr>
                <w:rFonts w:hint="eastAsia"/>
                <w:color w:val="0000FF"/>
                <w:lang w:val="en-US" w:eastAsia="zh-CN"/>
              </w:rPr>
              <w:t>2</w:t>
            </w:r>
            <w:r>
              <w:rPr>
                <w:color w:val="0000FF"/>
              </w:rPr>
              <w:t>m）</w:t>
            </w:r>
          </w:p>
        </w:tc>
        <w:tc>
          <w:tcPr>
            <w:tcW w:w="1316" w:type="dxa"/>
            <w:vAlign w:val="center"/>
          </w:tcPr>
          <w:p>
            <w:pPr>
              <w:pStyle w:val="22"/>
              <w:bidi w:val="0"/>
              <w:jc w:val="center"/>
              <w:rPr>
                <w:color w:val="0000FF"/>
              </w:rPr>
            </w:pPr>
            <w:r>
              <w:rPr>
                <w:color w:val="0000FF"/>
              </w:rPr>
              <w:t>NH</w:t>
            </w:r>
            <w:r>
              <w:rPr>
                <w:color w:val="0000FF"/>
                <w:vertAlign w:val="subscript"/>
              </w:rPr>
              <w:t>3</w:t>
            </w:r>
          </w:p>
        </w:tc>
        <w:tc>
          <w:tcPr>
            <w:tcW w:w="1419" w:type="dxa"/>
            <w:vAlign w:val="center"/>
          </w:tcPr>
          <w:p>
            <w:pPr>
              <w:pStyle w:val="22"/>
              <w:bidi w:val="0"/>
              <w:jc w:val="center"/>
              <w:rPr>
                <w:rFonts w:hint="default" w:eastAsia="宋体"/>
                <w:color w:val="0000FF"/>
                <w:lang w:val="en-US" w:eastAsia="zh-CN"/>
              </w:rPr>
            </w:pPr>
            <w:r>
              <w:rPr>
                <w:rFonts w:hint="eastAsia"/>
                <w:color w:val="0000FF"/>
                <w:lang w:val="en-US" w:eastAsia="zh-CN"/>
              </w:rPr>
              <w:t>0.19</w:t>
            </w:r>
          </w:p>
        </w:tc>
        <w:tc>
          <w:tcPr>
            <w:tcW w:w="1420" w:type="dxa"/>
            <w:vAlign w:val="center"/>
          </w:tcPr>
          <w:p>
            <w:pPr>
              <w:pStyle w:val="22"/>
              <w:bidi w:val="0"/>
              <w:jc w:val="center"/>
              <w:rPr>
                <w:color w:val="0000FF"/>
              </w:rPr>
            </w:pPr>
            <w:r>
              <w:rPr>
                <w:color w:val="0000FF"/>
              </w:rPr>
              <w:t>/</w:t>
            </w:r>
          </w:p>
        </w:tc>
        <w:tc>
          <w:tcPr>
            <w:tcW w:w="1425" w:type="dxa"/>
            <w:vAlign w:val="center"/>
          </w:tcPr>
          <w:p>
            <w:pPr>
              <w:pStyle w:val="22"/>
              <w:bidi w:val="0"/>
              <w:jc w:val="center"/>
              <w:rPr>
                <w:color w:val="0000FF"/>
              </w:rPr>
            </w:pPr>
            <w:r>
              <w:rPr>
                <w:color w:val="0000FF"/>
              </w:rPr>
              <w:t>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jc w:val="center"/>
        </w:trPr>
        <w:tc>
          <w:tcPr>
            <w:tcW w:w="2946" w:type="dxa"/>
            <w:vMerge w:val="continue"/>
            <w:tcBorders>
              <w:top w:val="nil"/>
            </w:tcBorders>
            <w:vAlign w:val="center"/>
          </w:tcPr>
          <w:p>
            <w:pPr>
              <w:pStyle w:val="22"/>
              <w:bidi w:val="0"/>
              <w:jc w:val="center"/>
              <w:rPr>
                <w:color w:val="0000FF"/>
              </w:rPr>
            </w:pPr>
          </w:p>
        </w:tc>
        <w:tc>
          <w:tcPr>
            <w:tcW w:w="1316" w:type="dxa"/>
            <w:vAlign w:val="center"/>
          </w:tcPr>
          <w:p>
            <w:pPr>
              <w:pStyle w:val="22"/>
              <w:bidi w:val="0"/>
              <w:jc w:val="center"/>
              <w:rPr>
                <w:color w:val="0000FF"/>
              </w:rPr>
            </w:pPr>
            <w:r>
              <w:rPr>
                <w:color w:val="0000FF"/>
              </w:rPr>
              <w:t>H</w:t>
            </w:r>
            <w:r>
              <w:rPr>
                <w:color w:val="0000FF"/>
                <w:vertAlign w:val="subscript"/>
              </w:rPr>
              <w:t>2</w:t>
            </w:r>
            <w:r>
              <w:rPr>
                <w:color w:val="0000FF"/>
              </w:rPr>
              <w:t>S</w:t>
            </w:r>
          </w:p>
        </w:tc>
        <w:tc>
          <w:tcPr>
            <w:tcW w:w="1419" w:type="dxa"/>
            <w:vAlign w:val="center"/>
          </w:tcPr>
          <w:p>
            <w:pPr>
              <w:pStyle w:val="22"/>
              <w:bidi w:val="0"/>
              <w:jc w:val="center"/>
              <w:rPr>
                <w:rFonts w:hint="default" w:eastAsia="宋体"/>
                <w:color w:val="0000FF"/>
                <w:lang w:val="en-US" w:eastAsia="zh-CN"/>
              </w:rPr>
            </w:pPr>
            <w:r>
              <w:rPr>
                <w:rFonts w:hint="eastAsia"/>
                <w:color w:val="0000FF"/>
                <w:lang w:val="en-US" w:eastAsia="zh-CN"/>
              </w:rPr>
              <w:t>0.15</w:t>
            </w:r>
          </w:p>
        </w:tc>
        <w:tc>
          <w:tcPr>
            <w:tcW w:w="1420" w:type="dxa"/>
            <w:vAlign w:val="center"/>
          </w:tcPr>
          <w:p>
            <w:pPr>
              <w:pStyle w:val="22"/>
              <w:bidi w:val="0"/>
              <w:jc w:val="center"/>
              <w:rPr>
                <w:color w:val="0000FF"/>
              </w:rPr>
            </w:pPr>
            <w:r>
              <w:rPr>
                <w:color w:val="0000FF"/>
              </w:rPr>
              <w:t>/</w:t>
            </w:r>
          </w:p>
        </w:tc>
        <w:tc>
          <w:tcPr>
            <w:tcW w:w="1425" w:type="dxa"/>
            <w:vAlign w:val="center"/>
          </w:tcPr>
          <w:p>
            <w:pPr>
              <w:pStyle w:val="22"/>
              <w:bidi w:val="0"/>
              <w:jc w:val="center"/>
              <w:rPr>
                <w:color w:val="0000FF"/>
              </w:rPr>
            </w:pPr>
            <w:r>
              <w:rPr>
                <w:color w:val="0000FF"/>
              </w:rPr>
              <w:t>三级</w:t>
            </w:r>
          </w:p>
        </w:tc>
      </w:tr>
    </w:tbl>
    <w:p>
      <w:pPr>
        <w:spacing w:line="35" w:lineRule="exact"/>
        <w:rPr>
          <w:color w:val="0000FF"/>
        </w:rPr>
      </w:pPr>
    </w:p>
    <w:p>
      <w:pPr>
        <w:spacing w:before="117" w:line="272" w:lineRule="auto"/>
        <w:ind w:left="124" w:right="213" w:firstLine="478"/>
        <w:rPr>
          <w:rFonts w:ascii="宋体" w:hAnsi="宋体" w:eastAsia="宋体" w:cs="宋体"/>
          <w:color w:val="0000FF"/>
          <w:sz w:val="24"/>
          <w:szCs w:val="24"/>
        </w:rPr>
      </w:pPr>
      <w:r>
        <w:rPr>
          <w:rFonts w:ascii="宋体" w:hAnsi="宋体" w:eastAsia="宋体" w:cs="宋体"/>
          <w:color w:val="0000FF"/>
          <w:spacing w:val="-5"/>
          <w:sz w:val="24"/>
          <w:szCs w:val="24"/>
        </w:rPr>
        <w:t>根据《环境影响评价技术导则</w:t>
      </w:r>
      <w:r>
        <w:rPr>
          <w:rFonts w:hint="eastAsia" w:ascii="宋体" w:hAnsi="宋体" w:cs="宋体"/>
          <w:color w:val="0000FF"/>
          <w:spacing w:val="-5"/>
          <w:sz w:val="24"/>
          <w:szCs w:val="24"/>
          <w:lang w:val="en-US" w:eastAsia="zh-CN"/>
        </w:rPr>
        <w:t xml:space="preserve"> </w:t>
      </w:r>
      <w:r>
        <w:rPr>
          <w:rFonts w:ascii="宋体" w:hAnsi="宋体" w:eastAsia="宋体" w:cs="宋体"/>
          <w:color w:val="0000FF"/>
          <w:spacing w:val="-5"/>
          <w:sz w:val="24"/>
          <w:szCs w:val="24"/>
        </w:rPr>
        <w:t>大气环境》（</w:t>
      </w:r>
      <w:r>
        <w:rPr>
          <w:rFonts w:ascii="Times New Roman" w:hAnsi="Times New Roman" w:eastAsia="Times New Roman" w:cs="Times New Roman"/>
          <w:color w:val="0000FF"/>
          <w:spacing w:val="-5"/>
          <w:sz w:val="24"/>
          <w:szCs w:val="24"/>
        </w:rPr>
        <w:t>HJ2.2-2018</w:t>
      </w:r>
      <w:r>
        <w:rPr>
          <w:rFonts w:ascii="宋体" w:hAnsi="宋体" w:eastAsia="宋体" w:cs="宋体"/>
          <w:color w:val="0000FF"/>
          <w:spacing w:val="-42"/>
          <w:sz w:val="24"/>
          <w:szCs w:val="24"/>
        </w:rPr>
        <w:t>），</w:t>
      </w:r>
      <w:r>
        <w:rPr>
          <w:rFonts w:ascii="宋体" w:hAnsi="宋体" w:eastAsia="宋体" w:cs="宋体"/>
          <w:color w:val="0000FF"/>
          <w:spacing w:val="-5"/>
          <w:sz w:val="24"/>
          <w:szCs w:val="24"/>
        </w:rPr>
        <w:t>经推荐模式中估</w:t>
      </w:r>
      <w:r>
        <w:rPr>
          <w:rFonts w:ascii="宋体" w:hAnsi="宋体" w:eastAsia="宋体" w:cs="宋体"/>
          <w:color w:val="0000FF"/>
          <w:spacing w:val="-1"/>
          <w:sz w:val="24"/>
          <w:szCs w:val="24"/>
        </w:rPr>
        <w:t>算模式计算，确定本项目大气环境影响评价等级为三级。</w:t>
      </w:r>
    </w:p>
    <w:p>
      <w:pPr>
        <w:pStyle w:val="6"/>
        <w:bidi w:val="0"/>
        <w:rPr>
          <w:rFonts w:hint="eastAsia"/>
          <w:lang w:val="en-US" w:eastAsia="zh-CN"/>
        </w:rPr>
      </w:pPr>
      <w:bookmarkStart w:id="24" w:name="_Toc28917"/>
      <w:r>
        <w:rPr>
          <w:rFonts w:hint="eastAsia"/>
          <w:lang w:val="en-US" w:eastAsia="zh-CN"/>
        </w:rPr>
        <w:t>2.6.2地表水环境评价等级</w:t>
      </w:r>
      <w:bookmarkEnd w:id="24"/>
    </w:p>
    <w:p>
      <w:pPr>
        <w:bidi w:val="0"/>
        <w:rPr>
          <w:color w:val="0000FF"/>
        </w:rPr>
      </w:pPr>
      <w:r>
        <w:rPr>
          <w:rFonts w:hint="eastAsia"/>
          <w:color w:val="0000FF"/>
          <w:lang w:val="en-US" w:eastAsia="zh-CN"/>
        </w:rPr>
        <w:t>建设项目地表水环境影响等级按照影响类型、排放方式、排放量或影响情况、收纳水体环境质量现状、水环境保护目标等综合确定。本项目属于水污染影响型建设项目，《环境影响评价技术导则 地表水环境》（</w:t>
      </w:r>
      <w:r>
        <w:rPr>
          <w:rFonts w:hint="default"/>
          <w:color w:val="0000FF"/>
          <w:lang w:val="en-US" w:eastAsia="zh-CN"/>
        </w:rPr>
        <w:t>HJ2.3-2018</w:t>
      </w:r>
      <w:r>
        <w:rPr>
          <w:rFonts w:hint="eastAsia"/>
          <w:color w:val="0000FF"/>
          <w:lang w:val="en-US" w:eastAsia="zh-CN"/>
        </w:rPr>
        <w:t>）水污染影响型建设项目评价等级判定详见下表。</w:t>
      </w:r>
    </w:p>
    <w:p>
      <w:pPr>
        <w:pStyle w:val="22"/>
        <w:bidi w:val="0"/>
        <w:rPr>
          <w:b/>
          <w:bCs/>
          <w:color w:val="0000FF"/>
        </w:rPr>
      </w:pPr>
      <w:r>
        <w:rPr>
          <w:b/>
          <w:bCs/>
          <w:color w:val="0000FF"/>
        </w:rPr>
        <w:t>表</w:t>
      </w:r>
      <w:r>
        <w:rPr>
          <w:rFonts w:hint="eastAsia"/>
          <w:b/>
          <w:bCs/>
          <w:color w:val="0000FF"/>
          <w:lang w:val="en-US" w:eastAsia="zh-CN"/>
        </w:rPr>
        <w:t>2.6-5</w:t>
      </w:r>
      <w:r>
        <w:rPr>
          <w:b/>
          <w:bCs/>
          <w:color w:val="0000FF"/>
        </w:rPr>
        <w:t>水污染影响型建设项目评价等级判定表</w:t>
      </w:r>
    </w:p>
    <w:tbl>
      <w:tblPr>
        <w:tblStyle w:val="17"/>
        <w:tblW w:w="85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856"/>
        <w:gridCol w:w="2932"/>
        <w:gridCol w:w="3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jc w:val="center"/>
        </w:trPr>
        <w:tc>
          <w:tcPr>
            <w:tcW w:w="1856" w:type="dxa"/>
            <w:vMerge w:val="restart"/>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评价等级</w:t>
            </w:r>
          </w:p>
        </w:tc>
        <w:tc>
          <w:tcPr>
            <w:tcW w:w="6743" w:type="dxa"/>
            <w:gridSpan w:val="2"/>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1856" w:type="dxa"/>
            <w:vMerge w:val="continue"/>
            <w:tcBorders>
              <w:tl2br w:val="nil"/>
              <w:tr2bl w:val="nil"/>
            </w:tcBorders>
            <w:shd w:val="clear" w:color="auto" w:fill="auto"/>
            <w:vAlign w:val="center"/>
          </w:tcPr>
          <w:p>
            <w:pPr>
              <w:pStyle w:val="22"/>
              <w:bidi w:val="0"/>
              <w:jc w:val="center"/>
              <w:rPr>
                <w:rFonts w:hint="eastAsia"/>
                <w:color w:val="0000FF"/>
              </w:rPr>
            </w:pPr>
          </w:p>
        </w:tc>
        <w:tc>
          <w:tcPr>
            <w:tcW w:w="2932"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排放方式</w:t>
            </w:r>
          </w:p>
        </w:tc>
        <w:tc>
          <w:tcPr>
            <w:tcW w:w="3811"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废水排放量</w:t>
            </w:r>
            <w:r>
              <w:rPr>
                <w:color w:val="0000FF"/>
                <w:lang w:val="en-US" w:eastAsia="zh-CN"/>
              </w:rPr>
              <w:t>Q/（m</w:t>
            </w:r>
            <w:r>
              <w:rPr>
                <w:color w:val="0000FF"/>
                <w:vertAlign w:val="superscript"/>
                <w:lang w:val="en-US" w:eastAsia="zh-CN"/>
              </w:rPr>
              <w:t>3</w:t>
            </w:r>
            <w:r>
              <w:rPr>
                <w:color w:val="0000FF"/>
                <w:lang w:val="en-US" w:eastAsia="zh-CN"/>
              </w:rPr>
              <w:t>/d）；水污染物当量数W/（量纲一</w:t>
            </w:r>
            <w:r>
              <w:rPr>
                <w:rFonts w:hint="eastAsia"/>
                <w:color w:val="0000FF"/>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8" w:hRule="atLeast"/>
          <w:jc w:val="center"/>
        </w:trPr>
        <w:tc>
          <w:tcPr>
            <w:tcW w:w="185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一级</w:t>
            </w:r>
          </w:p>
        </w:tc>
        <w:tc>
          <w:tcPr>
            <w:tcW w:w="2932"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直接排放</w:t>
            </w:r>
          </w:p>
        </w:tc>
        <w:tc>
          <w:tcPr>
            <w:tcW w:w="3811" w:type="dxa"/>
            <w:tcBorders>
              <w:tl2br w:val="nil"/>
              <w:tr2bl w:val="nil"/>
            </w:tcBorders>
            <w:shd w:val="clear" w:color="auto" w:fill="auto"/>
            <w:vAlign w:val="center"/>
          </w:tcPr>
          <w:p>
            <w:pPr>
              <w:pStyle w:val="22"/>
              <w:bidi w:val="0"/>
              <w:jc w:val="center"/>
              <w:rPr>
                <w:rFonts w:hint="default"/>
                <w:color w:val="0000FF"/>
              </w:rPr>
            </w:pPr>
            <w:r>
              <w:rPr>
                <w:rFonts w:hint="default"/>
                <w:color w:val="0000FF"/>
                <w:lang w:val="en-US" w:eastAsia="zh-CN"/>
              </w:rPr>
              <w:t>Q≥20000</w:t>
            </w:r>
            <w:r>
              <w:rPr>
                <w:color w:val="0000FF"/>
                <w:lang w:val="en-US" w:eastAsia="zh-CN"/>
              </w:rPr>
              <w:t>或W≥600000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8" w:hRule="atLeast"/>
          <w:jc w:val="center"/>
        </w:trPr>
        <w:tc>
          <w:tcPr>
            <w:tcW w:w="185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2932"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直接排放</w:t>
            </w:r>
          </w:p>
        </w:tc>
        <w:tc>
          <w:tcPr>
            <w:tcW w:w="3811"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185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r>
              <w:rPr>
                <w:color w:val="0000FF"/>
                <w:lang w:val="en-US" w:eastAsia="zh-CN"/>
              </w:rPr>
              <w:t>A</w:t>
            </w:r>
          </w:p>
        </w:tc>
        <w:tc>
          <w:tcPr>
            <w:tcW w:w="2932"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直接排放</w:t>
            </w:r>
          </w:p>
        </w:tc>
        <w:tc>
          <w:tcPr>
            <w:tcW w:w="3811" w:type="dxa"/>
            <w:tcBorders>
              <w:tl2br w:val="nil"/>
              <w:tr2bl w:val="nil"/>
            </w:tcBorders>
            <w:shd w:val="clear" w:color="auto" w:fill="auto"/>
            <w:vAlign w:val="center"/>
          </w:tcPr>
          <w:p>
            <w:pPr>
              <w:pStyle w:val="22"/>
              <w:bidi w:val="0"/>
              <w:jc w:val="center"/>
              <w:rPr>
                <w:rFonts w:hint="default"/>
                <w:color w:val="0000FF"/>
              </w:rPr>
            </w:pPr>
            <w:r>
              <w:rPr>
                <w:rFonts w:hint="default"/>
                <w:color w:val="0000FF"/>
                <w:lang w:val="en-US" w:eastAsia="zh-CN"/>
              </w:rPr>
              <w:t>Q</w:t>
            </w:r>
            <w:r>
              <w:rPr>
                <w:color w:val="0000FF"/>
                <w:lang w:val="en-US" w:eastAsia="zh-CN"/>
              </w:rPr>
              <w:t>＜200且W＜6000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185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r>
              <w:rPr>
                <w:color w:val="0000FF"/>
                <w:lang w:val="en-US" w:eastAsia="zh-CN"/>
              </w:rPr>
              <w:t>B</w:t>
            </w:r>
          </w:p>
        </w:tc>
        <w:tc>
          <w:tcPr>
            <w:tcW w:w="2932"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间接排放</w:t>
            </w:r>
          </w:p>
        </w:tc>
        <w:tc>
          <w:tcPr>
            <w:tcW w:w="3811" w:type="dxa"/>
            <w:tcBorders>
              <w:tl2br w:val="nil"/>
              <w:tr2bl w:val="nil"/>
            </w:tcBorders>
            <w:shd w:val="clear" w:color="auto" w:fill="auto"/>
            <w:vAlign w:val="center"/>
          </w:tcPr>
          <w:p>
            <w:pPr>
              <w:pStyle w:val="22"/>
              <w:bidi w:val="0"/>
              <w:jc w:val="center"/>
              <w:rPr>
                <w:rFonts w:hint="default"/>
                <w:color w:val="0000FF"/>
              </w:rPr>
            </w:pPr>
            <w:r>
              <w:rPr>
                <w:rFonts w:hint="eastAsia"/>
                <w:color w:val="0000FF"/>
                <w:lang w:val="en-US" w:eastAsia="zh-CN"/>
              </w:rPr>
              <w:t>/</w:t>
            </w:r>
          </w:p>
        </w:tc>
      </w:tr>
    </w:tbl>
    <w:p>
      <w:pPr>
        <w:bidi w:val="0"/>
        <w:rPr>
          <w:color w:val="0000FF"/>
        </w:rPr>
      </w:pPr>
      <w:r>
        <w:rPr>
          <w:rFonts w:hint="eastAsia"/>
          <w:color w:val="0000FF"/>
          <w:lang w:val="en-US" w:eastAsia="zh-CN"/>
        </w:rPr>
        <w:t>本项目实验室废水经自建污水处理站处理达到《医疗机构水污染物排放标准》（</w:t>
      </w:r>
      <w:r>
        <w:rPr>
          <w:rFonts w:hint="default"/>
          <w:color w:val="0000FF"/>
          <w:lang w:val="en-US" w:eastAsia="zh-CN"/>
        </w:rPr>
        <w:t>GB18466-2005</w:t>
      </w:r>
      <w:r>
        <w:rPr>
          <w:rFonts w:hint="eastAsia"/>
          <w:color w:val="0000FF"/>
          <w:lang w:val="en-US" w:eastAsia="zh-CN"/>
        </w:rPr>
        <w:t>）表</w:t>
      </w:r>
      <w:r>
        <w:rPr>
          <w:rFonts w:hint="default"/>
          <w:color w:val="0000FF"/>
          <w:lang w:val="en-US" w:eastAsia="zh-CN"/>
        </w:rPr>
        <w:t>2</w:t>
      </w:r>
      <w:r>
        <w:rPr>
          <w:rFonts w:hint="eastAsia"/>
          <w:color w:val="0000FF"/>
          <w:lang w:val="en-US" w:eastAsia="zh-CN"/>
        </w:rPr>
        <w:t>“综合医疗机构和其他医疗机构水污染物排放限值”的预处理标准。办公楼生活污水经化粪池处理后与前述废水一同经市政污水管网排入225团污水处理厂。根据《环境影响评价技术导则 地表水环境》（</w:t>
      </w:r>
      <w:r>
        <w:rPr>
          <w:rFonts w:hint="default"/>
          <w:color w:val="0000FF"/>
          <w:lang w:val="en-US" w:eastAsia="zh-CN"/>
        </w:rPr>
        <w:t>HJ2.3-2018</w:t>
      </w:r>
      <w:r>
        <w:rPr>
          <w:rFonts w:hint="eastAsia"/>
          <w:color w:val="0000FF"/>
          <w:lang w:val="en-US" w:eastAsia="zh-CN"/>
        </w:rPr>
        <w:t>）中关于地表水环境影响评价工作等级的划分原则，本项目属于间接排放项目，因此，本项目地表水环境影响评价工作等级为三级</w:t>
      </w:r>
      <w:r>
        <w:rPr>
          <w:rFonts w:hint="default"/>
          <w:color w:val="0000FF"/>
          <w:lang w:val="en-US" w:eastAsia="zh-CN"/>
        </w:rPr>
        <w:t>B</w:t>
      </w:r>
      <w:r>
        <w:rPr>
          <w:rFonts w:hint="eastAsia"/>
          <w:color w:val="0000FF"/>
          <w:lang w:val="en-US" w:eastAsia="zh-CN"/>
        </w:rPr>
        <w:t>。</w:t>
      </w:r>
    </w:p>
    <w:p>
      <w:pPr>
        <w:pStyle w:val="6"/>
        <w:bidi w:val="0"/>
        <w:rPr>
          <w:rFonts w:hint="default"/>
          <w:lang w:val="en-US" w:eastAsia="zh-CN"/>
        </w:rPr>
      </w:pPr>
      <w:bookmarkStart w:id="25" w:name="_Toc13301"/>
      <w:r>
        <w:rPr>
          <w:rFonts w:hint="eastAsia"/>
          <w:lang w:val="en-US" w:eastAsia="zh-CN"/>
        </w:rPr>
        <w:t>2.6.3地下水环评评价等级</w:t>
      </w:r>
      <w:bookmarkEnd w:id="25"/>
    </w:p>
    <w:p>
      <w:pPr>
        <w:bidi w:val="0"/>
        <w:rPr>
          <w:color w:val="0000FF"/>
        </w:rPr>
      </w:pPr>
      <w:r>
        <w:rPr>
          <w:rFonts w:hint="eastAsia"/>
          <w:color w:val="0000FF"/>
          <w:lang w:val="en-US" w:eastAsia="zh-CN"/>
        </w:rPr>
        <w:t>根据《环境影响评价技术导则 地下水环境》（</w:t>
      </w:r>
      <w:r>
        <w:rPr>
          <w:rFonts w:hint="default"/>
          <w:color w:val="0000FF"/>
          <w:lang w:val="en-US" w:eastAsia="zh-CN"/>
        </w:rPr>
        <w:t>HJ610-2016</w:t>
      </w:r>
      <w:r>
        <w:rPr>
          <w:rFonts w:hint="eastAsia"/>
          <w:color w:val="0000FF"/>
          <w:lang w:val="en-US" w:eastAsia="zh-CN"/>
        </w:rPr>
        <w:t>）附录</w:t>
      </w:r>
      <w:r>
        <w:rPr>
          <w:rFonts w:hint="default"/>
          <w:color w:val="0000FF"/>
          <w:lang w:val="en-US" w:eastAsia="zh-CN"/>
        </w:rPr>
        <w:t>A</w:t>
      </w:r>
      <w:r>
        <w:rPr>
          <w:rFonts w:hint="eastAsia"/>
          <w:color w:val="0000FF"/>
          <w:lang w:val="en-US" w:eastAsia="zh-CN"/>
        </w:rPr>
        <w:t>，本项目为</w:t>
      </w:r>
      <w:r>
        <w:rPr>
          <w:rFonts w:hint="default"/>
          <w:color w:val="0000FF"/>
          <w:lang w:val="en-US" w:eastAsia="zh-CN"/>
        </w:rPr>
        <w:t>V</w:t>
      </w:r>
      <w:r>
        <w:rPr>
          <w:rFonts w:hint="eastAsia"/>
          <w:color w:val="0000FF"/>
          <w:lang w:val="en-US" w:eastAsia="zh-CN"/>
        </w:rPr>
        <w:t>社会事业与服务业；</w:t>
      </w:r>
      <w:r>
        <w:rPr>
          <w:rFonts w:hint="default"/>
          <w:color w:val="0000FF"/>
          <w:lang w:val="en-US" w:eastAsia="zh-CN"/>
        </w:rPr>
        <w:t>160</w:t>
      </w:r>
      <w:r>
        <w:rPr>
          <w:rFonts w:hint="eastAsia"/>
          <w:color w:val="0000FF"/>
          <w:lang w:val="en-US" w:eastAsia="zh-CN"/>
        </w:rPr>
        <w:t>疾病预防控制中心，地下水环境影响评价项目类别为Ⅳ类，不开展地下水环境影响评价，故本次评价不进行地下水环境影响评价。</w:t>
      </w:r>
    </w:p>
    <w:p>
      <w:pPr>
        <w:pStyle w:val="6"/>
        <w:bidi w:val="0"/>
        <w:rPr>
          <w:rFonts w:hint="eastAsia"/>
          <w:lang w:val="en-US" w:eastAsia="zh-CN"/>
        </w:rPr>
      </w:pPr>
      <w:bookmarkStart w:id="26" w:name="_Toc9287"/>
      <w:r>
        <w:rPr>
          <w:rFonts w:hint="eastAsia"/>
          <w:lang w:val="en-US" w:eastAsia="zh-CN"/>
        </w:rPr>
        <w:t>2.6.4声环境评价等级</w:t>
      </w:r>
      <w:bookmarkEnd w:id="26"/>
    </w:p>
    <w:p>
      <w:pPr>
        <w:bidi w:val="0"/>
        <w:rPr>
          <w:color w:val="0000FF"/>
        </w:rPr>
      </w:pPr>
      <w:r>
        <w:rPr>
          <w:rFonts w:hint="eastAsia"/>
          <w:color w:val="0000FF"/>
          <w:lang w:val="en-US" w:eastAsia="zh-CN"/>
        </w:rPr>
        <w:t>本项目所在区域执行《声环境质量标准》（</w:t>
      </w:r>
      <w:r>
        <w:rPr>
          <w:rFonts w:hint="default"/>
          <w:color w:val="0000FF"/>
          <w:lang w:val="en-US" w:eastAsia="zh-CN"/>
        </w:rPr>
        <w:t>GB3096-2008</w:t>
      </w:r>
      <w:r>
        <w:rPr>
          <w:rFonts w:hint="eastAsia"/>
          <w:color w:val="0000FF"/>
          <w:lang w:val="en-US" w:eastAsia="zh-CN"/>
        </w:rPr>
        <w:t>）中</w:t>
      </w:r>
      <w:r>
        <w:rPr>
          <w:rFonts w:hint="default"/>
          <w:color w:val="0000FF"/>
          <w:lang w:val="en-US" w:eastAsia="zh-CN"/>
        </w:rPr>
        <w:t>1</w:t>
      </w:r>
      <w:r>
        <w:rPr>
          <w:rFonts w:hint="eastAsia"/>
          <w:color w:val="0000FF"/>
          <w:lang w:val="en-US" w:eastAsia="zh-CN"/>
        </w:rPr>
        <w:t>类区标准，同时项目建成后声级值增加量远小于</w:t>
      </w:r>
      <w:r>
        <w:rPr>
          <w:rFonts w:hint="default"/>
          <w:color w:val="0000FF"/>
          <w:lang w:val="en-US" w:eastAsia="zh-CN"/>
        </w:rPr>
        <w:t>5dB</w:t>
      </w:r>
      <w:r>
        <w:rPr>
          <w:rFonts w:hint="eastAsia"/>
          <w:color w:val="0000FF"/>
          <w:lang w:val="en-US" w:eastAsia="zh-CN"/>
        </w:rPr>
        <w:t>（</w:t>
      </w:r>
      <w:r>
        <w:rPr>
          <w:rFonts w:hint="default"/>
          <w:color w:val="0000FF"/>
          <w:lang w:val="en-US" w:eastAsia="zh-CN"/>
        </w:rPr>
        <w:t>A</w:t>
      </w:r>
      <w:r>
        <w:rPr>
          <w:rFonts w:hint="eastAsia"/>
          <w:color w:val="0000FF"/>
          <w:lang w:val="en-US" w:eastAsia="zh-CN"/>
        </w:rPr>
        <w:t>），且本项目建成后周围声环境敏感点受影响的人口基本不变。根据《环境影响评价技术导则 声环境》（</w:t>
      </w:r>
      <w:r>
        <w:rPr>
          <w:rFonts w:hint="default"/>
          <w:color w:val="0000FF"/>
          <w:lang w:val="en-US" w:eastAsia="zh-CN"/>
        </w:rPr>
        <w:t>HJ2.4-2009</w:t>
      </w:r>
      <w:r>
        <w:rPr>
          <w:rFonts w:hint="eastAsia"/>
          <w:color w:val="0000FF"/>
          <w:lang w:val="en-US" w:eastAsia="zh-CN"/>
        </w:rPr>
        <w:t>）规定，确定本次声环境影响评价工作等级为二级。</w:t>
      </w:r>
    </w:p>
    <w:p>
      <w:pPr>
        <w:pStyle w:val="6"/>
        <w:bidi w:val="0"/>
        <w:rPr>
          <w:rFonts w:hint="eastAsia"/>
        </w:rPr>
      </w:pPr>
      <w:bookmarkStart w:id="27" w:name="_Toc15119"/>
      <w:r>
        <w:rPr>
          <w:rFonts w:hint="eastAsia"/>
          <w:lang w:val="en-US" w:eastAsia="zh-CN"/>
        </w:rPr>
        <w:t>2.6.5土壤环境评价等级</w:t>
      </w:r>
      <w:bookmarkEnd w:id="27"/>
    </w:p>
    <w:p>
      <w:pPr>
        <w:bidi w:val="0"/>
        <w:rPr>
          <w:rFonts w:hint="eastAsia"/>
          <w:color w:val="0000FF"/>
        </w:rPr>
      </w:pPr>
      <w:r>
        <w:rPr>
          <w:rFonts w:hint="eastAsia"/>
          <w:color w:val="0000FF"/>
        </w:rPr>
        <w:t>根据《环境影响评价技术导则</w:t>
      </w:r>
      <w:r>
        <w:rPr>
          <w:rFonts w:hint="eastAsia"/>
          <w:color w:val="0000FF"/>
          <w:lang w:val="en-US" w:eastAsia="zh-CN"/>
        </w:rPr>
        <w:t xml:space="preserve"> </w:t>
      </w:r>
      <w:r>
        <w:rPr>
          <w:rFonts w:hint="eastAsia"/>
          <w:color w:val="0000FF"/>
        </w:rPr>
        <w:t>土壤环境》（试行）（HJ946-2018）中相关规定，评价等级划分为一级、二级和三级，具体判定依据见表</w:t>
      </w:r>
      <w:r>
        <w:rPr>
          <w:rFonts w:hint="eastAsia"/>
          <w:color w:val="0000FF"/>
          <w:lang w:val="en-US" w:eastAsia="zh-CN"/>
        </w:rPr>
        <w:t>2.6-6</w:t>
      </w:r>
      <w:r>
        <w:rPr>
          <w:rFonts w:hint="eastAsia"/>
          <w:color w:val="0000FF"/>
        </w:rPr>
        <w:t>。</w:t>
      </w:r>
    </w:p>
    <w:p>
      <w:pPr>
        <w:pStyle w:val="22"/>
        <w:bidi w:val="0"/>
        <w:rPr>
          <w:rFonts w:hint="default"/>
          <w:b/>
          <w:bCs/>
          <w:color w:val="0000FF"/>
          <w:lang w:val="en-US" w:eastAsia="zh-CN"/>
        </w:rPr>
      </w:pPr>
      <w:r>
        <w:rPr>
          <w:rFonts w:hint="eastAsia"/>
          <w:b/>
          <w:bCs/>
          <w:color w:val="0000FF"/>
          <w:lang w:val="en-US" w:eastAsia="zh-CN"/>
        </w:rPr>
        <w:t>表</w:t>
      </w:r>
      <w:r>
        <w:rPr>
          <w:rFonts w:hint="default"/>
          <w:b/>
          <w:bCs/>
          <w:color w:val="0000FF"/>
          <w:lang w:val="en-US" w:eastAsia="zh-CN"/>
        </w:rPr>
        <w:t>2.</w:t>
      </w:r>
      <w:r>
        <w:rPr>
          <w:rFonts w:hint="eastAsia"/>
          <w:b/>
          <w:bCs/>
          <w:color w:val="0000FF"/>
          <w:lang w:val="en-US" w:eastAsia="zh-CN"/>
        </w:rPr>
        <w:t>6</w:t>
      </w:r>
      <w:r>
        <w:rPr>
          <w:rFonts w:hint="default"/>
          <w:b/>
          <w:bCs/>
          <w:color w:val="0000FF"/>
          <w:lang w:val="en-US" w:eastAsia="zh-CN"/>
        </w:rPr>
        <w:t>-</w:t>
      </w:r>
      <w:r>
        <w:rPr>
          <w:rFonts w:hint="eastAsia"/>
          <w:b/>
          <w:bCs/>
          <w:color w:val="0000FF"/>
          <w:lang w:val="en-US" w:eastAsia="zh-CN"/>
        </w:rPr>
        <w:t>6土壤评价等级表</w:t>
      </w:r>
    </w:p>
    <w:tbl>
      <w:tblPr>
        <w:tblStyle w:val="17"/>
        <w:tblW w:w="85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45"/>
        <w:gridCol w:w="681"/>
        <w:gridCol w:w="846"/>
        <w:gridCol w:w="847"/>
        <w:gridCol w:w="846"/>
        <w:gridCol w:w="846"/>
        <w:gridCol w:w="847"/>
        <w:gridCol w:w="846"/>
        <w:gridCol w:w="846"/>
        <w:gridCol w:w="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1145" w:type="dxa"/>
            <w:vMerge w:val="restart"/>
            <w:tcBorders>
              <w:tl2br w:val="nil"/>
              <w:tr2bl w:val="nil"/>
            </w:tcBorders>
            <w:shd w:val="clear" w:color="auto" w:fill="auto"/>
            <w:vAlign w:val="center"/>
          </w:tcPr>
          <w:p>
            <w:pPr>
              <w:pStyle w:val="22"/>
              <w:bidi w:val="0"/>
              <w:jc w:val="center"/>
              <w:rPr>
                <w:rFonts w:hint="eastAsia"/>
                <w:color w:val="0000FF"/>
              </w:rPr>
            </w:pPr>
          </w:p>
        </w:tc>
        <w:tc>
          <w:tcPr>
            <w:tcW w:w="2374" w:type="dxa"/>
            <w:gridSpan w:val="3"/>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Ⅰ类项目</w:t>
            </w:r>
          </w:p>
        </w:tc>
        <w:tc>
          <w:tcPr>
            <w:tcW w:w="2539" w:type="dxa"/>
            <w:gridSpan w:val="3"/>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Ⅱ类项目</w:t>
            </w:r>
          </w:p>
        </w:tc>
        <w:tc>
          <w:tcPr>
            <w:tcW w:w="2539" w:type="dxa"/>
            <w:gridSpan w:val="3"/>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Ⅲ类项目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1" w:hRule="atLeast"/>
          <w:jc w:val="center"/>
        </w:trPr>
        <w:tc>
          <w:tcPr>
            <w:tcW w:w="1145" w:type="dxa"/>
            <w:vMerge w:val="continue"/>
            <w:tcBorders>
              <w:tl2br w:val="nil"/>
              <w:tr2bl w:val="nil"/>
            </w:tcBorders>
            <w:shd w:val="clear" w:color="auto" w:fill="auto"/>
            <w:vAlign w:val="center"/>
          </w:tcPr>
          <w:p>
            <w:pPr>
              <w:pStyle w:val="22"/>
              <w:bidi w:val="0"/>
              <w:jc w:val="center"/>
              <w:rPr>
                <w:rFonts w:hint="eastAsia"/>
                <w:color w:val="0000FF"/>
              </w:rPr>
            </w:pPr>
          </w:p>
        </w:tc>
        <w:tc>
          <w:tcPr>
            <w:tcW w:w="681"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中</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小</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中</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小</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中</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1" w:hRule="atLeast"/>
          <w:jc w:val="center"/>
        </w:trPr>
        <w:tc>
          <w:tcPr>
            <w:tcW w:w="1145"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敏感</w:t>
            </w:r>
          </w:p>
        </w:tc>
        <w:tc>
          <w:tcPr>
            <w:tcW w:w="681"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一级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一级</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一级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1" w:hRule="atLeast"/>
          <w:jc w:val="center"/>
        </w:trPr>
        <w:tc>
          <w:tcPr>
            <w:tcW w:w="1145"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较敏感</w:t>
            </w:r>
          </w:p>
        </w:tc>
        <w:tc>
          <w:tcPr>
            <w:tcW w:w="681"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一级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一级</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1" w:hRule="atLeast"/>
          <w:jc w:val="center"/>
        </w:trPr>
        <w:tc>
          <w:tcPr>
            <w:tcW w:w="1145"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不敏感</w:t>
            </w:r>
          </w:p>
        </w:tc>
        <w:tc>
          <w:tcPr>
            <w:tcW w:w="681"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一级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二级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三级</w:t>
            </w:r>
          </w:p>
        </w:tc>
        <w:tc>
          <w:tcPr>
            <w:tcW w:w="846"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w:t>
            </w:r>
          </w:p>
        </w:tc>
        <w:tc>
          <w:tcPr>
            <w:tcW w:w="847" w:type="dxa"/>
            <w:tcBorders>
              <w:tl2br w:val="nil"/>
              <w:tr2bl w:val="nil"/>
            </w:tcBorders>
            <w:shd w:val="clear" w:color="auto" w:fill="auto"/>
            <w:vAlign w:val="center"/>
          </w:tcPr>
          <w:p>
            <w:pPr>
              <w:pStyle w:val="22"/>
              <w:bidi w:val="0"/>
              <w:jc w:val="center"/>
              <w:rPr>
                <w:rFonts w:hint="eastAsia"/>
                <w:color w:val="0000FF"/>
              </w:rPr>
            </w:pPr>
            <w:r>
              <w:rPr>
                <w:rFonts w:hint="eastAsia"/>
                <w:color w:val="0000FF"/>
                <w:lang w:val="en-US" w:eastAsia="zh-CN"/>
              </w:rPr>
              <w:t>-</w:t>
            </w:r>
          </w:p>
        </w:tc>
      </w:tr>
    </w:tbl>
    <w:p>
      <w:pPr>
        <w:bidi w:val="0"/>
        <w:rPr>
          <w:rFonts w:hint="eastAsia"/>
          <w:color w:val="0000FF"/>
          <w:lang w:val="en-US" w:eastAsia="zh-CN"/>
        </w:rPr>
      </w:pPr>
      <w:r>
        <w:rPr>
          <w:rFonts w:hint="eastAsia"/>
          <w:color w:val="0000FF"/>
          <w:lang w:val="en-US" w:eastAsia="zh-CN"/>
        </w:rPr>
        <w:t>依据《环境影响评价技术导则 土壤环境（试行）》（</w:t>
      </w:r>
      <w:r>
        <w:rPr>
          <w:rFonts w:hint="default"/>
          <w:color w:val="0000FF"/>
          <w:lang w:val="en-US" w:eastAsia="zh-CN"/>
        </w:rPr>
        <w:t>HJ964-2018</w:t>
      </w:r>
      <w:r>
        <w:rPr>
          <w:rFonts w:hint="eastAsia"/>
          <w:color w:val="0000FF"/>
          <w:lang w:val="en-US" w:eastAsia="zh-CN"/>
        </w:rPr>
        <w:t>）附录</w:t>
      </w:r>
      <w:r>
        <w:rPr>
          <w:rFonts w:hint="default"/>
          <w:color w:val="0000FF"/>
          <w:lang w:val="en-US" w:eastAsia="zh-CN"/>
        </w:rPr>
        <w:t>A</w:t>
      </w:r>
      <w:r>
        <w:rPr>
          <w:rFonts w:hint="eastAsia"/>
          <w:color w:val="0000FF"/>
          <w:lang w:val="en-US" w:eastAsia="zh-CN"/>
        </w:rPr>
        <w:t>“土壤环境影响评价项目类别表”，本项目为疾控中心项目，属于Ⅳ类项目，可不进行土壤评价。</w:t>
      </w:r>
    </w:p>
    <w:p>
      <w:pPr>
        <w:pStyle w:val="6"/>
        <w:bidi w:val="0"/>
        <w:rPr>
          <w:rFonts w:hint="default"/>
          <w:lang w:val="en-US"/>
        </w:rPr>
      </w:pPr>
      <w:bookmarkStart w:id="28" w:name="_Toc17521"/>
      <w:r>
        <w:rPr>
          <w:rFonts w:hint="eastAsia"/>
          <w:lang w:val="en-US" w:eastAsia="zh-CN"/>
        </w:rPr>
        <w:t>2.6.6生态评价工作等级</w:t>
      </w:r>
      <w:bookmarkEnd w:id="28"/>
    </w:p>
    <w:p>
      <w:pPr>
        <w:bidi w:val="0"/>
        <w:rPr>
          <w:color w:val="0000FF"/>
        </w:rPr>
      </w:pPr>
      <w:r>
        <w:rPr>
          <w:rFonts w:hint="eastAsia"/>
          <w:color w:val="0000FF"/>
          <w:lang w:val="en-US" w:eastAsia="zh-CN"/>
        </w:rPr>
        <w:t>根据</w:t>
      </w:r>
      <w:r>
        <w:rPr>
          <w:rFonts w:hint="default"/>
          <w:color w:val="0000FF"/>
          <w:lang w:val="en-US" w:eastAsia="zh-CN"/>
        </w:rPr>
        <w:t>HJ19-2011</w:t>
      </w:r>
      <w:r>
        <w:rPr>
          <w:rFonts w:hint="eastAsia"/>
          <w:color w:val="0000FF"/>
          <w:lang w:val="en-US" w:eastAsia="zh-CN"/>
        </w:rPr>
        <w:t>《环境影响评价技术导则 生态影响》，依据影响区域的生态敏感性和评价项目的工程占地（含水域）范围，包括永久占地和临时占地，将生态影响评价工作等级分为一级、二级和三级，见下表所示。</w:t>
      </w:r>
    </w:p>
    <w:p>
      <w:pPr>
        <w:pStyle w:val="22"/>
        <w:bidi w:val="0"/>
        <w:rPr>
          <w:b/>
          <w:bCs/>
          <w:color w:val="0000FF"/>
        </w:rPr>
      </w:pPr>
      <w:r>
        <w:rPr>
          <w:rFonts w:hint="eastAsia"/>
          <w:b/>
          <w:bCs/>
          <w:color w:val="0000FF"/>
          <w:lang w:val="en-US" w:eastAsia="zh-CN"/>
        </w:rPr>
        <w:t>表2.6-7生态影响评价工作等级划分表</w:t>
      </w:r>
    </w:p>
    <w:tbl>
      <w:tblPr>
        <w:tblStyle w:val="17"/>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75"/>
        <w:gridCol w:w="2113"/>
        <w:gridCol w:w="2298"/>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1775" w:type="dxa"/>
            <w:vMerge w:val="restart"/>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影响区域生态敏感性</w:t>
            </w:r>
          </w:p>
        </w:tc>
        <w:tc>
          <w:tcPr>
            <w:tcW w:w="6654" w:type="dxa"/>
            <w:gridSpan w:val="3"/>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775" w:type="dxa"/>
            <w:vMerge w:val="continue"/>
            <w:tcBorders>
              <w:tl2br w:val="nil"/>
              <w:tr2bl w:val="nil"/>
            </w:tcBorders>
            <w:shd w:val="clear" w:color="auto" w:fill="auto"/>
            <w:noWrap/>
            <w:vAlign w:val="center"/>
          </w:tcPr>
          <w:p>
            <w:pPr>
              <w:pStyle w:val="22"/>
              <w:bidi w:val="0"/>
              <w:rPr>
                <w:rFonts w:hint="eastAsia"/>
                <w:color w:val="0000FF"/>
              </w:rPr>
            </w:pPr>
          </w:p>
        </w:tc>
        <w:tc>
          <w:tcPr>
            <w:tcW w:w="2113" w:type="dxa"/>
            <w:tcBorders>
              <w:tl2br w:val="nil"/>
              <w:tr2bl w:val="nil"/>
            </w:tcBorders>
            <w:shd w:val="clear" w:color="auto" w:fill="auto"/>
            <w:noWrap/>
            <w:vAlign w:val="center"/>
          </w:tcPr>
          <w:p>
            <w:pPr>
              <w:pStyle w:val="22"/>
              <w:bidi w:val="0"/>
              <w:rPr>
                <w:rFonts w:hint="default" w:ascii="Times New Roman" w:hAnsi="Times New Roman" w:cs="Times New Roman"/>
                <w:color w:val="0000FF"/>
              </w:rPr>
            </w:pPr>
            <w:r>
              <w:rPr>
                <w:rFonts w:hint="default" w:ascii="Times New Roman" w:hAnsi="Times New Roman" w:cs="Times New Roman"/>
                <w:color w:val="0000FF"/>
                <w:lang w:val="en-US" w:eastAsia="zh-CN"/>
              </w:rPr>
              <w:t>面积≥20km</w:t>
            </w:r>
            <w:r>
              <w:rPr>
                <w:rFonts w:hint="default" w:ascii="Times New Roman" w:hAnsi="Times New Roman" w:cs="Times New Roman"/>
                <w:color w:val="0000FF"/>
                <w:vertAlign w:val="superscript"/>
                <w:lang w:val="en-US" w:eastAsia="zh-CN"/>
              </w:rPr>
              <w:t>2</w:t>
            </w:r>
            <w:r>
              <w:rPr>
                <w:rFonts w:hint="default" w:ascii="Times New Roman" w:hAnsi="Times New Roman" w:cs="Times New Roman"/>
                <w:color w:val="0000FF"/>
                <w:lang w:val="en-US" w:eastAsia="zh-CN"/>
              </w:rPr>
              <w:t>或长度≥100km</w:t>
            </w:r>
          </w:p>
        </w:tc>
        <w:tc>
          <w:tcPr>
            <w:tcW w:w="2298" w:type="dxa"/>
            <w:tcBorders>
              <w:tl2br w:val="nil"/>
              <w:tr2bl w:val="nil"/>
            </w:tcBorders>
            <w:shd w:val="clear" w:color="auto" w:fill="auto"/>
            <w:noWrap/>
            <w:vAlign w:val="center"/>
          </w:tcPr>
          <w:p>
            <w:pPr>
              <w:pStyle w:val="22"/>
              <w:bidi w:val="0"/>
              <w:rPr>
                <w:rFonts w:hint="default" w:ascii="Times New Roman" w:hAnsi="Times New Roman" w:cs="Times New Roman"/>
                <w:color w:val="0000FF"/>
              </w:rPr>
            </w:pPr>
            <w:r>
              <w:rPr>
                <w:rFonts w:hint="default" w:ascii="Times New Roman" w:hAnsi="Times New Roman" w:cs="Times New Roman"/>
                <w:color w:val="0000FF"/>
                <w:lang w:val="en-US" w:eastAsia="zh-CN"/>
              </w:rPr>
              <w:t>面积2km</w:t>
            </w:r>
            <w:r>
              <w:rPr>
                <w:rFonts w:hint="default" w:ascii="Times New Roman" w:hAnsi="Times New Roman" w:cs="Times New Roman"/>
                <w:color w:val="0000FF"/>
                <w:vertAlign w:val="superscript"/>
                <w:lang w:val="en-US" w:eastAsia="zh-CN"/>
              </w:rPr>
              <w:t>2</w:t>
            </w:r>
            <w:r>
              <w:rPr>
                <w:rFonts w:hint="default" w:ascii="Times New Roman" w:hAnsi="Times New Roman" w:cs="Times New Roman"/>
                <w:color w:val="0000FF"/>
                <w:lang w:val="en-US" w:eastAsia="zh-CN"/>
              </w:rPr>
              <w:t>～20km</w:t>
            </w:r>
            <w:r>
              <w:rPr>
                <w:rFonts w:hint="default" w:ascii="Times New Roman" w:hAnsi="Times New Roman" w:cs="Times New Roman"/>
                <w:color w:val="0000FF"/>
                <w:vertAlign w:val="superscript"/>
                <w:lang w:val="en-US" w:eastAsia="zh-CN"/>
              </w:rPr>
              <w:t>2</w:t>
            </w:r>
            <w:r>
              <w:rPr>
                <w:rFonts w:hint="default" w:ascii="Times New Roman" w:hAnsi="Times New Roman" w:cs="Times New Roman"/>
                <w:color w:val="0000FF"/>
                <w:lang w:val="en-US" w:eastAsia="zh-CN"/>
              </w:rPr>
              <w:t>或长度50km～100km</w:t>
            </w:r>
          </w:p>
        </w:tc>
        <w:tc>
          <w:tcPr>
            <w:tcW w:w="2243" w:type="dxa"/>
            <w:tcBorders>
              <w:tl2br w:val="nil"/>
              <w:tr2bl w:val="nil"/>
            </w:tcBorders>
            <w:shd w:val="clear" w:color="auto" w:fill="auto"/>
            <w:noWrap/>
            <w:vAlign w:val="center"/>
          </w:tcPr>
          <w:p>
            <w:pPr>
              <w:pStyle w:val="22"/>
              <w:bidi w:val="0"/>
              <w:rPr>
                <w:rFonts w:hint="default" w:ascii="Times New Roman" w:hAnsi="Times New Roman" w:cs="Times New Roman"/>
                <w:color w:val="0000FF"/>
              </w:rPr>
            </w:pPr>
            <w:r>
              <w:rPr>
                <w:rFonts w:hint="default" w:ascii="Times New Roman" w:hAnsi="Times New Roman" w:cs="Times New Roman"/>
                <w:color w:val="0000FF"/>
                <w:lang w:val="en-US" w:eastAsia="zh-CN"/>
              </w:rPr>
              <w:t>面积≤2km</w:t>
            </w:r>
            <w:r>
              <w:rPr>
                <w:rFonts w:hint="default" w:ascii="Times New Roman" w:hAnsi="Times New Roman" w:cs="Times New Roman"/>
                <w:color w:val="0000FF"/>
                <w:vertAlign w:val="superscript"/>
                <w:lang w:val="en-US" w:eastAsia="zh-CN"/>
              </w:rPr>
              <w:t>2</w:t>
            </w:r>
            <w:r>
              <w:rPr>
                <w:rFonts w:hint="default" w:ascii="Times New Roman" w:hAnsi="Times New Roman" w:cs="Times New Roman"/>
                <w:color w:val="0000FF"/>
                <w:lang w:val="en-US" w:eastAsia="zh-CN"/>
              </w:rPr>
              <w:t>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775"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特殊生态敏感区</w:t>
            </w:r>
          </w:p>
        </w:tc>
        <w:tc>
          <w:tcPr>
            <w:tcW w:w="2113"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一级</w:t>
            </w:r>
          </w:p>
        </w:tc>
        <w:tc>
          <w:tcPr>
            <w:tcW w:w="2298"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一级</w:t>
            </w:r>
          </w:p>
        </w:tc>
        <w:tc>
          <w:tcPr>
            <w:tcW w:w="2243"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775"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重要生态敏感区</w:t>
            </w:r>
          </w:p>
        </w:tc>
        <w:tc>
          <w:tcPr>
            <w:tcW w:w="2113"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一级</w:t>
            </w:r>
          </w:p>
        </w:tc>
        <w:tc>
          <w:tcPr>
            <w:tcW w:w="2298"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二级</w:t>
            </w:r>
          </w:p>
        </w:tc>
        <w:tc>
          <w:tcPr>
            <w:tcW w:w="2243"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775"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一般区域</w:t>
            </w:r>
          </w:p>
        </w:tc>
        <w:tc>
          <w:tcPr>
            <w:tcW w:w="2113"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二级</w:t>
            </w:r>
          </w:p>
        </w:tc>
        <w:tc>
          <w:tcPr>
            <w:tcW w:w="2298"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三级</w:t>
            </w:r>
          </w:p>
        </w:tc>
        <w:tc>
          <w:tcPr>
            <w:tcW w:w="2243" w:type="dxa"/>
            <w:tcBorders>
              <w:tl2br w:val="nil"/>
              <w:tr2bl w:val="nil"/>
            </w:tcBorders>
            <w:shd w:val="clear" w:color="auto" w:fill="auto"/>
            <w:noWrap/>
            <w:vAlign w:val="center"/>
          </w:tcPr>
          <w:p>
            <w:pPr>
              <w:pStyle w:val="22"/>
              <w:bidi w:val="0"/>
              <w:rPr>
                <w:rFonts w:hint="eastAsia"/>
                <w:color w:val="0000FF"/>
              </w:rPr>
            </w:pPr>
            <w:r>
              <w:rPr>
                <w:rFonts w:hint="eastAsia"/>
                <w:color w:val="0000FF"/>
                <w:lang w:val="en-US" w:eastAsia="zh-CN"/>
              </w:rPr>
              <w:t>三级</w:t>
            </w:r>
          </w:p>
        </w:tc>
      </w:tr>
    </w:tbl>
    <w:p>
      <w:pPr>
        <w:bidi w:val="0"/>
        <w:rPr>
          <w:color w:val="0000FF"/>
        </w:rPr>
      </w:pPr>
      <w:r>
        <w:rPr>
          <w:rFonts w:hint="eastAsia"/>
          <w:color w:val="0000FF"/>
          <w:lang w:val="en-US" w:eastAsia="zh-CN"/>
        </w:rPr>
        <w:t>本项目影响区域主要为荒地，为</w:t>
      </w:r>
      <w:r>
        <w:rPr>
          <w:rFonts w:hint="default"/>
          <w:color w:val="0000FF"/>
          <w:lang w:val="en-US" w:eastAsia="zh-CN"/>
        </w:rPr>
        <w:t>HJ19-2011</w:t>
      </w:r>
      <w:r>
        <w:rPr>
          <w:rFonts w:hint="eastAsia"/>
          <w:color w:val="0000FF"/>
          <w:lang w:val="en-US" w:eastAsia="zh-CN"/>
        </w:rPr>
        <w:t>《环境影响评价技术导则 生态影响》里所述的一般区域。本项目占地面积为800</w:t>
      </w:r>
      <w:r>
        <w:rPr>
          <w:rFonts w:hint="default"/>
          <w:color w:val="0000FF"/>
          <w:lang w:val="en-US" w:eastAsia="zh-CN"/>
        </w:rPr>
        <w:t>m</w:t>
      </w:r>
      <w:r>
        <w:rPr>
          <w:rFonts w:hint="default"/>
          <w:color w:val="0000FF"/>
          <w:vertAlign w:val="superscript"/>
          <w:lang w:val="en-US" w:eastAsia="zh-CN"/>
        </w:rPr>
        <w:t>2</w:t>
      </w:r>
      <w:r>
        <w:rPr>
          <w:rFonts w:hint="eastAsia"/>
          <w:color w:val="0000FF"/>
          <w:lang w:val="en-US" w:eastAsia="zh-CN"/>
        </w:rPr>
        <w:t>，因此，本项目生态影响评价等级为三级。</w:t>
      </w:r>
    </w:p>
    <w:p>
      <w:pPr>
        <w:pStyle w:val="6"/>
        <w:bidi w:val="0"/>
      </w:pPr>
      <w:bookmarkStart w:id="29" w:name="_Toc28747"/>
      <w:r>
        <w:rPr>
          <w:rFonts w:hint="eastAsia"/>
          <w:lang w:val="en-US" w:eastAsia="zh-CN"/>
        </w:rPr>
        <w:t>2.6.7</w:t>
      </w:r>
      <w:r>
        <w:t>风险影响评价工作等级</w:t>
      </w:r>
      <w:bookmarkEnd w:id="29"/>
    </w:p>
    <w:p>
      <w:pPr>
        <w:bidi w:val="0"/>
        <w:rPr>
          <w:color w:val="0000FF"/>
        </w:rPr>
      </w:pPr>
      <w:r>
        <w:rPr>
          <w:color w:val="0000FF"/>
        </w:rPr>
        <w:t>根据《建设项目环境风险评价技术导则》（HJT169-2018）中环境风险评价工作等级划分表见表2.</w:t>
      </w:r>
      <w:r>
        <w:rPr>
          <w:rFonts w:hint="eastAsia"/>
          <w:color w:val="0000FF"/>
          <w:lang w:val="en-US" w:eastAsia="zh-CN"/>
        </w:rPr>
        <w:t>6</w:t>
      </w:r>
      <w:r>
        <w:rPr>
          <w:color w:val="0000FF"/>
        </w:rPr>
        <w:t>-</w:t>
      </w:r>
      <w:r>
        <w:rPr>
          <w:rFonts w:hint="eastAsia"/>
          <w:color w:val="0000FF"/>
          <w:lang w:val="en-US" w:eastAsia="zh-CN"/>
        </w:rPr>
        <w:t>8</w:t>
      </w:r>
      <w:r>
        <w:rPr>
          <w:color w:val="0000FF"/>
        </w:rPr>
        <w:t>。</w:t>
      </w:r>
    </w:p>
    <w:p>
      <w:pPr>
        <w:pStyle w:val="22"/>
        <w:bidi w:val="0"/>
        <w:rPr>
          <w:b/>
          <w:bCs/>
          <w:color w:val="0000FF"/>
        </w:rPr>
      </w:pPr>
      <w:r>
        <w:rPr>
          <w:b/>
          <w:bCs/>
          <w:color w:val="0000FF"/>
        </w:rPr>
        <w:t>表2.</w:t>
      </w:r>
      <w:r>
        <w:rPr>
          <w:rFonts w:hint="eastAsia"/>
          <w:b/>
          <w:bCs/>
          <w:color w:val="0000FF"/>
          <w:lang w:val="en-US" w:eastAsia="zh-CN"/>
        </w:rPr>
        <w:t>6</w:t>
      </w:r>
      <w:r>
        <w:rPr>
          <w:b/>
          <w:bCs/>
          <w:color w:val="0000FF"/>
        </w:rPr>
        <w:t>-</w:t>
      </w:r>
      <w:r>
        <w:rPr>
          <w:rFonts w:hint="eastAsia"/>
          <w:b/>
          <w:bCs/>
          <w:color w:val="0000FF"/>
          <w:lang w:val="en-US" w:eastAsia="zh-CN"/>
        </w:rPr>
        <w:t>8</w:t>
      </w:r>
      <w:r>
        <w:rPr>
          <w:b/>
          <w:bCs/>
          <w:color w:val="0000FF"/>
        </w:rPr>
        <w:t>环境风险评价工作等级划分表</w:t>
      </w:r>
    </w:p>
    <w:tbl>
      <w:tblPr>
        <w:tblStyle w:val="23"/>
        <w:tblW w:w="83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1"/>
        <w:gridCol w:w="1549"/>
        <w:gridCol w:w="1547"/>
        <w:gridCol w:w="1720"/>
        <w:gridCol w:w="2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1461" w:type="dxa"/>
            <w:tcBorders>
              <w:tl2br w:val="nil"/>
              <w:tr2bl w:val="nil"/>
            </w:tcBorders>
            <w:vAlign w:val="center"/>
          </w:tcPr>
          <w:p>
            <w:pPr>
              <w:pStyle w:val="22"/>
              <w:bidi w:val="0"/>
              <w:jc w:val="center"/>
              <w:rPr>
                <w:color w:val="0000FF"/>
              </w:rPr>
            </w:pPr>
            <w:r>
              <w:rPr>
                <w:color w:val="0000FF"/>
              </w:rPr>
              <w:t>环境风险潜势</w:t>
            </w:r>
          </w:p>
        </w:tc>
        <w:tc>
          <w:tcPr>
            <w:tcW w:w="1549" w:type="dxa"/>
            <w:tcBorders>
              <w:tl2br w:val="nil"/>
              <w:tr2bl w:val="nil"/>
            </w:tcBorders>
            <w:vAlign w:val="center"/>
          </w:tcPr>
          <w:p>
            <w:pPr>
              <w:pStyle w:val="22"/>
              <w:bidi w:val="0"/>
              <w:jc w:val="center"/>
              <w:rPr>
                <w:color w:val="0000FF"/>
              </w:rPr>
            </w:pPr>
            <w:r>
              <w:rPr>
                <w:color w:val="0000FF"/>
              </w:rPr>
              <w:t>Ⅳ、Ⅳ+</w:t>
            </w:r>
          </w:p>
        </w:tc>
        <w:tc>
          <w:tcPr>
            <w:tcW w:w="1547" w:type="dxa"/>
            <w:tcBorders>
              <w:tl2br w:val="nil"/>
              <w:tr2bl w:val="nil"/>
            </w:tcBorders>
            <w:vAlign w:val="center"/>
          </w:tcPr>
          <w:p>
            <w:pPr>
              <w:pStyle w:val="22"/>
              <w:bidi w:val="0"/>
              <w:jc w:val="center"/>
              <w:rPr>
                <w:color w:val="0000FF"/>
              </w:rPr>
            </w:pPr>
            <w:r>
              <w:rPr>
                <w:color w:val="0000FF"/>
              </w:rPr>
              <w:t>Ⅲ</w:t>
            </w:r>
          </w:p>
        </w:tc>
        <w:tc>
          <w:tcPr>
            <w:tcW w:w="1720" w:type="dxa"/>
            <w:tcBorders>
              <w:tl2br w:val="nil"/>
              <w:tr2bl w:val="nil"/>
            </w:tcBorders>
            <w:vAlign w:val="center"/>
          </w:tcPr>
          <w:p>
            <w:pPr>
              <w:pStyle w:val="22"/>
              <w:bidi w:val="0"/>
              <w:jc w:val="center"/>
              <w:rPr>
                <w:color w:val="0000FF"/>
              </w:rPr>
            </w:pPr>
            <w:r>
              <w:rPr>
                <w:color w:val="0000FF"/>
              </w:rPr>
              <w:t>Ⅱ</w:t>
            </w:r>
          </w:p>
        </w:tc>
        <w:tc>
          <w:tcPr>
            <w:tcW w:w="2121" w:type="dxa"/>
            <w:tcBorders>
              <w:tl2br w:val="nil"/>
              <w:tr2bl w:val="nil"/>
            </w:tcBorders>
            <w:vAlign w:val="center"/>
          </w:tcPr>
          <w:p>
            <w:pPr>
              <w:pStyle w:val="22"/>
              <w:bidi w:val="0"/>
              <w:jc w:val="center"/>
              <w:rPr>
                <w:color w:val="0000FF"/>
              </w:rPr>
            </w:pPr>
            <w:r>
              <w:rPr>
                <w:color w:val="0000FF"/>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461" w:type="dxa"/>
            <w:tcBorders>
              <w:tl2br w:val="nil"/>
              <w:tr2bl w:val="nil"/>
            </w:tcBorders>
            <w:vAlign w:val="center"/>
          </w:tcPr>
          <w:p>
            <w:pPr>
              <w:pStyle w:val="22"/>
              <w:bidi w:val="0"/>
              <w:jc w:val="center"/>
              <w:rPr>
                <w:color w:val="0000FF"/>
              </w:rPr>
            </w:pPr>
            <w:r>
              <w:rPr>
                <w:color w:val="0000FF"/>
              </w:rPr>
              <w:t>评价工作等级</w:t>
            </w:r>
          </w:p>
        </w:tc>
        <w:tc>
          <w:tcPr>
            <w:tcW w:w="1549" w:type="dxa"/>
            <w:tcBorders>
              <w:tl2br w:val="nil"/>
              <w:tr2bl w:val="nil"/>
            </w:tcBorders>
            <w:vAlign w:val="center"/>
          </w:tcPr>
          <w:p>
            <w:pPr>
              <w:pStyle w:val="22"/>
              <w:bidi w:val="0"/>
              <w:jc w:val="center"/>
              <w:rPr>
                <w:color w:val="0000FF"/>
              </w:rPr>
            </w:pPr>
            <w:r>
              <w:rPr>
                <w:color w:val="0000FF"/>
              </w:rPr>
              <w:t>一</w:t>
            </w:r>
          </w:p>
        </w:tc>
        <w:tc>
          <w:tcPr>
            <w:tcW w:w="1547" w:type="dxa"/>
            <w:tcBorders>
              <w:tl2br w:val="nil"/>
              <w:tr2bl w:val="nil"/>
            </w:tcBorders>
            <w:vAlign w:val="center"/>
          </w:tcPr>
          <w:p>
            <w:pPr>
              <w:pStyle w:val="22"/>
              <w:bidi w:val="0"/>
              <w:jc w:val="center"/>
              <w:rPr>
                <w:color w:val="0000FF"/>
              </w:rPr>
            </w:pPr>
            <w:r>
              <w:rPr>
                <w:color w:val="0000FF"/>
              </w:rPr>
              <w:t>二</w:t>
            </w:r>
          </w:p>
        </w:tc>
        <w:tc>
          <w:tcPr>
            <w:tcW w:w="1720" w:type="dxa"/>
            <w:tcBorders>
              <w:tl2br w:val="nil"/>
              <w:tr2bl w:val="nil"/>
            </w:tcBorders>
            <w:vAlign w:val="center"/>
          </w:tcPr>
          <w:p>
            <w:pPr>
              <w:pStyle w:val="22"/>
              <w:bidi w:val="0"/>
              <w:jc w:val="center"/>
              <w:rPr>
                <w:color w:val="0000FF"/>
              </w:rPr>
            </w:pPr>
            <w:r>
              <w:rPr>
                <w:color w:val="0000FF"/>
              </w:rPr>
              <w:t>三</w:t>
            </w:r>
          </w:p>
        </w:tc>
        <w:tc>
          <w:tcPr>
            <w:tcW w:w="2121" w:type="dxa"/>
            <w:tcBorders>
              <w:tl2br w:val="nil"/>
              <w:tr2bl w:val="nil"/>
            </w:tcBorders>
            <w:vAlign w:val="center"/>
          </w:tcPr>
          <w:p>
            <w:pPr>
              <w:pStyle w:val="22"/>
              <w:bidi w:val="0"/>
              <w:jc w:val="center"/>
              <w:rPr>
                <w:color w:val="0000FF"/>
              </w:rPr>
            </w:pPr>
            <w:r>
              <w:rPr>
                <w:color w:val="0000FF"/>
              </w:rPr>
              <w:t>简单分析</w:t>
            </w:r>
          </w:p>
        </w:tc>
      </w:tr>
    </w:tbl>
    <w:p>
      <w:pPr>
        <w:spacing w:before="33" w:line="211" w:lineRule="auto"/>
        <w:ind w:left="127" w:right="165" w:hanging="11"/>
        <w:rPr>
          <w:rFonts w:ascii="宋体" w:hAnsi="宋体" w:eastAsia="宋体" w:cs="宋体"/>
          <w:color w:val="0000FF"/>
          <w:sz w:val="21"/>
          <w:szCs w:val="21"/>
        </w:rPr>
      </w:pPr>
      <w:r>
        <w:rPr>
          <w:rFonts w:ascii="宋体" w:hAnsi="宋体" w:eastAsia="宋体" w:cs="宋体"/>
          <w:color w:val="0000FF"/>
          <w:spacing w:val="-4"/>
          <w:sz w:val="21"/>
          <w:szCs w:val="21"/>
        </w:rPr>
        <w:t>注：简单分析是相对于详细评价工作内容而言，在描述危险物质、环境影响途径、环境危害后果、风</w:t>
      </w:r>
      <w:r>
        <w:rPr>
          <w:rFonts w:ascii="宋体" w:hAnsi="宋体" w:eastAsia="宋体" w:cs="宋体"/>
          <w:color w:val="0000FF"/>
          <w:spacing w:val="-2"/>
          <w:sz w:val="21"/>
          <w:szCs w:val="21"/>
        </w:rPr>
        <w:t>险防范措施等方面给出定性的说明。</w:t>
      </w:r>
    </w:p>
    <w:p>
      <w:pPr>
        <w:bidi w:val="0"/>
        <w:rPr>
          <w:color w:val="0000FF"/>
        </w:rPr>
      </w:pPr>
      <w:r>
        <w:rPr>
          <w:color w:val="0000FF"/>
        </w:rPr>
        <w:t>本项目主要以食品、生活饮用水、空气质量检测为主、试剂盒、试剂包，药品等，其中《建设项目环境风险评价技术导则》附录B中重点关注的危险物质及临界量的为硝酸、硫酸等。危险物质数量与临界量比值（Q）＜1，具体见表2.</w:t>
      </w:r>
      <w:r>
        <w:rPr>
          <w:rFonts w:hint="eastAsia"/>
          <w:color w:val="0000FF"/>
          <w:lang w:val="en-US" w:eastAsia="zh-CN"/>
        </w:rPr>
        <w:t>6</w:t>
      </w:r>
      <w:r>
        <w:rPr>
          <w:color w:val="0000FF"/>
        </w:rPr>
        <w:t>-</w:t>
      </w:r>
      <w:r>
        <w:rPr>
          <w:rFonts w:hint="eastAsia"/>
          <w:color w:val="0000FF"/>
          <w:lang w:val="en-US" w:eastAsia="zh-CN"/>
        </w:rPr>
        <w:t>9</w:t>
      </w:r>
      <w:r>
        <w:rPr>
          <w:color w:val="0000FF"/>
        </w:rPr>
        <w:t>。因此，环境风险潜势为Ⅰ，只需进行简单分析。</w:t>
      </w:r>
    </w:p>
    <w:p>
      <w:pPr>
        <w:pStyle w:val="22"/>
        <w:bidi w:val="0"/>
        <w:rPr>
          <w:b/>
          <w:bCs/>
          <w:color w:val="0000FF"/>
        </w:rPr>
      </w:pPr>
      <w:r>
        <w:rPr>
          <w:b/>
          <w:bCs/>
          <w:color w:val="0000FF"/>
        </w:rPr>
        <w:t>表2.</w:t>
      </w:r>
      <w:r>
        <w:rPr>
          <w:rFonts w:hint="eastAsia"/>
          <w:b/>
          <w:bCs/>
          <w:color w:val="0000FF"/>
          <w:lang w:val="en-US" w:eastAsia="zh-CN"/>
        </w:rPr>
        <w:t>6</w:t>
      </w:r>
      <w:r>
        <w:rPr>
          <w:b/>
          <w:bCs/>
          <w:color w:val="0000FF"/>
        </w:rPr>
        <w:t>-</w:t>
      </w:r>
      <w:r>
        <w:rPr>
          <w:rFonts w:hint="eastAsia"/>
          <w:b/>
          <w:bCs/>
          <w:color w:val="0000FF"/>
          <w:lang w:val="en-US" w:eastAsia="zh-CN"/>
        </w:rPr>
        <w:t>9</w:t>
      </w:r>
      <w:r>
        <w:rPr>
          <w:b/>
          <w:bCs/>
          <w:color w:val="0000FF"/>
        </w:rPr>
        <w:t>项目环境风险潜势汇总一览表</w:t>
      </w: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6"/>
        <w:gridCol w:w="2410"/>
        <w:gridCol w:w="2149"/>
        <w:gridCol w:w="1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677" w:type="dxa"/>
            <w:tcBorders>
              <w:tl2br w:val="nil"/>
              <w:tr2bl w:val="nil"/>
            </w:tcBorders>
            <w:vAlign w:val="center"/>
          </w:tcPr>
          <w:p>
            <w:pPr>
              <w:pStyle w:val="22"/>
              <w:bidi w:val="0"/>
              <w:jc w:val="center"/>
              <w:rPr>
                <w:color w:val="0000FF"/>
              </w:rPr>
            </w:pPr>
            <w:r>
              <w:rPr>
                <w:color w:val="0000FF"/>
              </w:rPr>
              <w:t>序号</w:t>
            </w:r>
          </w:p>
        </w:tc>
        <w:tc>
          <w:tcPr>
            <w:tcW w:w="1416" w:type="dxa"/>
            <w:tcBorders>
              <w:tl2br w:val="nil"/>
              <w:tr2bl w:val="nil"/>
            </w:tcBorders>
            <w:vAlign w:val="center"/>
          </w:tcPr>
          <w:p>
            <w:pPr>
              <w:pStyle w:val="22"/>
              <w:bidi w:val="0"/>
              <w:jc w:val="center"/>
              <w:rPr>
                <w:color w:val="0000FF"/>
              </w:rPr>
            </w:pPr>
            <w:r>
              <w:rPr>
                <w:color w:val="0000FF"/>
              </w:rPr>
              <w:t>物资名称</w:t>
            </w:r>
          </w:p>
        </w:tc>
        <w:tc>
          <w:tcPr>
            <w:tcW w:w="2410" w:type="dxa"/>
            <w:tcBorders>
              <w:tl2br w:val="nil"/>
              <w:tr2bl w:val="nil"/>
            </w:tcBorders>
            <w:vAlign w:val="center"/>
          </w:tcPr>
          <w:p>
            <w:pPr>
              <w:pStyle w:val="22"/>
              <w:bidi w:val="0"/>
              <w:jc w:val="center"/>
              <w:rPr>
                <w:color w:val="0000FF"/>
              </w:rPr>
            </w:pPr>
            <w:r>
              <w:rPr>
                <w:color w:val="0000FF"/>
              </w:rPr>
              <w:t>临界量（t）</w:t>
            </w:r>
          </w:p>
        </w:tc>
        <w:tc>
          <w:tcPr>
            <w:tcW w:w="2149" w:type="dxa"/>
            <w:tcBorders>
              <w:tl2br w:val="nil"/>
              <w:tr2bl w:val="nil"/>
            </w:tcBorders>
            <w:vAlign w:val="center"/>
          </w:tcPr>
          <w:p>
            <w:pPr>
              <w:pStyle w:val="22"/>
              <w:bidi w:val="0"/>
              <w:jc w:val="center"/>
              <w:rPr>
                <w:color w:val="0000FF"/>
              </w:rPr>
            </w:pPr>
            <w:r>
              <w:rPr>
                <w:color w:val="0000FF"/>
              </w:rPr>
              <w:t>本项目存储量（kg）</w:t>
            </w:r>
          </w:p>
        </w:tc>
        <w:tc>
          <w:tcPr>
            <w:tcW w:w="1870" w:type="dxa"/>
            <w:tcBorders>
              <w:tl2br w:val="nil"/>
              <w:tr2bl w:val="nil"/>
            </w:tcBorders>
            <w:vAlign w:val="center"/>
          </w:tcPr>
          <w:p>
            <w:pPr>
              <w:pStyle w:val="22"/>
              <w:bidi w:val="0"/>
              <w:jc w:val="center"/>
              <w:rPr>
                <w:color w:val="0000FF"/>
              </w:rPr>
            </w:pPr>
            <w:r>
              <w:rPr>
                <w:color w:val="0000FF"/>
              </w:rPr>
              <w:t>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1</w:t>
            </w:r>
          </w:p>
        </w:tc>
        <w:tc>
          <w:tcPr>
            <w:tcW w:w="1416" w:type="dxa"/>
            <w:tcBorders>
              <w:tl2br w:val="nil"/>
              <w:tr2bl w:val="nil"/>
            </w:tcBorders>
            <w:vAlign w:val="center"/>
          </w:tcPr>
          <w:p>
            <w:pPr>
              <w:pStyle w:val="22"/>
              <w:bidi w:val="0"/>
              <w:jc w:val="center"/>
              <w:rPr>
                <w:color w:val="0000FF"/>
              </w:rPr>
            </w:pPr>
            <w:r>
              <w:rPr>
                <w:color w:val="0000FF"/>
              </w:rPr>
              <w:t>硫酸</w:t>
            </w:r>
          </w:p>
        </w:tc>
        <w:tc>
          <w:tcPr>
            <w:tcW w:w="2410" w:type="dxa"/>
            <w:tcBorders>
              <w:tl2br w:val="nil"/>
              <w:tr2bl w:val="nil"/>
            </w:tcBorders>
            <w:vAlign w:val="center"/>
          </w:tcPr>
          <w:p>
            <w:pPr>
              <w:pStyle w:val="22"/>
              <w:bidi w:val="0"/>
              <w:jc w:val="center"/>
              <w:rPr>
                <w:color w:val="0000FF"/>
              </w:rPr>
            </w:pPr>
            <w:r>
              <w:rPr>
                <w:color w:val="0000FF"/>
              </w:rPr>
              <w:t>10</w:t>
            </w:r>
          </w:p>
        </w:tc>
        <w:tc>
          <w:tcPr>
            <w:tcW w:w="2149"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15</w:t>
            </w:r>
          </w:p>
        </w:tc>
        <w:tc>
          <w:tcPr>
            <w:tcW w:w="1870" w:type="dxa"/>
            <w:tcBorders>
              <w:tl2br w:val="nil"/>
              <w:tr2bl w:val="nil"/>
            </w:tcBorders>
            <w:vAlign w:val="center"/>
          </w:tcPr>
          <w:p>
            <w:pPr>
              <w:pStyle w:val="22"/>
              <w:bidi w:val="0"/>
              <w:jc w:val="center"/>
              <w:rPr>
                <w:rFonts w:hint="default" w:eastAsia="宋体"/>
                <w:color w:val="0000FF"/>
                <w:lang w:val="en-US" w:eastAsia="zh-CN"/>
              </w:rPr>
            </w:pPr>
            <w:r>
              <w:rPr>
                <w:color w:val="0000FF"/>
              </w:rPr>
              <w:t>0.00</w:t>
            </w:r>
            <w:r>
              <w:rPr>
                <w:rFonts w:hint="eastAsia"/>
                <w:color w:val="0000FF"/>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2</w:t>
            </w:r>
          </w:p>
        </w:tc>
        <w:tc>
          <w:tcPr>
            <w:tcW w:w="1416" w:type="dxa"/>
            <w:tcBorders>
              <w:tl2br w:val="nil"/>
              <w:tr2bl w:val="nil"/>
            </w:tcBorders>
            <w:vAlign w:val="center"/>
          </w:tcPr>
          <w:p>
            <w:pPr>
              <w:pStyle w:val="22"/>
              <w:bidi w:val="0"/>
              <w:jc w:val="center"/>
              <w:rPr>
                <w:color w:val="0000FF"/>
              </w:rPr>
            </w:pPr>
            <w:r>
              <w:rPr>
                <w:color w:val="0000FF"/>
              </w:rPr>
              <w:t>盐酸</w:t>
            </w:r>
          </w:p>
        </w:tc>
        <w:tc>
          <w:tcPr>
            <w:tcW w:w="2410" w:type="dxa"/>
            <w:tcBorders>
              <w:tl2br w:val="nil"/>
              <w:tr2bl w:val="nil"/>
            </w:tcBorders>
            <w:vAlign w:val="center"/>
          </w:tcPr>
          <w:p>
            <w:pPr>
              <w:pStyle w:val="22"/>
              <w:bidi w:val="0"/>
              <w:jc w:val="center"/>
              <w:rPr>
                <w:color w:val="0000FF"/>
              </w:rPr>
            </w:pPr>
            <w:r>
              <w:rPr>
                <w:color w:val="0000FF"/>
              </w:rPr>
              <w:t>7.5</w:t>
            </w:r>
          </w:p>
        </w:tc>
        <w:tc>
          <w:tcPr>
            <w:tcW w:w="2149"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6</w:t>
            </w:r>
          </w:p>
        </w:tc>
        <w:tc>
          <w:tcPr>
            <w:tcW w:w="1870" w:type="dxa"/>
            <w:tcBorders>
              <w:tl2br w:val="nil"/>
              <w:tr2bl w:val="nil"/>
            </w:tcBorders>
            <w:vAlign w:val="center"/>
          </w:tcPr>
          <w:p>
            <w:pPr>
              <w:pStyle w:val="22"/>
              <w:bidi w:val="0"/>
              <w:jc w:val="center"/>
              <w:rPr>
                <w:rFonts w:hint="eastAsia" w:eastAsia="宋体"/>
                <w:color w:val="0000FF"/>
                <w:lang w:eastAsia="zh-CN"/>
              </w:rPr>
            </w:pPr>
            <w:r>
              <w:rPr>
                <w:color w:val="0000FF"/>
              </w:rPr>
              <w:t>0.00</w:t>
            </w:r>
            <w:r>
              <w:rPr>
                <w:rFonts w:hint="eastAsia"/>
                <w:color w:val="0000FF"/>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3</w:t>
            </w:r>
          </w:p>
        </w:tc>
        <w:tc>
          <w:tcPr>
            <w:tcW w:w="1416" w:type="dxa"/>
            <w:tcBorders>
              <w:tl2br w:val="nil"/>
              <w:tr2bl w:val="nil"/>
            </w:tcBorders>
            <w:vAlign w:val="center"/>
          </w:tcPr>
          <w:p>
            <w:pPr>
              <w:pStyle w:val="22"/>
              <w:bidi w:val="0"/>
              <w:jc w:val="center"/>
              <w:rPr>
                <w:color w:val="0000FF"/>
              </w:rPr>
            </w:pPr>
            <w:r>
              <w:rPr>
                <w:color w:val="0000FF"/>
              </w:rPr>
              <w:t>硝酸</w:t>
            </w:r>
          </w:p>
        </w:tc>
        <w:tc>
          <w:tcPr>
            <w:tcW w:w="2410" w:type="dxa"/>
            <w:tcBorders>
              <w:tl2br w:val="nil"/>
              <w:tr2bl w:val="nil"/>
            </w:tcBorders>
            <w:vAlign w:val="center"/>
          </w:tcPr>
          <w:p>
            <w:pPr>
              <w:pStyle w:val="22"/>
              <w:bidi w:val="0"/>
              <w:jc w:val="center"/>
              <w:rPr>
                <w:color w:val="0000FF"/>
              </w:rPr>
            </w:pPr>
            <w:r>
              <w:rPr>
                <w:color w:val="0000FF"/>
              </w:rPr>
              <w:t>7.5</w:t>
            </w:r>
          </w:p>
        </w:tc>
        <w:tc>
          <w:tcPr>
            <w:tcW w:w="2149"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7</w:t>
            </w:r>
          </w:p>
        </w:tc>
        <w:tc>
          <w:tcPr>
            <w:tcW w:w="1870" w:type="dxa"/>
            <w:tcBorders>
              <w:tl2br w:val="nil"/>
              <w:tr2bl w:val="nil"/>
            </w:tcBorders>
            <w:vAlign w:val="center"/>
          </w:tcPr>
          <w:p>
            <w:pPr>
              <w:pStyle w:val="22"/>
              <w:bidi w:val="0"/>
              <w:jc w:val="center"/>
              <w:rPr>
                <w:rFonts w:hint="default" w:eastAsia="宋体"/>
                <w:color w:val="0000FF"/>
                <w:lang w:val="en-US" w:eastAsia="zh-CN"/>
              </w:rPr>
            </w:pPr>
            <w:r>
              <w:rPr>
                <w:color w:val="0000FF"/>
              </w:rPr>
              <w:t>0.00</w:t>
            </w:r>
            <w:r>
              <w:rPr>
                <w:rFonts w:hint="eastAsia"/>
                <w:color w:val="0000FF"/>
                <w:lang w:val="en-US" w:eastAsia="zh-CN"/>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4</w:t>
            </w:r>
          </w:p>
        </w:tc>
        <w:tc>
          <w:tcPr>
            <w:tcW w:w="1416" w:type="dxa"/>
            <w:tcBorders>
              <w:tl2br w:val="nil"/>
              <w:tr2bl w:val="nil"/>
            </w:tcBorders>
            <w:vAlign w:val="center"/>
          </w:tcPr>
          <w:p>
            <w:pPr>
              <w:pStyle w:val="22"/>
              <w:bidi w:val="0"/>
              <w:jc w:val="center"/>
              <w:rPr>
                <w:color w:val="0000FF"/>
              </w:rPr>
            </w:pPr>
            <w:r>
              <w:rPr>
                <w:color w:val="0000FF"/>
              </w:rPr>
              <w:t>异丙醇</w:t>
            </w:r>
          </w:p>
        </w:tc>
        <w:tc>
          <w:tcPr>
            <w:tcW w:w="2410" w:type="dxa"/>
            <w:tcBorders>
              <w:tl2br w:val="nil"/>
              <w:tr2bl w:val="nil"/>
            </w:tcBorders>
            <w:vAlign w:val="center"/>
          </w:tcPr>
          <w:p>
            <w:pPr>
              <w:pStyle w:val="22"/>
              <w:bidi w:val="0"/>
              <w:jc w:val="center"/>
              <w:rPr>
                <w:color w:val="0000FF"/>
              </w:rPr>
            </w:pPr>
            <w:r>
              <w:rPr>
                <w:color w:val="0000FF"/>
              </w:rPr>
              <w:t>10</w:t>
            </w:r>
          </w:p>
        </w:tc>
        <w:tc>
          <w:tcPr>
            <w:tcW w:w="2149"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0.25</w:t>
            </w:r>
          </w:p>
        </w:tc>
        <w:tc>
          <w:tcPr>
            <w:tcW w:w="1870" w:type="dxa"/>
            <w:tcBorders>
              <w:tl2br w:val="nil"/>
              <w:tr2bl w:val="nil"/>
            </w:tcBorders>
            <w:vAlign w:val="center"/>
          </w:tcPr>
          <w:p>
            <w:pPr>
              <w:pStyle w:val="22"/>
              <w:bidi w:val="0"/>
              <w:jc w:val="center"/>
              <w:rPr>
                <w:rFonts w:hint="default" w:eastAsia="宋体"/>
                <w:color w:val="0000FF"/>
                <w:lang w:val="en-US" w:eastAsia="zh-CN"/>
              </w:rPr>
            </w:pPr>
            <w:r>
              <w:rPr>
                <w:color w:val="0000FF"/>
              </w:rPr>
              <w:t>0.0000</w:t>
            </w:r>
            <w:r>
              <w:rPr>
                <w:rFonts w:hint="eastAsia"/>
                <w:color w:val="0000FF"/>
                <w:lang w:val="en-US"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5</w:t>
            </w:r>
          </w:p>
        </w:tc>
        <w:tc>
          <w:tcPr>
            <w:tcW w:w="1416" w:type="dxa"/>
            <w:tcBorders>
              <w:tl2br w:val="nil"/>
              <w:tr2bl w:val="nil"/>
            </w:tcBorders>
            <w:vAlign w:val="center"/>
          </w:tcPr>
          <w:p>
            <w:pPr>
              <w:pStyle w:val="22"/>
              <w:bidi w:val="0"/>
              <w:jc w:val="center"/>
              <w:rPr>
                <w:color w:val="0000FF"/>
              </w:rPr>
            </w:pPr>
            <w:r>
              <w:rPr>
                <w:color w:val="0000FF"/>
              </w:rPr>
              <w:t>丙醇</w:t>
            </w:r>
          </w:p>
        </w:tc>
        <w:tc>
          <w:tcPr>
            <w:tcW w:w="2410" w:type="dxa"/>
            <w:tcBorders>
              <w:tl2br w:val="nil"/>
              <w:tr2bl w:val="nil"/>
            </w:tcBorders>
            <w:vAlign w:val="center"/>
          </w:tcPr>
          <w:p>
            <w:pPr>
              <w:pStyle w:val="22"/>
              <w:bidi w:val="0"/>
              <w:jc w:val="center"/>
              <w:rPr>
                <w:color w:val="0000FF"/>
              </w:rPr>
            </w:pPr>
            <w:r>
              <w:rPr>
                <w:color w:val="0000FF"/>
              </w:rPr>
              <w:t>10</w:t>
            </w:r>
          </w:p>
        </w:tc>
        <w:tc>
          <w:tcPr>
            <w:tcW w:w="2149"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5</w:t>
            </w:r>
          </w:p>
        </w:tc>
        <w:tc>
          <w:tcPr>
            <w:tcW w:w="1870" w:type="dxa"/>
            <w:tcBorders>
              <w:tl2br w:val="nil"/>
              <w:tr2bl w:val="nil"/>
            </w:tcBorders>
            <w:vAlign w:val="center"/>
          </w:tcPr>
          <w:p>
            <w:pPr>
              <w:pStyle w:val="22"/>
              <w:bidi w:val="0"/>
              <w:jc w:val="center"/>
              <w:rPr>
                <w:rFonts w:hint="eastAsia" w:eastAsia="宋体"/>
                <w:color w:val="0000FF"/>
                <w:lang w:val="en-US" w:eastAsia="zh-CN"/>
              </w:rPr>
            </w:pPr>
            <w:r>
              <w:rPr>
                <w:color w:val="0000FF"/>
              </w:rPr>
              <w:t>0.000</w:t>
            </w:r>
            <w:r>
              <w:rPr>
                <w:rFonts w:hint="eastAsia"/>
                <w:color w:val="0000FF"/>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6</w:t>
            </w:r>
          </w:p>
        </w:tc>
        <w:tc>
          <w:tcPr>
            <w:tcW w:w="1416" w:type="dxa"/>
            <w:tcBorders>
              <w:tl2br w:val="nil"/>
              <w:tr2bl w:val="nil"/>
            </w:tcBorders>
            <w:vAlign w:val="center"/>
          </w:tcPr>
          <w:p>
            <w:pPr>
              <w:pStyle w:val="22"/>
              <w:bidi w:val="0"/>
              <w:jc w:val="center"/>
              <w:rPr>
                <w:color w:val="0000FF"/>
              </w:rPr>
            </w:pPr>
            <w:r>
              <w:rPr>
                <w:color w:val="0000FF"/>
              </w:rPr>
              <w:t>三氯甲烷</w:t>
            </w:r>
          </w:p>
        </w:tc>
        <w:tc>
          <w:tcPr>
            <w:tcW w:w="2410" w:type="dxa"/>
            <w:tcBorders>
              <w:tl2br w:val="nil"/>
              <w:tr2bl w:val="nil"/>
            </w:tcBorders>
            <w:vAlign w:val="center"/>
          </w:tcPr>
          <w:p>
            <w:pPr>
              <w:pStyle w:val="22"/>
              <w:bidi w:val="0"/>
              <w:jc w:val="center"/>
              <w:rPr>
                <w:color w:val="0000FF"/>
              </w:rPr>
            </w:pPr>
            <w:r>
              <w:rPr>
                <w:color w:val="0000FF"/>
              </w:rPr>
              <w:t>10</w:t>
            </w:r>
          </w:p>
        </w:tc>
        <w:tc>
          <w:tcPr>
            <w:tcW w:w="2149" w:type="dxa"/>
            <w:tcBorders>
              <w:tl2br w:val="nil"/>
              <w:tr2bl w:val="nil"/>
            </w:tcBorders>
            <w:vAlign w:val="center"/>
          </w:tcPr>
          <w:p>
            <w:pPr>
              <w:pStyle w:val="22"/>
              <w:bidi w:val="0"/>
              <w:jc w:val="center"/>
              <w:rPr>
                <w:color w:val="0000FF"/>
              </w:rPr>
            </w:pPr>
            <w:r>
              <w:rPr>
                <w:color w:val="0000FF"/>
              </w:rPr>
              <w:t>1.5</w:t>
            </w:r>
          </w:p>
        </w:tc>
        <w:tc>
          <w:tcPr>
            <w:tcW w:w="1870" w:type="dxa"/>
            <w:tcBorders>
              <w:tl2br w:val="nil"/>
              <w:tr2bl w:val="nil"/>
            </w:tcBorders>
            <w:vAlign w:val="center"/>
          </w:tcPr>
          <w:p>
            <w:pPr>
              <w:pStyle w:val="22"/>
              <w:bidi w:val="0"/>
              <w:jc w:val="center"/>
              <w:rPr>
                <w:color w:val="0000FF"/>
              </w:rPr>
            </w:pPr>
            <w:r>
              <w:rPr>
                <w:color w:val="0000FF"/>
              </w:rPr>
              <w:t>0.00015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7</w:t>
            </w:r>
          </w:p>
        </w:tc>
        <w:tc>
          <w:tcPr>
            <w:tcW w:w="1416" w:type="dxa"/>
            <w:tcBorders>
              <w:tl2br w:val="nil"/>
              <w:tr2bl w:val="nil"/>
            </w:tcBorders>
            <w:vAlign w:val="center"/>
          </w:tcPr>
          <w:p>
            <w:pPr>
              <w:pStyle w:val="22"/>
              <w:bidi w:val="0"/>
              <w:jc w:val="center"/>
              <w:rPr>
                <w:color w:val="0000FF"/>
              </w:rPr>
            </w:pPr>
            <w:r>
              <w:rPr>
                <w:color w:val="0000FF"/>
              </w:rPr>
              <w:t>合计</w:t>
            </w:r>
          </w:p>
        </w:tc>
        <w:tc>
          <w:tcPr>
            <w:tcW w:w="2410" w:type="dxa"/>
            <w:tcBorders>
              <w:tl2br w:val="nil"/>
              <w:tr2bl w:val="nil"/>
            </w:tcBorders>
            <w:vAlign w:val="center"/>
          </w:tcPr>
          <w:p>
            <w:pPr>
              <w:pStyle w:val="22"/>
              <w:bidi w:val="0"/>
              <w:jc w:val="center"/>
              <w:rPr>
                <w:color w:val="0000FF"/>
              </w:rPr>
            </w:pPr>
          </w:p>
        </w:tc>
        <w:tc>
          <w:tcPr>
            <w:tcW w:w="2149" w:type="dxa"/>
            <w:tcBorders>
              <w:tl2br w:val="nil"/>
              <w:tr2bl w:val="nil"/>
            </w:tcBorders>
            <w:vAlign w:val="center"/>
          </w:tcPr>
          <w:p>
            <w:pPr>
              <w:pStyle w:val="22"/>
              <w:bidi w:val="0"/>
              <w:jc w:val="center"/>
              <w:rPr>
                <w:color w:val="0000FF"/>
              </w:rPr>
            </w:pPr>
          </w:p>
        </w:tc>
        <w:tc>
          <w:tcPr>
            <w:tcW w:w="1870" w:type="dxa"/>
            <w:tcBorders>
              <w:tl2br w:val="nil"/>
              <w:tr2bl w:val="nil"/>
            </w:tcBorders>
            <w:vAlign w:val="center"/>
          </w:tcPr>
          <w:p>
            <w:pPr>
              <w:pStyle w:val="22"/>
              <w:bidi w:val="0"/>
              <w:rPr>
                <w:rFonts w:hint="eastAsia"/>
                <w:color w:val="0000FF"/>
                <w:lang w:val="en-US" w:eastAsia="zh-CN"/>
              </w:rPr>
            </w:pPr>
            <w:r>
              <w:rPr>
                <w:rFonts w:hint="eastAsia"/>
                <w:color w:val="0000FF"/>
                <w:lang w:val="en-US" w:eastAsia="zh-CN"/>
              </w:rPr>
              <w:t>0.011075</w:t>
            </w:r>
          </w:p>
        </w:tc>
      </w:tr>
    </w:tbl>
    <w:p>
      <w:pPr>
        <w:pStyle w:val="5"/>
        <w:bidi w:val="0"/>
        <w:rPr>
          <w:rFonts w:hint="default"/>
          <w:lang w:val="en-US" w:eastAsia="zh-CN"/>
        </w:rPr>
      </w:pPr>
      <w:bookmarkStart w:id="30" w:name="_Toc16683"/>
      <w:r>
        <w:rPr>
          <w:rFonts w:hint="eastAsia"/>
          <w:lang w:val="en-US" w:eastAsia="zh-CN"/>
        </w:rPr>
        <w:t>2.7评价范围</w:t>
      </w:r>
      <w:bookmarkEnd w:id="30"/>
    </w:p>
    <w:p>
      <w:pPr>
        <w:bidi w:val="0"/>
        <w:rPr>
          <w:color w:val="0000FF"/>
        </w:rPr>
      </w:pPr>
      <w:r>
        <w:rPr>
          <w:rFonts w:hint="eastAsia"/>
          <w:color w:val="0000FF"/>
          <w:lang w:val="en-US" w:eastAsia="zh-CN"/>
        </w:rPr>
        <w:t>根据《环境影响评价技术导则》的有关规定，并结合本项目的排污特点，项目周边自然、社会环境特征，对本项目的环境影响分析及评价等级的划分，确定本项目评价范围。</w:t>
      </w:r>
    </w:p>
    <w:p>
      <w:pPr>
        <w:pStyle w:val="6"/>
        <w:bidi w:val="0"/>
        <w:outlineLvl w:val="1"/>
        <w:rPr>
          <w:color w:val="0000FF"/>
        </w:rPr>
      </w:pPr>
      <w:bookmarkStart w:id="31" w:name="_Toc3056"/>
      <w:r>
        <w:rPr>
          <w:rFonts w:hint="eastAsia"/>
          <w:color w:val="0000FF"/>
          <w:lang w:val="en-US" w:eastAsia="zh-CN"/>
        </w:rPr>
        <w:t>2.7.1大气环境影响评价范围</w:t>
      </w:r>
      <w:bookmarkEnd w:id="31"/>
    </w:p>
    <w:p>
      <w:pPr>
        <w:bidi w:val="0"/>
        <w:rPr>
          <w:color w:val="0000FF"/>
        </w:rPr>
      </w:pPr>
      <w:r>
        <w:rPr>
          <w:color w:val="0000FF"/>
        </w:rPr>
        <w:t>本次大气环境影响评价等级为三级，根据《环境影响评价技术导则</w:t>
      </w:r>
      <w:r>
        <w:rPr>
          <w:rFonts w:hint="eastAsia"/>
          <w:color w:val="0000FF"/>
          <w:lang w:val="en-US" w:eastAsia="zh-CN"/>
        </w:rPr>
        <w:t xml:space="preserve"> </w:t>
      </w:r>
      <w:r>
        <w:rPr>
          <w:color w:val="0000FF"/>
        </w:rPr>
        <w:t>大气环境》（HJ2.2-2018），项目为三级评价，项目不需设置大气环境影响评价范围。</w:t>
      </w:r>
    </w:p>
    <w:p>
      <w:pPr>
        <w:pStyle w:val="6"/>
        <w:bidi w:val="0"/>
      </w:pPr>
      <w:bookmarkStart w:id="32" w:name="_Toc869"/>
      <w:r>
        <w:rPr>
          <w:rFonts w:hint="eastAsia"/>
          <w:lang w:val="en-US" w:eastAsia="zh-CN"/>
        </w:rPr>
        <w:t>2.7.2水环境影响评价范围</w:t>
      </w:r>
      <w:bookmarkEnd w:id="32"/>
    </w:p>
    <w:p>
      <w:pPr>
        <w:bidi w:val="0"/>
        <w:rPr>
          <w:color w:val="0000FF"/>
        </w:rPr>
      </w:pPr>
      <w:r>
        <w:rPr>
          <w:color w:val="0000FF"/>
        </w:rPr>
        <w:t>经现场踏勘得知，项目属于三级B项目，因此不进行地表水环境影响评价。水环境的评价对象主要是项目区的地下水，本项目为Ⅳ类项目。仅对项目区域地下水做简单分析。</w:t>
      </w:r>
    </w:p>
    <w:p>
      <w:pPr>
        <w:pStyle w:val="6"/>
        <w:bidi w:val="0"/>
      </w:pPr>
      <w:bookmarkStart w:id="33" w:name="_Toc9700"/>
      <w:r>
        <w:rPr>
          <w:rFonts w:hint="eastAsia"/>
          <w:lang w:val="en-US" w:eastAsia="zh-CN"/>
        </w:rPr>
        <w:t>2.7.3声环境影响评价范围</w:t>
      </w:r>
      <w:bookmarkEnd w:id="33"/>
    </w:p>
    <w:p>
      <w:pPr>
        <w:bidi w:val="0"/>
        <w:rPr>
          <w:color w:val="0000FF"/>
        </w:rPr>
      </w:pPr>
      <w:r>
        <w:rPr>
          <w:rFonts w:hint="eastAsia"/>
          <w:color w:val="0000FF"/>
          <w:lang w:val="en-US" w:eastAsia="zh-CN"/>
        </w:rPr>
        <w:t>根据声环境评价工作等级和项目噪声源可能影响的区域，评价范围确定为场界外</w:t>
      </w:r>
      <w:r>
        <w:rPr>
          <w:rFonts w:hint="default"/>
          <w:color w:val="0000FF"/>
          <w:lang w:val="en-US" w:eastAsia="zh-CN"/>
        </w:rPr>
        <w:t>200m</w:t>
      </w:r>
      <w:r>
        <w:rPr>
          <w:rFonts w:hint="eastAsia"/>
          <w:color w:val="0000FF"/>
          <w:lang w:val="en-US" w:eastAsia="zh-CN"/>
        </w:rPr>
        <w:t>以内。</w:t>
      </w:r>
    </w:p>
    <w:p>
      <w:pPr>
        <w:pStyle w:val="6"/>
        <w:bidi w:val="0"/>
        <w:rPr>
          <w:rFonts w:hint="default"/>
          <w:lang w:val="en-US" w:eastAsia="zh-CN"/>
        </w:rPr>
      </w:pPr>
      <w:bookmarkStart w:id="34" w:name="_Toc13122"/>
      <w:r>
        <w:rPr>
          <w:rFonts w:hint="eastAsia"/>
          <w:lang w:val="en-US" w:eastAsia="zh-CN"/>
        </w:rPr>
        <w:t>2.7.4生态环境影响范围</w:t>
      </w:r>
      <w:bookmarkEnd w:id="34"/>
    </w:p>
    <w:p>
      <w:pPr>
        <w:bidi w:val="0"/>
        <w:rPr>
          <w:color w:val="0000FF"/>
        </w:rPr>
      </w:pPr>
      <w:r>
        <w:rPr>
          <w:color w:val="0000FF"/>
        </w:rPr>
        <w:t>根据《环境影响评价技术导则</w:t>
      </w:r>
      <w:r>
        <w:rPr>
          <w:rFonts w:hint="eastAsia"/>
          <w:color w:val="0000FF"/>
          <w:lang w:val="en-US" w:eastAsia="zh-CN"/>
        </w:rPr>
        <w:t xml:space="preserve"> </w:t>
      </w:r>
      <w:r>
        <w:rPr>
          <w:color w:val="0000FF"/>
        </w:rPr>
        <w:t>生态影响》（HJ19-2011），项目的生态环境影响评价等级为三级，本次评价仅对建设项目所在的区域的生态环境影响进行简要分析，生态环境影响评价范围为项目区占地范围内。</w:t>
      </w:r>
    </w:p>
    <w:p>
      <w:pPr>
        <w:pStyle w:val="6"/>
        <w:bidi w:val="0"/>
        <w:rPr>
          <w:rFonts w:hint="eastAsia"/>
          <w:lang w:val="en-US" w:eastAsia="zh-CN"/>
        </w:rPr>
      </w:pPr>
      <w:bookmarkStart w:id="35" w:name="_Toc15949"/>
      <w:r>
        <w:rPr>
          <w:rFonts w:hint="eastAsia"/>
          <w:lang w:val="en-US" w:eastAsia="zh-CN"/>
        </w:rPr>
        <w:t>2.7.5土壤环境影响范围</w:t>
      </w:r>
      <w:bookmarkEnd w:id="35"/>
    </w:p>
    <w:p>
      <w:pPr>
        <w:bidi w:val="0"/>
        <w:rPr>
          <w:color w:val="0000FF"/>
        </w:rPr>
      </w:pPr>
      <w:r>
        <w:rPr>
          <w:color w:val="0000FF"/>
        </w:rPr>
        <w:t>按照《环境影响评价技术导则</w:t>
      </w:r>
      <w:r>
        <w:rPr>
          <w:rFonts w:hint="eastAsia"/>
          <w:color w:val="0000FF"/>
          <w:lang w:val="en-US" w:eastAsia="zh-CN"/>
        </w:rPr>
        <w:t xml:space="preserve"> </w:t>
      </w:r>
      <w:r>
        <w:rPr>
          <w:color w:val="0000FF"/>
        </w:rPr>
        <w:t>土壤环境》（HJ964-2018）中内容。本项目为Ⅳ类项目。可不开展土壤环境影响评价，本项目仅对现状环境进行简单描述。</w:t>
      </w:r>
    </w:p>
    <w:p>
      <w:pPr>
        <w:pStyle w:val="6"/>
        <w:bidi w:val="0"/>
      </w:pPr>
      <w:bookmarkStart w:id="36" w:name="_Toc3753"/>
      <w:r>
        <w:rPr>
          <w:rFonts w:hint="eastAsia"/>
          <w:lang w:val="en-US" w:eastAsia="zh-CN"/>
        </w:rPr>
        <w:t>2.7.6环境风险影响评价范围</w:t>
      </w:r>
      <w:bookmarkEnd w:id="36"/>
    </w:p>
    <w:p>
      <w:pPr>
        <w:bidi w:val="0"/>
        <w:rPr>
          <w:color w:val="0000FF"/>
        </w:rPr>
      </w:pPr>
      <w:r>
        <w:rPr>
          <w:rFonts w:hint="eastAsia"/>
          <w:color w:val="0000FF"/>
          <w:lang w:val="en-US" w:eastAsia="zh-CN"/>
        </w:rPr>
        <w:t>本项目环境风险评价等级为简单分析，根据《建设项目环境风险评价技术导则》（HJ169-2018），不设环境风险评价范围。</w:t>
      </w:r>
    </w:p>
    <w:p>
      <w:pPr>
        <w:pStyle w:val="5"/>
        <w:bidi w:val="0"/>
      </w:pPr>
      <w:bookmarkStart w:id="37" w:name="_Toc26699"/>
      <w:r>
        <w:rPr>
          <w:rFonts w:hint="eastAsia"/>
          <w:lang w:val="en-US" w:eastAsia="zh-CN"/>
        </w:rPr>
        <w:t>2.8</w:t>
      </w:r>
      <w:r>
        <w:t>污染控制和环境保护目标</w:t>
      </w:r>
      <w:bookmarkEnd w:id="37"/>
    </w:p>
    <w:p>
      <w:pPr>
        <w:bidi w:val="0"/>
        <w:rPr>
          <w:color w:val="0000FF"/>
        </w:rPr>
      </w:pPr>
      <w:r>
        <w:rPr>
          <w:color w:val="0000FF"/>
        </w:rPr>
        <w:t>本项目评价范围内没有自然保护区、风景名胜区、世界文化和自然遗产地、饮用水水源保护区，没有以医疗卫生、文化教育、科研、行政办公等为主要功能的区域，也没有文物保护单位，具有特殊历史、文化、科学、民族意义的保护地，周围环境现状主要为</w:t>
      </w:r>
      <w:r>
        <w:rPr>
          <w:rFonts w:hint="eastAsia"/>
          <w:color w:val="0000FF"/>
          <w:lang w:val="en-US" w:eastAsia="zh-CN"/>
        </w:rPr>
        <w:t>荒地</w:t>
      </w:r>
      <w:r>
        <w:rPr>
          <w:color w:val="0000FF"/>
        </w:rPr>
        <w:t>、农田和</w:t>
      </w:r>
      <w:r>
        <w:rPr>
          <w:rFonts w:hint="eastAsia"/>
          <w:color w:val="0000FF"/>
          <w:lang w:val="en-US" w:eastAsia="zh-CN"/>
        </w:rPr>
        <w:t>林地</w:t>
      </w:r>
      <w:r>
        <w:rPr>
          <w:color w:val="0000FF"/>
        </w:rPr>
        <w:t>。</w:t>
      </w:r>
    </w:p>
    <w:p>
      <w:pPr>
        <w:bidi w:val="0"/>
        <w:rPr>
          <w:rFonts w:hint="default" w:eastAsia="宋体"/>
          <w:color w:val="0000FF"/>
          <w:lang w:val="en-US" w:eastAsia="zh-CN"/>
        </w:rPr>
      </w:pPr>
      <w:r>
        <w:rPr>
          <w:color w:val="0000FF"/>
        </w:rPr>
        <w:t>本项目环境保护目标汇总见下表，保护目标相对位置图详见</w:t>
      </w:r>
      <w:r>
        <w:rPr>
          <w:rFonts w:hint="eastAsia"/>
          <w:color w:val="0000FF"/>
          <w:lang w:val="en-US" w:eastAsia="zh-CN"/>
        </w:rPr>
        <w:t>附图3。</w:t>
      </w:r>
    </w:p>
    <w:p>
      <w:pPr>
        <w:pStyle w:val="22"/>
        <w:bidi w:val="0"/>
        <w:rPr>
          <w:b/>
          <w:bCs/>
          <w:color w:val="0000FF"/>
        </w:rPr>
      </w:pPr>
      <w:r>
        <w:rPr>
          <w:b/>
          <w:bCs/>
          <w:color w:val="0000FF"/>
        </w:rPr>
        <w:t>表2</w:t>
      </w:r>
      <w:r>
        <w:rPr>
          <w:rFonts w:hint="eastAsia"/>
          <w:b/>
          <w:bCs/>
          <w:color w:val="0000FF"/>
          <w:lang w:val="en-US" w:eastAsia="zh-CN"/>
        </w:rPr>
        <w:t>.8-1</w:t>
      </w:r>
      <w:r>
        <w:rPr>
          <w:b/>
          <w:bCs/>
          <w:color w:val="0000FF"/>
        </w:rPr>
        <w:t>本项目环境保护目标</w:t>
      </w:r>
    </w:p>
    <w:p>
      <w:pPr>
        <w:spacing w:line="35" w:lineRule="exact"/>
        <w:rPr>
          <w:color w:val="0000FF"/>
        </w:rPr>
      </w:pPr>
    </w:p>
    <w:tbl>
      <w:tblPr>
        <w:tblStyle w:val="23"/>
        <w:tblW w:w="84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5"/>
        <w:gridCol w:w="2070"/>
        <w:gridCol w:w="1102"/>
        <w:gridCol w:w="1338"/>
        <w:gridCol w:w="2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245" w:type="dxa"/>
            <w:tcBorders>
              <w:tl2br w:val="nil"/>
              <w:tr2bl w:val="nil"/>
            </w:tcBorders>
            <w:vAlign w:val="center"/>
          </w:tcPr>
          <w:p>
            <w:pPr>
              <w:pStyle w:val="22"/>
              <w:bidi w:val="0"/>
              <w:jc w:val="center"/>
              <w:rPr>
                <w:color w:val="0000FF"/>
              </w:rPr>
            </w:pPr>
            <w:r>
              <w:rPr>
                <w:color w:val="0000FF"/>
              </w:rPr>
              <w:t>环境要素</w:t>
            </w:r>
          </w:p>
        </w:tc>
        <w:tc>
          <w:tcPr>
            <w:tcW w:w="2070" w:type="dxa"/>
            <w:tcBorders>
              <w:tl2br w:val="nil"/>
              <w:tr2bl w:val="nil"/>
            </w:tcBorders>
            <w:vAlign w:val="center"/>
          </w:tcPr>
          <w:p>
            <w:pPr>
              <w:pStyle w:val="22"/>
              <w:bidi w:val="0"/>
              <w:jc w:val="center"/>
              <w:rPr>
                <w:color w:val="0000FF"/>
              </w:rPr>
            </w:pPr>
            <w:r>
              <w:rPr>
                <w:color w:val="0000FF"/>
              </w:rPr>
              <w:t>名称</w:t>
            </w:r>
          </w:p>
        </w:tc>
        <w:tc>
          <w:tcPr>
            <w:tcW w:w="1102" w:type="dxa"/>
            <w:tcBorders>
              <w:tl2br w:val="nil"/>
              <w:tr2bl w:val="nil"/>
            </w:tcBorders>
            <w:vAlign w:val="center"/>
          </w:tcPr>
          <w:p>
            <w:pPr>
              <w:pStyle w:val="22"/>
              <w:bidi w:val="0"/>
              <w:jc w:val="center"/>
              <w:rPr>
                <w:color w:val="0000FF"/>
              </w:rPr>
            </w:pPr>
            <w:r>
              <w:rPr>
                <w:color w:val="0000FF"/>
              </w:rPr>
              <w:t>方位</w:t>
            </w:r>
          </w:p>
        </w:tc>
        <w:tc>
          <w:tcPr>
            <w:tcW w:w="1338" w:type="dxa"/>
            <w:tcBorders>
              <w:tl2br w:val="nil"/>
              <w:tr2bl w:val="nil"/>
            </w:tcBorders>
            <w:vAlign w:val="center"/>
          </w:tcPr>
          <w:p>
            <w:pPr>
              <w:pStyle w:val="22"/>
              <w:bidi w:val="0"/>
              <w:jc w:val="center"/>
              <w:rPr>
                <w:color w:val="0000FF"/>
              </w:rPr>
            </w:pPr>
            <w:r>
              <w:rPr>
                <w:color w:val="0000FF"/>
              </w:rPr>
              <w:t>距离（m）</w:t>
            </w:r>
          </w:p>
        </w:tc>
        <w:tc>
          <w:tcPr>
            <w:tcW w:w="2669" w:type="dxa"/>
            <w:tcBorders>
              <w:tl2br w:val="nil"/>
              <w:tr2bl w:val="nil"/>
            </w:tcBorders>
            <w:vAlign w:val="center"/>
          </w:tcPr>
          <w:p>
            <w:pPr>
              <w:pStyle w:val="22"/>
              <w:bidi w:val="0"/>
              <w:jc w:val="center"/>
              <w:rPr>
                <w:color w:val="0000FF"/>
              </w:rPr>
            </w:pPr>
            <w:r>
              <w:rPr>
                <w:color w:val="0000FF"/>
              </w:rPr>
              <w:t>环境功能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1245" w:type="dxa"/>
            <w:tcBorders>
              <w:tl2br w:val="nil"/>
              <w:tr2bl w:val="nil"/>
            </w:tcBorders>
            <w:vAlign w:val="center"/>
          </w:tcPr>
          <w:p>
            <w:pPr>
              <w:pStyle w:val="22"/>
              <w:bidi w:val="0"/>
              <w:jc w:val="center"/>
              <w:rPr>
                <w:color w:val="0000FF"/>
              </w:rPr>
            </w:pPr>
            <w:r>
              <w:rPr>
                <w:color w:val="0000FF"/>
              </w:rPr>
              <w:t>环境空气</w:t>
            </w:r>
          </w:p>
        </w:tc>
        <w:tc>
          <w:tcPr>
            <w:tcW w:w="207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第十四师225团医院</w:t>
            </w:r>
          </w:p>
        </w:tc>
        <w:tc>
          <w:tcPr>
            <w:tcW w:w="1102" w:type="dxa"/>
            <w:tcBorders>
              <w:tl2br w:val="nil"/>
              <w:tr2bl w:val="nil"/>
            </w:tcBorders>
            <w:vAlign w:val="center"/>
          </w:tcPr>
          <w:p>
            <w:pPr>
              <w:pStyle w:val="22"/>
              <w:bidi w:val="0"/>
              <w:jc w:val="center"/>
              <w:rPr>
                <w:color w:val="0000FF"/>
              </w:rPr>
            </w:pPr>
            <w:r>
              <w:rPr>
                <w:color w:val="0000FF"/>
              </w:rPr>
              <w:t>N</w:t>
            </w:r>
          </w:p>
        </w:tc>
        <w:tc>
          <w:tcPr>
            <w:tcW w:w="1338" w:type="dxa"/>
            <w:tcBorders>
              <w:tl2br w:val="nil"/>
              <w:tr2bl w:val="nil"/>
            </w:tcBorders>
            <w:vAlign w:val="center"/>
          </w:tcPr>
          <w:p>
            <w:pPr>
              <w:pStyle w:val="22"/>
              <w:bidi w:val="0"/>
              <w:jc w:val="center"/>
              <w:rPr>
                <w:color w:val="0000FF"/>
              </w:rPr>
            </w:pPr>
            <w:r>
              <w:rPr>
                <w:color w:val="0000FF"/>
              </w:rPr>
              <w:t>紧邻</w:t>
            </w:r>
          </w:p>
        </w:tc>
        <w:tc>
          <w:tcPr>
            <w:tcW w:w="2669" w:type="dxa"/>
            <w:tcBorders>
              <w:tl2br w:val="nil"/>
              <w:tr2bl w:val="nil"/>
            </w:tcBorders>
            <w:vAlign w:val="center"/>
          </w:tcPr>
          <w:p>
            <w:pPr>
              <w:pStyle w:val="22"/>
              <w:bidi w:val="0"/>
              <w:jc w:val="center"/>
              <w:rPr>
                <w:color w:val="0000FF"/>
              </w:rPr>
            </w:pPr>
            <w:r>
              <w:rPr>
                <w:color w:val="0000FF"/>
              </w:rPr>
              <w:t>《环境空气质量标准》（GB3095-2012）二级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jc w:val="center"/>
        </w:trPr>
        <w:tc>
          <w:tcPr>
            <w:tcW w:w="1245" w:type="dxa"/>
            <w:tcBorders>
              <w:tl2br w:val="nil"/>
              <w:tr2bl w:val="nil"/>
            </w:tcBorders>
            <w:vAlign w:val="center"/>
          </w:tcPr>
          <w:p>
            <w:pPr>
              <w:pStyle w:val="22"/>
              <w:bidi w:val="0"/>
              <w:jc w:val="center"/>
              <w:rPr>
                <w:color w:val="0000FF"/>
              </w:rPr>
            </w:pPr>
            <w:r>
              <w:rPr>
                <w:color w:val="0000FF"/>
              </w:rPr>
              <w:t>地表水</w:t>
            </w:r>
          </w:p>
        </w:tc>
        <w:tc>
          <w:tcPr>
            <w:tcW w:w="2070" w:type="dxa"/>
            <w:tcBorders>
              <w:tl2br w:val="nil"/>
              <w:tr2bl w:val="nil"/>
            </w:tcBorders>
            <w:vAlign w:val="center"/>
          </w:tcPr>
          <w:p>
            <w:pPr>
              <w:pStyle w:val="22"/>
              <w:bidi w:val="0"/>
              <w:jc w:val="center"/>
              <w:rPr>
                <w:color w:val="0000FF"/>
              </w:rPr>
            </w:pPr>
            <w:r>
              <w:rPr>
                <w:rFonts w:hint="eastAsia"/>
                <w:color w:val="0000FF"/>
                <w:lang w:val="en-US" w:eastAsia="zh-CN"/>
              </w:rPr>
              <w:t>拉依苏水库</w:t>
            </w:r>
          </w:p>
        </w:tc>
        <w:tc>
          <w:tcPr>
            <w:tcW w:w="1102"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EN</w:t>
            </w:r>
          </w:p>
        </w:tc>
        <w:tc>
          <w:tcPr>
            <w:tcW w:w="13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300</w:t>
            </w:r>
          </w:p>
        </w:tc>
        <w:tc>
          <w:tcPr>
            <w:tcW w:w="2669" w:type="dxa"/>
            <w:tcBorders>
              <w:tl2br w:val="nil"/>
              <w:tr2bl w:val="nil"/>
            </w:tcBorders>
            <w:vAlign w:val="center"/>
          </w:tcPr>
          <w:p>
            <w:pPr>
              <w:pStyle w:val="22"/>
              <w:bidi w:val="0"/>
              <w:jc w:val="center"/>
              <w:rPr>
                <w:color w:val="0000FF"/>
              </w:rPr>
            </w:pPr>
            <w:r>
              <w:rPr>
                <w:color w:val="0000FF"/>
              </w:rPr>
              <w:t>《地表水环境质量标准》（GB3838-2002）Ⅲ类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tcBorders>
              <w:tl2br w:val="nil"/>
              <w:tr2bl w:val="nil"/>
            </w:tcBorders>
            <w:vAlign w:val="center"/>
          </w:tcPr>
          <w:p>
            <w:pPr>
              <w:pStyle w:val="22"/>
              <w:bidi w:val="0"/>
              <w:jc w:val="center"/>
              <w:rPr>
                <w:color w:val="0000FF"/>
              </w:rPr>
            </w:pPr>
            <w:r>
              <w:rPr>
                <w:color w:val="0000FF"/>
              </w:rPr>
              <w:t>声环境</w:t>
            </w:r>
          </w:p>
        </w:tc>
        <w:tc>
          <w:tcPr>
            <w:tcW w:w="2070" w:type="dxa"/>
            <w:tcBorders>
              <w:tl2br w:val="nil"/>
              <w:tr2bl w:val="nil"/>
            </w:tcBorders>
            <w:vAlign w:val="center"/>
          </w:tcPr>
          <w:p>
            <w:pPr>
              <w:pStyle w:val="22"/>
              <w:bidi w:val="0"/>
              <w:jc w:val="center"/>
              <w:rPr>
                <w:color w:val="0000FF"/>
              </w:rPr>
            </w:pPr>
            <w:r>
              <w:rPr>
                <w:rFonts w:hint="eastAsia"/>
                <w:color w:val="0000FF"/>
                <w:lang w:val="en-US" w:eastAsia="zh-CN"/>
              </w:rPr>
              <w:t>第十四师225团医院</w:t>
            </w:r>
          </w:p>
        </w:tc>
        <w:tc>
          <w:tcPr>
            <w:tcW w:w="1102" w:type="dxa"/>
            <w:tcBorders>
              <w:tl2br w:val="nil"/>
              <w:tr2bl w:val="nil"/>
            </w:tcBorders>
            <w:vAlign w:val="center"/>
          </w:tcPr>
          <w:p>
            <w:pPr>
              <w:pStyle w:val="22"/>
              <w:bidi w:val="0"/>
              <w:jc w:val="center"/>
              <w:rPr>
                <w:color w:val="0000FF"/>
              </w:rPr>
            </w:pPr>
            <w:r>
              <w:rPr>
                <w:color w:val="0000FF"/>
              </w:rPr>
              <w:t>N</w:t>
            </w:r>
          </w:p>
        </w:tc>
        <w:tc>
          <w:tcPr>
            <w:tcW w:w="1338" w:type="dxa"/>
            <w:tcBorders>
              <w:tl2br w:val="nil"/>
              <w:tr2bl w:val="nil"/>
            </w:tcBorders>
            <w:vAlign w:val="center"/>
          </w:tcPr>
          <w:p>
            <w:pPr>
              <w:pStyle w:val="22"/>
              <w:bidi w:val="0"/>
              <w:jc w:val="center"/>
              <w:rPr>
                <w:color w:val="0000FF"/>
              </w:rPr>
            </w:pPr>
            <w:r>
              <w:rPr>
                <w:color w:val="0000FF"/>
              </w:rPr>
              <w:t>紧邻</w:t>
            </w:r>
          </w:p>
        </w:tc>
        <w:tc>
          <w:tcPr>
            <w:tcW w:w="2669" w:type="dxa"/>
            <w:tcBorders>
              <w:tl2br w:val="nil"/>
              <w:tr2bl w:val="nil"/>
            </w:tcBorders>
            <w:vAlign w:val="center"/>
          </w:tcPr>
          <w:p>
            <w:pPr>
              <w:pStyle w:val="22"/>
              <w:bidi w:val="0"/>
              <w:jc w:val="center"/>
              <w:rPr>
                <w:color w:val="0000FF"/>
              </w:rPr>
            </w:pPr>
            <w:r>
              <w:rPr>
                <w:color w:val="0000FF"/>
              </w:rPr>
              <w:t>《声环境质量标准》（GB3096-2008）1类</w:t>
            </w:r>
          </w:p>
        </w:tc>
      </w:tr>
    </w:tbl>
    <w:p>
      <w:pPr>
        <w:pStyle w:val="5"/>
        <w:bidi w:val="0"/>
      </w:pPr>
      <w:bookmarkStart w:id="38" w:name="_Toc23989"/>
      <w:r>
        <w:rPr>
          <w:rFonts w:hint="eastAsia"/>
          <w:lang w:val="en-US" w:eastAsia="zh-CN"/>
        </w:rPr>
        <w:t>2.9</w:t>
      </w:r>
      <w:r>
        <w:t>产业政策与相关政策相符性</w:t>
      </w:r>
      <w:bookmarkEnd w:id="38"/>
    </w:p>
    <w:p>
      <w:pPr>
        <w:pStyle w:val="6"/>
        <w:bidi w:val="0"/>
      </w:pPr>
      <w:bookmarkStart w:id="39" w:name="_Toc3900"/>
      <w:r>
        <w:t>2.</w:t>
      </w:r>
      <w:r>
        <w:rPr>
          <w:rFonts w:hint="eastAsia"/>
          <w:lang w:val="en-US" w:eastAsia="zh-CN"/>
        </w:rPr>
        <w:t>9</w:t>
      </w:r>
      <w:r>
        <w:t>.1产业政策相符性</w:t>
      </w:r>
      <w:bookmarkEnd w:id="39"/>
    </w:p>
    <w:p>
      <w:pPr>
        <w:bidi w:val="0"/>
        <w:rPr>
          <w:color w:val="0000FF"/>
        </w:rPr>
      </w:pPr>
      <w:r>
        <w:rPr>
          <w:color w:val="0000FF"/>
        </w:rPr>
        <w:t>与国家的产业政策相符性见表2.9-1。</w:t>
      </w:r>
    </w:p>
    <w:p>
      <w:pPr>
        <w:pStyle w:val="22"/>
        <w:bidi w:val="0"/>
        <w:rPr>
          <w:b/>
          <w:bCs/>
          <w:color w:val="0000FF"/>
        </w:rPr>
      </w:pPr>
      <w:r>
        <w:rPr>
          <w:b/>
          <w:bCs/>
          <w:color w:val="0000FF"/>
        </w:rPr>
        <w:t>表2.9-1本项目与国家产业政策相符性</w:t>
      </w:r>
    </w:p>
    <w:tbl>
      <w:tblPr>
        <w:tblStyle w:val="23"/>
        <w:tblW w:w="8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3"/>
        <w:gridCol w:w="2284"/>
        <w:gridCol w:w="2927"/>
        <w:gridCol w:w="2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723" w:type="dxa"/>
            <w:tcBorders>
              <w:tl2br w:val="nil"/>
              <w:tr2bl w:val="nil"/>
            </w:tcBorders>
            <w:vAlign w:val="center"/>
          </w:tcPr>
          <w:p>
            <w:pPr>
              <w:pStyle w:val="22"/>
              <w:bidi w:val="0"/>
              <w:jc w:val="center"/>
              <w:rPr>
                <w:color w:val="0000FF"/>
              </w:rPr>
            </w:pPr>
            <w:r>
              <w:rPr>
                <w:color w:val="0000FF"/>
              </w:rPr>
              <w:t>序号</w:t>
            </w:r>
          </w:p>
        </w:tc>
        <w:tc>
          <w:tcPr>
            <w:tcW w:w="2284" w:type="dxa"/>
            <w:tcBorders>
              <w:tl2br w:val="nil"/>
              <w:tr2bl w:val="nil"/>
            </w:tcBorders>
            <w:vAlign w:val="center"/>
          </w:tcPr>
          <w:p>
            <w:pPr>
              <w:pStyle w:val="22"/>
              <w:bidi w:val="0"/>
              <w:jc w:val="center"/>
              <w:rPr>
                <w:color w:val="0000FF"/>
              </w:rPr>
            </w:pPr>
            <w:r>
              <w:rPr>
                <w:color w:val="0000FF"/>
              </w:rPr>
              <w:t>文件</w:t>
            </w:r>
          </w:p>
        </w:tc>
        <w:tc>
          <w:tcPr>
            <w:tcW w:w="2927" w:type="dxa"/>
            <w:tcBorders>
              <w:tl2br w:val="nil"/>
              <w:tr2bl w:val="nil"/>
            </w:tcBorders>
            <w:vAlign w:val="center"/>
          </w:tcPr>
          <w:p>
            <w:pPr>
              <w:pStyle w:val="22"/>
              <w:bidi w:val="0"/>
              <w:jc w:val="center"/>
              <w:rPr>
                <w:color w:val="0000FF"/>
              </w:rPr>
            </w:pPr>
            <w:r>
              <w:rPr>
                <w:color w:val="0000FF"/>
              </w:rPr>
              <w:t>要求</w:t>
            </w:r>
          </w:p>
        </w:tc>
        <w:tc>
          <w:tcPr>
            <w:tcW w:w="2374" w:type="dxa"/>
            <w:tcBorders>
              <w:tl2br w:val="nil"/>
              <w:tr2bl w:val="nil"/>
            </w:tcBorders>
            <w:vAlign w:val="center"/>
          </w:tcPr>
          <w:p>
            <w:pPr>
              <w:pStyle w:val="22"/>
              <w:bidi w:val="0"/>
              <w:jc w:val="center"/>
              <w:rPr>
                <w:color w:val="0000FF"/>
              </w:rPr>
            </w:pPr>
            <w:r>
              <w:rPr>
                <w:color w:val="0000FF"/>
              </w:rPr>
              <w:t>相符性分析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3" w:hRule="atLeast"/>
          <w:jc w:val="center"/>
        </w:trPr>
        <w:tc>
          <w:tcPr>
            <w:tcW w:w="723" w:type="dxa"/>
            <w:tcBorders>
              <w:tl2br w:val="nil"/>
              <w:tr2bl w:val="nil"/>
            </w:tcBorders>
            <w:vAlign w:val="center"/>
          </w:tcPr>
          <w:p>
            <w:pPr>
              <w:pStyle w:val="22"/>
              <w:bidi w:val="0"/>
              <w:jc w:val="center"/>
              <w:rPr>
                <w:color w:val="0000FF"/>
              </w:rPr>
            </w:pPr>
            <w:r>
              <w:rPr>
                <w:color w:val="0000FF"/>
              </w:rPr>
              <w:t>1</w:t>
            </w:r>
          </w:p>
        </w:tc>
        <w:tc>
          <w:tcPr>
            <w:tcW w:w="2284" w:type="dxa"/>
            <w:tcBorders>
              <w:tl2br w:val="nil"/>
              <w:tr2bl w:val="nil"/>
            </w:tcBorders>
            <w:vAlign w:val="center"/>
          </w:tcPr>
          <w:p>
            <w:pPr>
              <w:pStyle w:val="22"/>
              <w:bidi w:val="0"/>
              <w:jc w:val="center"/>
              <w:rPr>
                <w:color w:val="0000FF"/>
              </w:rPr>
            </w:pPr>
            <w:r>
              <w:rPr>
                <w:color w:val="0000FF"/>
              </w:rPr>
              <w:t>产业结构调整指导目录（2019年本）</w:t>
            </w:r>
            <w:r>
              <w:rPr>
                <w:rFonts w:hint="eastAsia"/>
                <w:color w:val="0000FF"/>
                <w:lang w:eastAsia="zh-CN"/>
              </w:rPr>
              <w:t>“</w:t>
            </w:r>
            <w:r>
              <w:rPr>
                <w:color w:val="0000FF"/>
              </w:rPr>
              <w:t>鼓励类</w:t>
            </w:r>
            <w:r>
              <w:rPr>
                <w:rFonts w:hint="eastAsia"/>
                <w:color w:val="0000FF"/>
                <w:lang w:eastAsia="zh-CN"/>
              </w:rPr>
              <w:t>”</w:t>
            </w:r>
            <w:r>
              <w:rPr>
                <w:color w:val="0000FF"/>
              </w:rPr>
              <w:t>中三十七条：卫生健康</w:t>
            </w:r>
          </w:p>
        </w:tc>
        <w:tc>
          <w:tcPr>
            <w:tcW w:w="2927" w:type="dxa"/>
            <w:tcBorders>
              <w:tl2br w:val="nil"/>
              <w:tr2bl w:val="nil"/>
            </w:tcBorders>
            <w:vAlign w:val="center"/>
          </w:tcPr>
          <w:p>
            <w:pPr>
              <w:pStyle w:val="22"/>
              <w:bidi w:val="0"/>
              <w:jc w:val="center"/>
              <w:rPr>
                <w:color w:val="0000FF"/>
              </w:rPr>
            </w:pPr>
            <w:r>
              <w:rPr>
                <w:color w:val="0000FF"/>
              </w:rPr>
              <w:t>第1条：预防保健、卫生应急、卫生监督服务设施建设；</w:t>
            </w:r>
          </w:p>
          <w:p>
            <w:pPr>
              <w:pStyle w:val="22"/>
              <w:bidi w:val="0"/>
              <w:jc w:val="center"/>
              <w:rPr>
                <w:color w:val="0000FF"/>
              </w:rPr>
            </w:pPr>
            <w:r>
              <w:rPr>
                <w:color w:val="0000FF"/>
              </w:rPr>
              <w:t>第5条医疗卫生服务设施建设</w:t>
            </w:r>
          </w:p>
        </w:tc>
        <w:tc>
          <w:tcPr>
            <w:tcW w:w="2374" w:type="dxa"/>
            <w:tcBorders>
              <w:tl2br w:val="nil"/>
              <w:tr2bl w:val="nil"/>
            </w:tcBorders>
            <w:vAlign w:val="center"/>
          </w:tcPr>
          <w:p>
            <w:pPr>
              <w:pStyle w:val="22"/>
              <w:bidi w:val="0"/>
              <w:jc w:val="center"/>
              <w:rPr>
                <w:color w:val="0000FF"/>
              </w:rPr>
            </w:pPr>
            <w:r>
              <w:rPr>
                <w:color w:val="0000FF"/>
              </w:rPr>
              <w:t>符合</w:t>
            </w:r>
          </w:p>
        </w:tc>
      </w:tr>
    </w:tbl>
    <w:p>
      <w:pPr>
        <w:pStyle w:val="6"/>
        <w:bidi w:val="0"/>
        <w:rPr>
          <w:rFonts w:hint="eastAsia"/>
          <w:color w:val="0000FF"/>
          <w:lang w:val="en-US" w:eastAsia="zh-CN"/>
        </w:rPr>
      </w:pPr>
      <w:bookmarkStart w:id="40" w:name="_Toc15176"/>
      <w:r>
        <w:rPr>
          <w:rFonts w:hint="eastAsia"/>
          <w:color w:val="0000FF"/>
          <w:lang w:val="en-US" w:eastAsia="zh-CN"/>
        </w:rPr>
        <w:t>2.9.2三线一单符合性分析</w:t>
      </w:r>
      <w:bookmarkEnd w:id="40"/>
    </w:p>
    <w:p>
      <w:pPr>
        <w:bidi w:val="0"/>
        <w:rPr>
          <w:rFonts w:hint="eastAsia"/>
          <w:color w:val="0000FF"/>
          <w:lang w:val="en-US" w:eastAsia="zh-CN"/>
        </w:rPr>
      </w:pPr>
      <w:r>
        <w:rPr>
          <w:rFonts w:hint="eastAsia"/>
          <w:color w:val="0000FF"/>
          <w:lang w:val="en-US" w:eastAsia="zh-CN"/>
        </w:rPr>
        <w:t>根据中华人民共和国环境保护部环评[2016]150号文《关于以改善环境质量为核心加强环境影响评价管理的通知》与《第十四师昆玉市“三线一单”生态环境分区管控方案》要求：为适应以改善环境质量为核心的环境管理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bidi w:val="0"/>
        <w:rPr>
          <w:rFonts w:hint="default"/>
          <w:color w:val="0000FF"/>
          <w:lang w:val="en-US" w:eastAsia="zh-CN"/>
        </w:rPr>
      </w:pPr>
      <w:bookmarkStart w:id="41" w:name="_Toc26457"/>
      <w:r>
        <w:rPr>
          <w:rFonts w:hint="eastAsia"/>
          <w:color w:val="0000FF"/>
          <w:lang w:val="en-US" w:eastAsia="zh-CN"/>
        </w:rPr>
        <w:t>①与生态红线符合性分析</w:t>
      </w:r>
      <w:bookmarkEnd w:id="41"/>
    </w:p>
    <w:p>
      <w:pPr>
        <w:bidi w:val="0"/>
        <w:rPr>
          <w:color w:val="0000FF"/>
        </w:rPr>
      </w:pPr>
      <w:r>
        <w:rPr>
          <w:rFonts w:hint="eastAsia"/>
          <w:color w:val="0000FF"/>
          <w:lang w:val="en-US" w:eastAsia="zh-CN"/>
        </w:rPr>
        <w:t>按照“生态功能不降低、面积不减少、性质不改变”的基本要求，对划定的生态保护红线实施严格管控，保障和维护地区生态安全的底线和生命线。</w:t>
      </w:r>
    </w:p>
    <w:p>
      <w:pPr>
        <w:bidi w:val="0"/>
        <w:rPr>
          <w:color w:val="0000FF"/>
        </w:rPr>
      </w:pPr>
      <w:r>
        <w:rPr>
          <w:rFonts w:hint="eastAsia"/>
          <w:color w:val="0000FF"/>
          <w:lang w:val="en-US" w:eastAsia="zh-CN"/>
        </w:rPr>
        <w:t>本项目位于第十四师225团，根据《第十四师昆玉市“三线一单”生态环境分区管控方案》，本项目区域属于昆玉市225团一般管控单元，不在生态保护红线内。</w:t>
      </w:r>
    </w:p>
    <w:p>
      <w:pPr>
        <w:bidi w:val="0"/>
        <w:rPr>
          <w:color w:val="0000FF"/>
        </w:rPr>
      </w:pPr>
      <w:bookmarkStart w:id="42" w:name="_Toc22503"/>
      <w:r>
        <w:rPr>
          <w:rFonts w:hint="eastAsia"/>
          <w:color w:val="0000FF"/>
          <w:lang w:val="en-US" w:eastAsia="zh-CN"/>
        </w:rPr>
        <w:t>②与环境质量底线符合性分析</w:t>
      </w:r>
      <w:bookmarkEnd w:id="42"/>
    </w:p>
    <w:p>
      <w:pPr>
        <w:bidi w:val="0"/>
        <w:rPr>
          <w:color w:val="0000FF"/>
        </w:rPr>
      </w:pPr>
      <w:r>
        <w:rPr>
          <w:rFonts w:ascii="宋体" w:hAnsi="宋体" w:eastAsia="宋体" w:cs="宋体"/>
          <w:color w:val="0000FF"/>
          <w:spacing w:val="-2"/>
          <w:sz w:val="24"/>
          <w:szCs w:val="24"/>
        </w:rPr>
        <w:t>本项目污水处理站恶臭经集中收集后通过活性炭吸附后排放，无组织</w:t>
      </w:r>
      <w:r>
        <w:rPr>
          <w:rFonts w:ascii="Times New Roman" w:hAnsi="Times New Roman" w:eastAsia="Times New Roman" w:cs="Times New Roman"/>
          <w:color w:val="0000FF"/>
          <w:spacing w:val="-2"/>
          <w:sz w:val="24"/>
          <w:szCs w:val="24"/>
        </w:rPr>
        <w:t>NH</w:t>
      </w:r>
      <w:r>
        <w:rPr>
          <w:rFonts w:ascii="Times New Roman" w:hAnsi="Times New Roman" w:eastAsia="Times New Roman" w:cs="Times New Roman"/>
          <w:color w:val="0000FF"/>
          <w:spacing w:val="-2"/>
          <w:position w:val="-1"/>
          <w:sz w:val="16"/>
          <w:szCs w:val="16"/>
        </w:rPr>
        <w:t>3</w:t>
      </w:r>
      <w:r>
        <w:rPr>
          <w:rFonts w:ascii="宋体" w:hAnsi="宋体" w:eastAsia="宋体" w:cs="宋体"/>
          <w:color w:val="0000FF"/>
          <w:spacing w:val="-2"/>
          <w:sz w:val="24"/>
          <w:szCs w:val="24"/>
        </w:rPr>
        <w:t>、</w:t>
      </w:r>
      <w:r>
        <w:rPr>
          <w:rFonts w:ascii="Times New Roman" w:hAnsi="Times New Roman" w:eastAsia="Times New Roman" w:cs="Times New Roman"/>
          <w:color w:val="0000FF"/>
          <w:spacing w:val="-4"/>
          <w:sz w:val="24"/>
          <w:szCs w:val="24"/>
        </w:rPr>
        <w:t>H</w:t>
      </w:r>
      <w:r>
        <w:rPr>
          <w:rFonts w:ascii="Times New Roman" w:hAnsi="Times New Roman" w:eastAsia="Times New Roman" w:cs="Times New Roman"/>
          <w:color w:val="0000FF"/>
          <w:spacing w:val="-4"/>
          <w:position w:val="-1"/>
          <w:sz w:val="16"/>
          <w:szCs w:val="16"/>
        </w:rPr>
        <w:t>2</w:t>
      </w:r>
      <w:r>
        <w:rPr>
          <w:rFonts w:ascii="Times New Roman" w:hAnsi="Times New Roman" w:eastAsia="Times New Roman" w:cs="Times New Roman"/>
          <w:color w:val="0000FF"/>
          <w:spacing w:val="-4"/>
          <w:sz w:val="24"/>
          <w:szCs w:val="24"/>
        </w:rPr>
        <w:t>S</w:t>
      </w:r>
      <w:r>
        <w:rPr>
          <w:rFonts w:ascii="宋体" w:hAnsi="宋体" w:eastAsia="宋体" w:cs="宋体"/>
          <w:color w:val="0000FF"/>
          <w:spacing w:val="-4"/>
          <w:sz w:val="24"/>
          <w:szCs w:val="24"/>
        </w:rPr>
        <w:t>四周边界浓度能够满足《医疗机构水污染物排放标准》（</w:t>
      </w:r>
      <w:r>
        <w:rPr>
          <w:rFonts w:ascii="Times New Roman" w:hAnsi="Times New Roman" w:eastAsia="Times New Roman" w:cs="Times New Roman"/>
          <w:color w:val="0000FF"/>
          <w:spacing w:val="-4"/>
          <w:sz w:val="24"/>
          <w:szCs w:val="24"/>
        </w:rPr>
        <w:t>GB18466-2005</w:t>
      </w:r>
      <w:r>
        <w:rPr>
          <w:rFonts w:ascii="宋体" w:hAnsi="宋体" w:eastAsia="宋体" w:cs="宋体"/>
          <w:color w:val="0000FF"/>
          <w:spacing w:val="-4"/>
          <w:sz w:val="24"/>
          <w:szCs w:val="24"/>
        </w:rPr>
        <w:t>）表</w:t>
      </w:r>
      <w:r>
        <w:rPr>
          <w:rFonts w:ascii="Times New Roman" w:hAnsi="Times New Roman" w:eastAsia="Times New Roman" w:cs="Times New Roman"/>
          <w:color w:val="0000FF"/>
          <w:spacing w:val="-6"/>
          <w:sz w:val="24"/>
          <w:szCs w:val="24"/>
        </w:rPr>
        <w:t>3</w:t>
      </w:r>
      <w:r>
        <w:rPr>
          <w:rFonts w:ascii="宋体" w:hAnsi="宋体" w:eastAsia="宋体" w:cs="宋体"/>
          <w:color w:val="0000FF"/>
          <w:spacing w:val="-6"/>
          <w:sz w:val="24"/>
          <w:szCs w:val="24"/>
        </w:rPr>
        <w:t>标准要求；本项目理化实验废水经酸碱中和预处理后、实验楼生活污水经化粪池预处理后与微生物实验室废水一同进入自建污水处理站进行处理；办公楼生活</w:t>
      </w:r>
      <w:r>
        <w:rPr>
          <w:rFonts w:ascii="宋体" w:hAnsi="宋体" w:eastAsia="宋体" w:cs="宋体"/>
          <w:color w:val="0000FF"/>
          <w:spacing w:val="4"/>
          <w:sz w:val="24"/>
          <w:szCs w:val="24"/>
        </w:rPr>
        <w:t>污水经化粪池处理后与前述废水一同经市政污水管网排入</w:t>
      </w:r>
      <w:r>
        <w:rPr>
          <w:rFonts w:hint="eastAsia" w:ascii="宋体" w:hAnsi="宋体" w:eastAsia="宋体" w:cs="宋体"/>
          <w:color w:val="0000FF"/>
          <w:spacing w:val="4"/>
          <w:sz w:val="24"/>
          <w:szCs w:val="24"/>
          <w:lang w:val="en-US" w:eastAsia="zh-CN"/>
        </w:rPr>
        <w:t>225团</w:t>
      </w:r>
      <w:r>
        <w:rPr>
          <w:rFonts w:ascii="宋体" w:hAnsi="宋体" w:eastAsia="宋体" w:cs="宋体"/>
          <w:color w:val="0000FF"/>
          <w:spacing w:val="4"/>
          <w:sz w:val="24"/>
          <w:szCs w:val="24"/>
        </w:rPr>
        <w:t>污水处理厂进</w:t>
      </w:r>
      <w:r>
        <w:rPr>
          <w:rFonts w:ascii="宋体" w:hAnsi="宋体" w:eastAsia="宋体" w:cs="宋体"/>
          <w:color w:val="0000FF"/>
          <w:spacing w:val="-6"/>
          <w:sz w:val="24"/>
          <w:szCs w:val="24"/>
        </w:rPr>
        <w:t>行进一步处理后用于绿化灌溉；项目产生的各项固体废物均能得</w:t>
      </w:r>
      <w:r>
        <w:rPr>
          <w:rFonts w:ascii="宋体" w:hAnsi="宋体" w:eastAsia="宋体" w:cs="宋体"/>
          <w:color w:val="0000FF"/>
          <w:spacing w:val="-3"/>
          <w:sz w:val="24"/>
          <w:szCs w:val="24"/>
        </w:rPr>
        <w:t>到妥善处置。因此，项目各污染物对环境质量的影响很小，不突破所在区域环境</w:t>
      </w:r>
      <w:r>
        <w:rPr>
          <w:rFonts w:hint="eastAsia"/>
          <w:color w:val="0000FF"/>
          <w:lang w:val="en-US" w:eastAsia="zh-CN"/>
        </w:rPr>
        <w:t>质量底线。</w:t>
      </w:r>
    </w:p>
    <w:p>
      <w:pPr>
        <w:bidi w:val="0"/>
        <w:rPr>
          <w:color w:val="0000FF"/>
        </w:rPr>
      </w:pPr>
      <w:bookmarkStart w:id="43" w:name="_Toc22272"/>
      <w:r>
        <w:rPr>
          <w:rFonts w:hint="eastAsia"/>
          <w:color w:val="0000FF"/>
          <w:lang w:val="en-US" w:eastAsia="zh-CN"/>
        </w:rPr>
        <w:t>③与资源利用上限符合性分析</w:t>
      </w:r>
      <w:bookmarkEnd w:id="43"/>
    </w:p>
    <w:p>
      <w:pPr>
        <w:bidi w:val="0"/>
        <w:rPr>
          <w:color w:val="0000FF"/>
        </w:rPr>
      </w:pPr>
      <w:bookmarkStart w:id="44" w:name="_Toc11161"/>
      <w:r>
        <w:rPr>
          <w:color w:val="0000FF"/>
        </w:rPr>
        <w:t>能源消耗：本项目生产运行过程中主要为设备用电，项目生产设备均不属于淘汰类设备，不属于高能耗项目。</w:t>
      </w:r>
    </w:p>
    <w:p>
      <w:pPr>
        <w:bidi w:val="0"/>
        <w:rPr>
          <w:color w:val="0000FF"/>
        </w:rPr>
      </w:pPr>
      <w:r>
        <w:rPr>
          <w:color w:val="0000FF"/>
        </w:rPr>
        <w:t>水资源消耗：本项目用水主要为实验用水以及职工生活用水，用水量均较小，本项目不属于高耗水项目。</w:t>
      </w:r>
    </w:p>
    <w:p>
      <w:pPr>
        <w:bidi w:val="0"/>
        <w:rPr>
          <w:color w:val="0000FF"/>
        </w:rPr>
      </w:pPr>
      <w:r>
        <w:rPr>
          <w:color w:val="0000FF"/>
        </w:rPr>
        <w:t>土地资源：本项目用地性质为医疗</w:t>
      </w:r>
      <w:r>
        <w:rPr>
          <w:rFonts w:hint="eastAsia"/>
          <w:color w:val="0000FF"/>
          <w:lang w:val="en-US" w:eastAsia="zh-CN"/>
        </w:rPr>
        <w:t>保健</w:t>
      </w:r>
      <w:r>
        <w:rPr>
          <w:color w:val="0000FF"/>
        </w:rPr>
        <w:t>用地，不占用基本农田，项目建设符合</w:t>
      </w:r>
      <w:r>
        <w:rPr>
          <w:rFonts w:hint="eastAsia"/>
          <w:color w:val="0000FF"/>
          <w:lang w:val="en-US" w:eastAsia="zh-CN"/>
        </w:rPr>
        <w:t>第十四225团</w:t>
      </w:r>
      <w:r>
        <w:rPr>
          <w:color w:val="0000FF"/>
        </w:rPr>
        <w:t>土地利用总体规划。</w:t>
      </w:r>
    </w:p>
    <w:p>
      <w:pPr>
        <w:bidi w:val="0"/>
        <w:rPr>
          <w:color w:val="0000FF"/>
        </w:rPr>
      </w:pPr>
      <w:r>
        <w:rPr>
          <w:color w:val="0000FF"/>
        </w:rPr>
        <w:t>项目资源消耗量相对区域资源总量较少，各项资源利用均在区域可承载能力范围内，符合资源利用上线要求。</w:t>
      </w:r>
    </w:p>
    <w:p>
      <w:pPr>
        <w:bidi w:val="0"/>
        <w:rPr>
          <w:color w:val="0000FF"/>
        </w:rPr>
      </w:pPr>
      <w:r>
        <w:rPr>
          <w:rFonts w:hint="eastAsia"/>
          <w:color w:val="0000FF"/>
          <w:lang w:val="en-US" w:eastAsia="zh-CN"/>
        </w:rPr>
        <w:t>④与环境准入负面清单符合性分析</w:t>
      </w:r>
      <w:bookmarkEnd w:id="44"/>
    </w:p>
    <w:p>
      <w:pPr>
        <w:bidi w:val="0"/>
        <w:rPr>
          <w:color w:val="0000FF"/>
        </w:rPr>
      </w:pPr>
      <w:r>
        <w:rPr>
          <w:rFonts w:hint="eastAsia"/>
          <w:color w:val="0000FF"/>
          <w:lang w:val="en-US" w:eastAsia="zh-CN"/>
        </w:rPr>
        <w:t>根据《第十四师昆玉市“三线－单”生态环境分区管控方案及生态环境准入清单》本项目所属为文件中昆玉市225团一般管控单元，管控单元编号：ZH65840530001。本项目与其符合情况见表</w:t>
      </w:r>
      <w:r>
        <w:rPr>
          <w:rFonts w:hint="default"/>
          <w:color w:val="0000FF"/>
          <w:lang w:val="en-US" w:eastAsia="zh-CN"/>
        </w:rPr>
        <w:t>1</w:t>
      </w:r>
      <w:r>
        <w:rPr>
          <w:rFonts w:hint="eastAsia"/>
          <w:color w:val="0000FF"/>
          <w:lang w:val="en-US" w:eastAsia="zh-CN"/>
        </w:rPr>
        <w:t>。项目区第十四师昆玉市环境管控单元图见附图4。</w:t>
      </w:r>
    </w:p>
    <w:p>
      <w:pPr>
        <w:pStyle w:val="22"/>
        <w:bidi w:val="0"/>
        <w:rPr>
          <w:b/>
          <w:bCs/>
          <w:color w:val="0000FF"/>
        </w:rPr>
      </w:pPr>
      <w:r>
        <w:rPr>
          <w:rFonts w:hint="eastAsia"/>
          <w:b/>
          <w:bCs/>
          <w:color w:val="0000FF"/>
          <w:lang w:val="en-US" w:eastAsia="zh-CN"/>
        </w:rPr>
        <w:t>表2.9-2项目与第十四师昆玉市“三线一单”生态环境分区管控方案</w:t>
      </w:r>
    </w:p>
    <w:p>
      <w:pPr>
        <w:pStyle w:val="22"/>
        <w:bidi w:val="0"/>
        <w:rPr>
          <w:b/>
          <w:bCs/>
          <w:color w:val="0000FF"/>
        </w:rPr>
      </w:pPr>
      <w:bookmarkStart w:id="45" w:name="_Toc11148"/>
      <w:r>
        <w:rPr>
          <w:rFonts w:hint="eastAsia"/>
          <w:b/>
          <w:bCs/>
          <w:color w:val="0000FF"/>
          <w:lang w:val="en-US" w:eastAsia="zh-CN"/>
        </w:rPr>
        <w:t>及生态环境准入清单符合性分析一览表</w:t>
      </w:r>
      <w:bookmarkEnd w:id="45"/>
    </w:p>
    <w:tbl>
      <w:tblPr>
        <w:tblStyle w:val="18"/>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3396"/>
        <w:gridCol w:w="3262"/>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default"/>
                <w:color w:val="0000FF"/>
              </w:rPr>
              <w:t>内容</w:t>
            </w:r>
          </w:p>
        </w:tc>
        <w:tc>
          <w:tcPr>
            <w:tcW w:w="3396" w:type="dxa"/>
            <w:noWrap w:val="0"/>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eastAsia="zh-CN"/>
              </w:rPr>
              <w:t>要求</w:t>
            </w:r>
          </w:p>
        </w:tc>
        <w:tc>
          <w:tcPr>
            <w:tcW w:w="3262" w:type="dxa"/>
            <w:noWrap w:val="0"/>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符合性分析</w:t>
            </w:r>
          </w:p>
        </w:tc>
        <w:tc>
          <w:tcPr>
            <w:tcW w:w="700" w:type="dxa"/>
            <w:noWrap w:val="0"/>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default"/>
                <w:color w:val="0000FF"/>
                <w:lang w:val="en-US" w:eastAsia="zh-CN"/>
              </w:rPr>
              <w:t>空间布局约束</w:t>
            </w:r>
          </w:p>
        </w:tc>
        <w:tc>
          <w:tcPr>
            <w:tcW w:w="3396" w:type="dxa"/>
            <w:noWrap w:val="0"/>
            <w:vAlign w:val="center"/>
          </w:tcPr>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农田：</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（1）完善农田防护林。</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湿地：</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（2）225团的湿地等重要生态功能区，土地开发应加强科学论证、适度开发。保护好河湖湿地生境，禁止未经法定许可占用水域；建设项目不得影响河道自然形态和河湖水生态</w:t>
            </w:r>
            <w:r>
              <w:rPr>
                <w:rFonts w:hint="eastAsia"/>
                <w:color w:val="0000FF"/>
                <w:lang w:val="en-US" w:eastAsia="zh-CN"/>
              </w:rPr>
              <w:t>（</w:t>
            </w:r>
            <w:r>
              <w:rPr>
                <w:rFonts w:hint="default"/>
                <w:color w:val="0000FF"/>
                <w:lang w:val="en-US" w:eastAsia="zh-CN"/>
              </w:rPr>
              <w:t>环境</w:t>
            </w:r>
            <w:r>
              <w:rPr>
                <w:rFonts w:hint="eastAsia"/>
                <w:color w:val="0000FF"/>
                <w:lang w:val="en-US" w:eastAsia="zh-CN"/>
              </w:rPr>
              <w:t>）</w:t>
            </w:r>
            <w:r>
              <w:rPr>
                <w:rFonts w:hint="default"/>
                <w:color w:val="0000FF"/>
                <w:lang w:val="en-US" w:eastAsia="zh-CN"/>
              </w:rPr>
              <w:t>功能。</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荒漠：</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（3）严格禁止破坏沙漠边缘的现有绿色生态保护屏障，不可随意开垦半荒漠土地，同时要主动加大该区域的绿化面积。加强自然植被保护，持续开展防沙治沙工作，保护绿洲边缘荒漠林。</w:t>
            </w:r>
          </w:p>
        </w:tc>
        <w:tc>
          <w:tcPr>
            <w:tcW w:w="3262" w:type="dxa"/>
            <w:noWrap w:val="0"/>
            <w:vAlign w:val="center"/>
          </w:tcPr>
          <w:p>
            <w:pPr>
              <w:pStyle w:val="22"/>
              <w:keepNext w:val="0"/>
              <w:keepLines w:val="0"/>
              <w:suppressLineNumbers w:val="0"/>
              <w:bidi w:val="0"/>
              <w:spacing w:before="0" w:beforeAutospacing="0" w:after="0" w:afterAutospacing="0"/>
              <w:ind w:left="0" w:right="0"/>
              <w:rPr>
                <w:rFonts w:hint="default"/>
                <w:color w:val="0000FF"/>
              </w:rPr>
            </w:pPr>
          </w:p>
          <w:p>
            <w:pPr>
              <w:pStyle w:val="22"/>
              <w:keepNext w:val="0"/>
              <w:keepLines w:val="0"/>
              <w:suppressLineNumbers w:val="0"/>
              <w:bidi w:val="0"/>
              <w:spacing w:before="0" w:beforeAutospacing="0" w:after="0" w:afterAutospacing="0"/>
              <w:ind w:left="0" w:right="0"/>
              <w:rPr>
                <w:rFonts w:hint="default"/>
                <w:color w:val="0000FF"/>
              </w:rPr>
            </w:pPr>
          </w:p>
          <w:p>
            <w:pPr>
              <w:pStyle w:val="22"/>
              <w:keepNext w:val="0"/>
              <w:keepLines w:val="0"/>
              <w:suppressLineNumbers w:val="0"/>
              <w:bidi w:val="0"/>
              <w:spacing w:before="0" w:beforeAutospacing="0" w:after="0" w:afterAutospacing="0"/>
              <w:ind w:left="0" w:right="0"/>
              <w:rPr>
                <w:rFonts w:hint="eastAsia"/>
                <w:color w:val="0000FF"/>
                <w:lang w:eastAsia="zh-CN"/>
              </w:rPr>
            </w:pPr>
            <w:r>
              <w:rPr>
                <w:rFonts w:hint="eastAsia"/>
                <w:color w:val="0000FF"/>
                <w:lang w:eastAsia="zh-CN"/>
              </w:rPr>
              <w:t>本项目</w:t>
            </w:r>
            <w:r>
              <w:rPr>
                <w:rFonts w:hint="eastAsia"/>
                <w:color w:val="0000FF"/>
                <w:lang w:val="en-US" w:eastAsia="zh-CN"/>
              </w:rPr>
              <w:t>总建筑面积800m</w:t>
            </w:r>
            <w:r>
              <w:rPr>
                <w:rFonts w:hint="eastAsia"/>
                <w:color w:val="0000FF"/>
                <w:vertAlign w:val="superscript"/>
                <w:lang w:val="en-US" w:eastAsia="zh-CN"/>
              </w:rPr>
              <w:t>2</w:t>
            </w:r>
            <w:r>
              <w:rPr>
                <w:rFonts w:hint="eastAsia"/>
                <w:color w:val="0000FF"/>
                <w:lang w:val="en-US" w:eastAsia="zh-CN"/>
              </w:rPr>
              <w:t>，选址位于第十四225团规划</w:t>
            </w:r>
            <w:r>
              <w:rPr>
                <w:rFonts w:hint="eastAsia"/>
                <w:color w:val="0000FF"/>
                <w:lang w:eastAsia="zh-CN"/>
              </w:rPr>
              <w:t>医疗</w:t>
            </w:r>
            <w:r>
              <w:rPr>
                <w:rFonts w:hint="eastAsia"/>
                <w:color w:val="0000FF"/>
                <w:lang w:val="en-US" w:eastAsia="zh-CN"/>
              </w:rPr>
              <w:t>保健</w:t>
            </w:r>
            <w:r>
              <w:rPr>
                <w:rFonts w:hint="eastAsia"/>
                <w:color w:val="0000FF"/>
                <w:lang w:eastAsia="zh-CN"/>
              </w:rPr>
              <w:t>用地，不占用基本农田，</w:t>
            </w:r>
            <w:r>
              <w:rPr>
                <w:rFonts w:hint="eastAsia"/>
                <w:color w:val="0000FF"/>
                <w:lang w:val="en-US" w:eastAsia="zh-CN"/>
              </w:rPr>
              <w:t>地表植被均为新疆常见树种，本项目的建设占地面积较小，原有土地地表植被覆盖度极低，根据规划，项目所在医疗保健用地</w:t>
            </w:r>
            <w:r>
              <w:rPr>
                <w:rFonts w:hint="default"/>
                <w:color w:val="0000FF"/>
              </w:rPr>
              <w:t>沿道路的两边为主要绿化带，在绿化广场。树种采用乔木与灌木、长绿与落叶搭配，各种四季花草巧点缀的原则，选择适合该团生长的树种，医院功能分区均用道路和绿化分开，室外广种树木、花卉、草坪，绿化率达40%以上，以保证小环境的文明整洁。</w:t>
            </w:r>
            <w:r>
              <w:rPr>
                <w:rFonts w:hint="eastAsia"/>
                <w:color w:val="0000FF"/>
                <w:lang w:val="en-US" w:eastAsia="zh-CN"/>
              </w:rPr>
              <w:t>有利于项目区防沙治沙。</w:t>
            </w:r>
          </w:p>
          <w:p>
            <w:pPr>
              <w:pStyle w:val="22"/>
              <w:keepNext w:val="0"/>
              <w:keepLines w:val="0"/>
              <w:suppressLineNumbers w:val="0"/>
              <w:bidi w:val="0"/>
              <w:spacing w:before="0" w:beforeAutospacing="0" w:after="0" w:afterAutospacing="0"/>
              <w:ind w:left="0" w:right="0"/>
              <w:rPr>
                <w:rFonts w:hint="default"/>
                <w:color w:val="0000FF"/>
              </w:rPr>
            </w:pPr>
          </w:p>
        </w:tc>
        <w:tc>
          <w:tcPr>
            <w:tcW w:w="700" w:type="dxa"/>
            <w:noWrap w:val="0"/>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6"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污染物排放管控</w:t>
            </w:r>
          </w:p>
          <w:p>
            <w:pPr>
              <w:pStyle w:val="22"/>
              <w:keepNext w:val="0"/>
              <w:keepLines w:val="0"/>
              <w:suppressLineNumbers w:val="0"/>
              <w:bidi w:val="0"/>
              <w:spacing w:before="0" w:beforeAutospacing="0" w:after="0" w:afterAutospacing="0"/>
              <w:ind w:left="0" w:right="0"/>
              <w:rPr>
                <w:rFonts w:hint="default"/>
                <w:color w:val="0000FF"/>
              </w:rPr>
            </w:pPr>
          </w:p>
        </w:tc>
        <w:tc>
          <w:tcPr>
            <w:tcW w:w="3396" w:type="dxa"/>
            <w:noWrap w:val="0"/>
            <w:vAlign w:val="center"/>
          </w:tcPr>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农田：</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（1）严格控制农药使用，逐步削减农业面源污染物排放量。离县城和乡镇较远的村庄，生活垃圾可就近采取无害化处置。</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（2）推动秸秆还田与离田收集，禁止焚烧秸秆。</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水域：</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（3）严格对现有生活居民产生的生活污水进行收集处理，科学、合理地使用农药、化肥；加强垃圾、农业面源污染的预防治理，禁止向水域排放污水、倾倒垃圾及其他废弃物。</w:t>
            </w:r>
          </w:p>
        </w:tc>
        <w:tc>
          <w:tcPr>
            <w:tcW w:w="3262" w:type="dxa"/>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本项目污水处理站恶臭经集中收集后通过活性炭吸附后排放，无组织NH</w:t>
            </w:r>
            <w:r>
              <w:rPr>
                <w:rFonts w:hint="default"/>
                <w:color w:val="0000FF"/>
                <w:vertAlign w:val="subscript"/>
                <w:lang w:val="en-US" w:eastAsia="zh-CN"/>
              </w:rPr>
              <w:t>3</w:t>
            </w:r>
            <w:r>
              <w:rPr>
                <w:rFonts w:hint="default"/>
                <w:color w:val="0000FF"/>
                <w:lang w:val="en-US" w:eastAsia="zh-CN"/>
              </w:rPr>
              <w:t>、H</w:t>
            </w:r>
            <w:r>
              <w:rPr>
                <w:rFonts w:hint="default"/>
                <w:color w:val="0000FF"/>
                <w:vertAlign w:val="subscript"/>
                <w:lang w:val="en-US" w:eastAsia="zh-CN"/>
              </w:rPr>
              <w:t>2</w:t>
            </w:r>
            <w:r>
              <w:rPr>
                <w:rFonts w:hint="default"/>
                <w:color w:val="0000FF"/>
                <w:lang w:val="en-US" w:eastAsia="zh-CN"/>
              </w:rPr>
              <w:t>S四周边界浓度能够满足《医疗机构水污染物排放标准》（GB18466-2005）表3标准要求；本项目理化实验废水经酸碱中和预处理后、实验楼生活污水经化粪池预处理后与微生物实验室废水一同进入自建污水处理站进行处理；办公楼生活污水经化粪池处理后与前述废水一同经市政污水管网排入225团污水处理厂进行进一步处理后用于下游生态林绿化灌溉；</w:t>
            </w:r>
            <w:r>
              <w:rPr>
                <w:rFonts w:hint="eastAsia"/>
                <w:color w:val="0000FF"/>
                <w:lang w:val="en-US" w:eastAsia="zh-CN"/>
              </w:rPr>
              <w:t>一般固体废弃物委托环卫部门定时清运，危险废物</w:t>
            </w:r>
            <w:r>
              <w:rPr>
                <w:rFonts w:hint="default"/>
                <w:color w:val="0000FF"/>
              </w:rPr>
              <w:t>暂存于危废暂存间，委托有危废资质单位处理</w:t>
            </w:r>
          </w:p>
        </w:tc>
        <w:tc>
          <w:tcPr>
            <w:tcW w:w="700" w:type="dxa"/>
            <w:noWrap w:val="0"/>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7"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环境风险防控</w:t>
            </w:r>
          </w:p>
        </w:tc>
        <w:tc>
          <w:tcPr>
            <w:tcW w:w="3396" w:type="dxa"/>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w:t>
            </w:r>
          </w:p>
        </w:tc>
        <w:tc>
          <w:tcPr>
            <w:tcW w:w="3262" w:type="dxa"/>
            <w:noWrap w:val="0"/>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w:t>
            </w:r>
          </w:p>
        </w:tc>
        <w:tc>
          <w:tcPr>
            <w:tcW w:w="700" w:type="dxa"/>
            <w:noWrap w:val="0"/>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资源利用效率</w:t>
            </w:r>
          </w:p>
          <w:p>
            <w:pPr>
              <w:pStyle w:val="22"/>
              <w:keepNext w:val="0"/>
              <w:keepLines w:val="0"/>
              <w:suppressLineNumbers w:val="0"/>
              <w:bidi w:val="0"/>
              <w:spacing w:before="0" w:beforeAutospacing="0" w:after="0" w:afterAutospacing="0"/>
              <w:ind w:left="0" w:right="0"/>
              <w:rPr>
                <w:rFonts w:hint="default"/>
                <w:color w:val="0000FF"/>
              </w:rPr>
            </w:pPr>
          </w:p>
        </w:tc>
        <w:tc>
          <w:tcPr>
            <w:tcW w:w="3396" w:type="dxa"/>
            <w:noWrap w:val="0"/>
            <w:vAlign w:val="center"/>
          </w:tcPr>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农田：</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（1）改善灌溉基础设施，发展节水农林业，控制种植高耗水作物。</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（2）发展以喷滴灌和渠道防渗为中心的节水农业。严禁随意开发尚不具备开发条件的农业后备资源，加强保护和规划。</w:t>
            </w:r>
          </w:p>
          <w:p>
            <w:pPr>
              <w:pStyle w:val="22"/>
              <w:keepNext w:val="0"/>
              <w:keepLines w:val="0"/>
              <w:suppressLineNumbers w:val="0"/>
              <w:bidi w:val="0"/>
              <w:spacing w:before="0" w:beforeAutospacing="0" w:after="0" w:afterAutospacing="0"/>
              <w:ind w:left="0" w:right="0"/>
              <w:jc w:val="left"/>
              <w:rPr>
                <w:rFonts w:hint="default"/>
                <w:color w:val="0000FF"/>
              </w:rPr>
            </w:pPr>
            <w:r>
              <w:rPr>
                <w:rFonts w:hint="default"/>
                <w:color w:val="0000FF"/>
                <w:lang w:val="en-US" w:eastAsia="zh-CN"/>
              </w:rPr>
              <w:t>（3）积极推进综合利用各种建筑废弃物及秸秆、地膜、畜禽粪便</w:t>
            </w:r>
            <w:r>
              <w:rPr>
                <w:rFonts w:hint="eastAsia"/>
                <w:color w:val="0000FF"/>
                <w:lang w:val="en-US" w:eastAsia="zh-CN"/>
              </w:rPr>
              <w:t>。</w:t>
            </w:r>
          </w:p>
          <w:p>
            <w:pPr>
              <w:pStyle w:val="22"/>
              <w:keepNext w:val="0"/>
              <w:keepLines w:val="0"/>
              <w:suppressLineNumbers w:val="0"/>
              <w:bidi w:val="0"/>
              <w:spacing w:before="0" w:beforeAutospacing="0" w:after="0" w:afterAutospacing="0"/>
              <w:ind w:left="0" w:right="0"/>
              <w:jc w:val="left"/>
              <w:rPr>
                <w:rFonts w:hint="default"/>
                <w:color w:val="0000FF"/>
              </w:rPr>
            </w:pPr>
          </w:p>
        </w:tc>
        <w:tc>
          <w:tcPr>
            <w:tcW w:w="3262" w:type="dxa"/>
            <w:noWrap w:val="0"/>
            <w:vAlign w:val="center"/>
          </w:tcPr>
          <w:p>
            <w:pPr>
              <w:pStyle w:val="22"/>
              <w:keepNext w:val="0"/>
              <w:keepLines w:val="0"/>
              <w:suppressLineNumbers w:val="0"/>
              <w:bidi w:val="0"/>
              <w:spacing w:before="0" w:beforeAutospacing="0" w:after="0" w:afterAutospacing="0"/>
              <w:ind w:left="0" w:right="0"/>
              <w:rPr>
                <w:rFonts w:hint="eastAsia" w:eastAsia="宋体"/>
                <w:color w:val="0000FF"/>
                <w:lang w:val="en-US" w:eastAsia="zh-CN"/>
              </w:rPr>
            </w:pPr>
            <w:r>
              <w:rPr>
                <w:rFonts w:hint="eastAsia"/>
                <w:color w:val="0000FF"/>
                <w:lang w:val="en-US" w:eastAsia="zh-CN"/>
              </w:rPr>
              <w:t>本项目为疾控中心建设项目，</w:t>
            </w:r>
            <w:r>
              <w:rPr>
                <w:rFonts w:hint="default"/>
                <w:color w:val="0000FF"/>
              </w:rPr>
              <w:t>生产运行过程中主要为设备用电</w:t>
            </w:r>
            <w:r>
              <w:rPr>
                <w:rFonts w:hint="eastAsia"/>
                <w:color w:val="0000FF"/>
                <w:lang w:eastAsia="zh-CN"/>
              </w:rPr>
              <w:t>。</w:t>
            </w:r>
          </w:p>
        </w:tc>
        <w:tc>
          <w:tcPr>
            <w:tcW w:w="700" w:type="dxa"/>
            <w:noWrap w:val="0"/>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符合</w:t>
            </w:r>
          </w:p>
        </w:tc>
      </w:tr>
    </w:tbl>
    <w:p>
      <w:pPr>
        <w:pStyle w:val="6"/>
        <w:bidi w:val="0"/>
        <w:rPr>
          <w:rFonts w:hint="eastAsia"/>
          <w:color w:val="0000FF"/>
          <w:lang w:val="en-US" w:eastAsia="zh-CN"/>
        </w:rPr>
      </w:pPr>
      <w:bookmarkStart w:id="46" w:name="_Toc21358"/>
      <w:r>
        <w:rPr>
          <w:rFonts w:hint="eastAsia"/>
          <w:color w:val="0000FF"/>
          <w:lang w:val="en-US" w:eastAsia="zh-CN"/>
        </w:rPr>
        <w:t>2.9.3选址符合性分析</w:t>
      </w:r>
      <w:bookmarkEnd w:id="46"/>
    </w:p>
    <w:p>
      <w:pPr>
        <w:bidi w:val="0"/>
        <w:rPr>
          <w:color w:val="0000FF"/>
        </w:rPr>
      </w:pPr>
      <w:r>
        <w:rPr>
          <w:color w:val="0000FF"/>
        </w:rPr>
        <w:t>根据《疾病预防控制中心建筑技术规范》（GB50881-2013）中对疾控中心选址的要求，结合本项目选址分析见表2.9-</w:t>
      </w:r>
      <w:r>
        <w:rPr>
          <w:rFonts w:hint="eastAsia"/>
          <w:color w:val="0000FF"/>
          <w:lang w:val="en-US" w:eastAsia="zh-CN"/>
        </w:rPr>
        <w:t>3</w:t>
      </w:r>
      <w:r>
        <w:rPr>
          <w:color w:val="0000FF"/>
        </w:rPr>
        <w:t>。</w:t>
      </w:r>
    </w:p>
    <w:p>
      <w:pPr>
        <w:pStyle w:val="22"/>
        <w:bidi w:val="0"/>
        <w:rPr>
          <w:rFonts w:hint="default"/>
          <w:b/>
          <w:bCs/>
          <w:color w:val="0000FF"/>
          <w:lang w:val="en-US" w:eastAsia="zh-CN"/>
        </w:rPr>
      </w:pPr>
      <w:r>
        <w:rPr>
          <w:b/>
          <w:bCs/>
          <w:color w:val="0000FF"/>
        </w:rPr>
        <w:t>表2.9-</w:t>
      </w:r>
      <w:r>
        <w:rPr>
          <w:rFonts w:hint="eastAsia"/>
          <w:b/>
          <w:bCs/>
          <w:color w:val="0000FF"/>
          <w:lang w:val="en-US" w:eastAsia="zh-CN"/>
        </w:rPr>
        <w:t>3</w:t>
      </w:r>
      <w:r>
        <w:rPr>
          <w:b/>
          <w:bCs/>
          <w:color w:val="0000FF"/>
        </w:rPr>
        <w:t>项目选址与（GB50881-2013）要求对比一览表</w:t>
      </w:r>
    </w:p>
    <w:tbl>
      <w:tblPr>
        <w:tblStyle w:val="23"/>
        <w:tblW w:w="85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6"/>
        <w:gridCol w:w="3550"/>
        <w:gridCol w:w="3414"/>
        <w:gridCol w:w="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806" w:type="dxa"/>
            <w:tcBorders>
              <w:tl2br w:val="nil"/>
              <w:tr2bl w:val="nil"/>
            </w:tcBorders>
            <w:vAlign w:val="center"/>
          </w:tcPr>
          <w:p>
            <w:pPr>
              <w:pStyle w:val="22"/>
              <w:bidi w:val="0"/>
              <w:jc w:val="center"/>
              <w:rPr>
                <w:color w:val="0000FF"/>
              </w:rPr>
            </w:pPr>
            <w:r>
              <w:rPr>
                <w:color w:val="0000FF"/>
              </w:rPr>
              <w:t>项目</w:t>
            </w:r>
          </w:p>
        </w:tc>
        <w:tc>
          <w:tcPr>
            <w:tcW w:w="3550" w:type="dxa"/>
            <w:tcBorders>
              <w:tl2br w:val="nil"/>
              <w:tr2bl w:val="nil"/>
            </w:tcBorders>
            <w:vAlign w:val="center"/>
          </w:tcPr>
          <w:p>
            <w:pPr>
              <w:pStyle w:val="22"/>
              <w:bidi w:val="0"/>
              <w:jc w:val="center"/>
              <w:rPr>
                <w:color w:val="0000FF"/>
              </w:rPr>
            </w:pPr>
            <w:r>
              <w:rPr>
                <w:color w:val="0000FF"/>
              </w:rPr>
              <w:t>（GB50881-2013）要求</w:t>
            </w:r>
          </w:p>
        </w:tc>
        <w:tc>
          <w:tcPr>
            <w:tcW w:w="3414" w:type="dxa"/>
            <w:tcBorders>
              <w:tl2br w:val="nil"/>
              <w:tr2bl w:val="nil"/>
            </w:tcBorders>
            <w:vAlign w:val="center"/>
          </w:tcPr>
          <w:p>
            <w:pPr>
              <w:pStyle w:val="22"/>
              <w:bidi w:val="0"/>
              <w:jc w:val="center"/>
              <w:rPr>
                <w:color w:val="0000FF"/>
              </w:rPr>
            </w:pPr>
            <w:r>
              <w:rPr>
                <w:color w:val="0000FF"/>
              </w:rPr>
              <w:t>本项目</w:t>
            </w:r>
          </w:p>
        </w:tc>
        <w:tc>
          <w:tcPr>
            <w:tcW w:w="808" w:type="dxa"/>
            <w:tcBorders>
              <w:tl2br w:val="nil"/>
              <w:tr2bl w:val="nil"/>
            </w:tcBorders>
            <w:vAlign w:val="center"/>
          </w:tcPr>
          <w:p>
            <w:pPr>
              <w:pStyle w:val="22"/>
              <w:bidi w:val="0"/>
              <w:jc w:val="center"/>
              <w:rPr>
                <w:color w:val="0000FF"/>
              </w:rPr>
            </w:pPr>
            <w:r>
              <w:rPr>
                <w:color w:val="0000FF"/>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06" w:type="dxa"/>
            <w:vMerge w:val="restart"/>
            <w:tcBorders>
              <w:tl2br w:val="nil"/>
              <w:tr2bl w:val="nil"/>
            </w:tcBorders>
            <w:vAlign w:val="center"/>
          </w:tcPr>
          <w:p>
            <w:pPr>
              <w:pStyle w:val="22"/>
              <w:bidi w:val="0"/>
              <w:jc w:val="center"/>
              <w:rPr>
                <w:color w:val="0000FF"/>
              </w:rPr>
            </w:pPr>
            <w:r>
              <w:rPr>
                <w:color w:val="0000FF"/>
              </w:rPr>
              <w:t>选址</w:t>
            </w:r>
          </w:p>
        </w:tc>
        <w:tc>
          <w:tcPr>
            <w:tcW w:w="3550" w:type="dxa"/>
            <w:tcBorders>
              <w:tl2br w:val="nil"/>
              <w:tr2bl w:val="nil"/>
            </w:tcBorders>
            <w:vAlign w:val="center"/>
          </w:tcPr>
          <w:p>
            <w:pPr>
              <w:pStyle w:val="22"/>
              <w:bidi w:val="0"/>
              <w:jc w:val="center"/>
              <w:rPr>
                <w:color w:val="0000FF"/>
              </w:rPr>
            </w:pPr>
            <w:r>
              <w:rPr>
                <w:color w:val="0000FF"/>
              </w:rPr>
              <w:t>疾控中心的选址，应符合所在城市的总体规划和布局要求</w:t>
            </w:r>
          </w:p>
        </w:tc>
        <w:tc>
          <w:tcPr>
            <w:tcW w:w="3414" w:type="dxa"/>
            <w:vMerge w:val="restart"/>
            <w:tcBorders>
              <w:tl2br w:val="nil"/>
              <w:tr2bl w:val="nil"/>
            </w:tcBorders>
            <w:vAlign w:val="center"/>
          </w:tcPr>
          <w:p>
            <w:pPr>
              <w:pStyle w:val="22"/>
              <w:bidi w:val="0"/>
              <w:jc w:val="center"/>
              <w:rPr>
                <w:rFonts w:hint="eastAsia" w:eastAsia="宋体"/>
                <w:color w:val="0000FF"/>
                <w:lang w:val="en-US" w:eastAsia="zh-CN"/>
              </w:rPr>
            </w:pPr>
            <w:r>
              <w:rPr>
                <w:color w:val="0000FF"/>
              </w:rPr>
              <w:t>本项目</w:t>
            </w:r>
            <w:r>
              <w:rPr>
                <w:rFonts w:hint="eastAsia"/>
                <w:color w:val="0000FF"/>
                <w:lang w:val="en-US" w:eastAsia="zh-CN"/>
              </w:rPr>
              <w:t>位于225团规划医疗保健用地</w:t>
            </w:r>
            <w:r>
              <w:rPr>
                <w:color w:val="0000FF"/>
              </w:rPr>
              <w:t>，地势平坦、供电及排水便利，有利于交通流线组织，各项基础设施齐全。符合疾病预防控制中心的选址原则</w:t>
            </w:r>
          </w:p>
        </w:tc>
        <w:tc>
          <w:tcPr>
            <w:tcW w:w="808" w:type="dxa"/>
            <w:vMerge w:val="restart"/>
            <w:tcBorders>
              <w:tl2br w:val="nil"/>
              <w:tr2bl w:val="nil"/>
            </w:tcBorders>
            <w:vAlign w:val="center"/>
          </w:tcPr>
          <w:p>
            <w:pPr>
              <w:pStyle w:val="22"/>
              <w:bidi w:val="0"/>
              <w:jc w:val="center"/>
              <w:rPr>
                <w:color w:val="0000FF"/>
              </w:rPr>
            </w:pPr>
          </w:p>
          <w:p>
            <w:pPr>
              <w:pStyle w:val="22"/>
              <w:bidi w:val="0"/>
              <w:jc w:val="center"/>
              <w:rPr>
                <w:color w:val="0000FF"/>
              </w:rPr>
            </w:pPr>
          </w:p>
          <w:p>
            <w:pPr>
              <w:pStyle w:val="22"/>
              <w:bidi w:val="0"/>
              <w:jc w:val="center"/>
              <w:rPr>
                <w:color w:val="0000FF"/>
              </w:rPr>
            </w:pPr>
          </w:p>
          <w:p>
            <w:pPr>
              <w:pStyle w:val="22"/>
              <w:bidi w:val="0"/>
              <w:jc w:val="center"/>
              <w:rPr>
                <w:color w:val="0000FF"/>
              </w:rPr>
            </w:pPr>
          </w:p>
          <w:p>
            <w:pPr>
              <w:pStyle w:val="22"/>
              <w:bidi w:val="0"/>
              <w:jc w:val="center"/>
              <w:rPr>
                <w:color w:val="0000FF"/>
              </w:rPr>
            </w:pPr>
          </w:p>
          <w:p>
            <w:pPr>
              <w:pStyle w:val="22"/>
              <w:bidi w:val="0"/>
              <w:jc w:val="center"/>
              <w:rPr>
                <w:color w:val="0000FF"/>
              </w:rPr>
            </w:pPr>
          </w:p>
          <w:p>
            <w:pPr>
              <w:pStyle w:val="22"/>
              <w:bidi w:val="0"/>
              <w:jc w:val="center"/>
              <w:rPr>
                <w:color w:val="0000FF"/>
              </w:rPr>
            </w:pPr>
          </w:p>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疾控中心选址应具备较好的工程地质条件和水文地质条件</w:t>
            </w:r>
          </w:p>
        </w:tc>
        <w:tc>
          <w:tcPr>
            <w:tcW w:w="3414" w:type="dxa"/>
            <w:vMerge w:val="continue"/>
            <w:tcBorders>
              <w:tl2br w:val="nil"/>
              <w:tr2bl w:val="nil"/>
            </w:tcBorders>
            <w:vAlign w:val="center"/>
          </w:tcPr>
          <w:p>
            <w:pPr>
              <w:pStyle w:val="22"/>
              <w:bidi w:val="0"/>
              <w:jc w:val="center"/>
              <w:rPr>
                <w:color w:val="0000FF"/>
              </w:rPr>
            </w:pP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周边</w:t>
            </w:r>
            <w:r>
              <w:rPr>
                <w:rFonts w:hint="eastAsia"/>
                <w:color w:val="0000FF"/>
                <w:lang w:eastAsia="zh-CN"/>
              </w:rPr>
              <w:t>已有</w:t>
            </w:r>
            <w:r>
              <w:rPr>
                <w:color w:val="0000FF"/>
              </w:rPr>
              <w:t>便利的水、电、路等公用基础设施</w:t>
            </w:r>
          </w:p>
        </w:tc>
        <w:tc>
          <w:tcPr>
            <w:tcW w:w="3414" w:type="dxa"/>
            <w:vMerge w:val="continue"/>
            <w:tcBorders>
              <w:tl2br w:val="nil"/>
              <w:tr2bl w:val="nil"/>
            </w:tcBorders>
            <w:vAlign w:val="center"/>
          </w:tcPr>
          <w:p>
            <w:pPr>
              <w:pStyle w:val="22"/>
              <w:bidi w:val="0"/>
              <w:jc w:val="center"/>
              <w:rPr>
                <w:color w:val="0000FF"/>
              </w:rPr>
            </w:pP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地形应规整，交通方便</w:t>
            </w:r>
          </w:p>
        </w:tc>
        <w:tc>
          <w:tcPr>
            <w:tcW w:w="3414" w:type="dxa"/>
            <w:vMerge w:val="continue"/>
            <w:tcBorders>
              <w:tl2br w:val="nil"/>
              <w:tr2bl w:val="nil"/>
            </w:tcBorders>
            <w:vAlign w:val="center"/>
          </w:tcPr>
          <w:p>
            <w:pPr>
              <w:pStyle w:val="22"/>
              <w:bidi w:val="0"/>
              <w:jc w:val="center"/>
              <w:rPr>
                <w:color w:val="0000FF"/>
              </w:rPr>
            </w:pP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应避让饮用水源保护区</w:t>
            </w:r>
          </w:p>
        </w:tc>
        <w:tc>
          <w:tcPr>
            <w:tcW w:w="3414" w:type="dxa"/>
            <w:tcBorders>
              <w:tl2br w:val="nil"/>
              <w:tr2bl w:val="nil"/>
            </w:tcBorders>
            <w:vAlign w:val="center"/>
          </w:tcPr>
          <w:p>
            <w:pPr>
              <w:pStyle w:val="22"/>
              <w:bidi w:val="0"/>
              <w:jc w:val="center"/>
              <w:rPr>
                <w:color w:val="0000FF"/>
              </w:rPr>
            </w:pPr>
            <w:r>
              <w:rPr>
                <w:color w:val="0000FF"/>
              </w:rPr>
              <w:t>项目不在饮用水源保护区内</w:t>
            </w: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应避开化学、生物、噪声、振动、强电磁场等污染源、干扰源及易燃易爆场所</w:t>
            </w:r>
          </w:p>
        </w:tc>
        <w:tc>
          <w:tcPr>
            <w:tcW w:w="3414" w:type="dxa"/>
            <w:tcBorders>
              <w:tl2br w:val="nil"/>
              <w:tr2bl w:val="nil"/>
            </w:tcBorders>
            <w:vAlign w:val="center"/>
          </w:tcPr>
          <w:p>
            <w:pPr>
              <w:pStyle w:val="22"/>
              <w:bidi w:val="0"/>
              <w:jc w:val="center"/>
              <w:rPr>
                <w:color w:val="0000FF"/>
              </w:rPr>
            </w:pPr>
            <w:r>
              <w:rPr>
                <w:color w:val="0000FF"/>
              </w:rPr>
              <w:t>区域周边主要为</w:t>
            </w:r>
            <w:r>
              <w:rPr>
                <w:rFonts w:hint="eastAsia"/>
                <w:color w:val="0000FF"/>
                <w:lang w:val="en-US" w:eastAsia="zh-CN"/>
              </w:rPr>
              <w:t>医疗保健用地</w:t>
            </w:r>
            <w:r>
              <w:rPr>
                <w:color w:val="0000FF"/>
              </w:rPr>
              <w:t>，不存在化学、生物、噪声、振动、强电磁场等污染源、干扰源及易燃易爆场所</w:t>
            </w: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应避开地震断裂带、滑坡、泥石流、洪水、山洪等自然灾害地段。对建筑抗震不利地段，应提出避开要求或采取有效措施；严禁在抗震危险地段建造疾控中心的各类建筑</w:t>
            </w:r>
          </w:p>
        </w:tc>
        <w:tc>
          <w:tcPr>
            <w:tcW w:w="3414" w:type="dxa"/>
            <w:tcBorders>
              <w:tl2br w:val="nil"/>
              <w:tr2bl w:val="nil"/>
            </w:tcBorders>
            <w:vAlign w:val="center"/>
          </w:tcPr>
          <w:p>
            <w:pPr>
              <w:pStyle w:val="22"/>
              <w:bidi w:val="0"/>
              <w:jc w:val="center"/>
              <w:rPr>
                <w:color w:val="0000FF"/>
              </w:rPr>
            </w:pPr>
            <w:r>
              <w:rPr>
                <w:color w:val="0000FF"/>
              </w:rPr>
              <w:t>项目不在地震断裂带、滑坡、泥石流、洪水、山洪等自然灾害地段</w:t>
            </w: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6" w:hRule="atLeast"/>
          <w:jc w:val="center"/>
        </w:trPr>
        <w:tc>
          <w:tcPr>
            <w:tcW w:w="806" w:type="dxa"/>
            <w:vMerge w:val="restart"/>
            <w:tcBorders>
              <w:tl2br w:val="nil"/>
              <w:tr2bl w:val="nil"/>
            </w:tcBorders>
            <w:vAlign w:val="center"/>
          </w:tcPr>
          <w:p>
            <w:pPr>
              <w:pStyle w:val="22"/>
              <w:bidi w:val="0"/>
              <w:jc w:val="center"/>
              <w:rPr>
                <w:color w:val="0000FF"/>
              </w:rPr>
            </w:pPr>
            <w:r>
              <w:rPr>
                <w:color w:val="0000FF"/>
              </w:rPr>
              <w:t>总平面</w:t>
            </w:r>
          </w:p>
          <w:p>
            <w:pPr>
              <w:pStyle w:val="22"/>
              <w:bidi w:val="0"/>
              <w:jc w:val="center"/>
              <w:rPr>
                <w:color w:val="0000FF"/>
              </w:rPr>
            </w:pPr>
            <w:r>
              <w:rPr>
                <w:color w:val="0000FF"/>
              </w:rPr>
              <w:t>布局</w:t>
            </w:r>
          </w:p>
        </w:tc>
        <w:tc>
          <w:tcPr>
            <w:tcW w:w="3550" w:type="dxa"/>
            <w:tcBorders>
              <w:tl2br w:val="nil"/>
              <w:tr2bl w:val="nil"/>
            </w:tcBorders>
            <w:vAlign w:val="center"/>
          </w:tcPr>
          <w:p>
            <w:pPr>
              <w:pStyle w:val="22"/>
              <w:bidi w:val="0"/>
              <w:jc w:val="center"/>
              <w:rPr>
                <w:color w:val="0000FF"/>
              </w:rPr>
            </w:pPr>
            <w:r>
              <w:rPr>
                <w:color w:val="0000FF"/>
              </w:rPr>
              <w:t>实验用房在基地内宜相对独立设置</w:t>
            </w:r>
          </w:p>
        </w:tc>
        <w:tc>
          <w:tcPr>
            <w:tcW w:w="3414" w:type="dxa"/>
            <w:tcBorders>
              <w:tl2br w:val="nil"/>
              <w:tr2bl w:val="nil"/>
            </w:tcBorders>
            <w:vAlign w:val="center"/>
          </w:tcPr>
          <w:p>
            <w:pPr>
              <w:pStyle w:val="22"/>
              <w:bidi w:val="0"/>
              <w:jc w:val="center"/>
              <w:rPr>
                <w:color w:val="0000FF"/>
              </w:rPr>
            </w:pPr>
            <w:r>
              <w:rPr>
                <w:color w:val="0000FF"/>
              </w:rPr>
              <w:t>实验室在</w:t>
            </w:r>
            <w:r>
              <w:rPr>
                <w:rFonts w:hint="eastAsia"/>
                <w:color w:val="0000FF"/>
                <w:lang w:val="en-US" w:eastAsia="zh-CN"/>
              </w:rPr>
              <w:t>2</w:t>
            </w:r>
            <w:r>
              <w:rPr>
                <w:color w:val="0000FF"/>
              </w:rPr>
              <w:t>楼和1楼设置，设有污梯专门用于实验物资及污物流转使用，起到人污分流</w:t>
            </w:r>
          </w:p>
        </w:tc>
        <w:tc>
          <w:tcPr>
            <w:tcW w:w="808"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应合理组织人流、物流，避免交叉污染</w:t>
            </w:r>
          </w:p>
        </w:tc>
        <w:tc>
          <w:tcPr>
            <w:tcW w:w="3414" w:type="dxa"/>
            <w:tcBorders>
              <w:tl2br w:val="nil"/>
              <w:tr2bl w:val="nil"/>
            </w:tcBorders>
            <w:vAlign w:val="center"/>
          </w:tcPr>
          <w:p>
            <w:pPr>
              <w:pStyle w:val="22"/>
              <w:bidi w:val="0"/>
              <w:jc w:val="both"/>
              <w:rPr>
                <w:color w:val="0000FF"/>
              </w:rPr>
            </w:pPr>
            <w:r>
              <w:rPr>
                <w:color w:val="0000FF"/>
              </w:rPr>
              <w:t>主楼设有客梯，供办公人员进出使用；起到人流、物流分开</w:t>
            </w:r>
          </w:p>
        </w:tc>
        <w:tc>
          <w:tcPr>
            <w:tcW w:w="808" w:type="dxa"/>
            <w:vMerge w:val="restart"/>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9"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对生活和实验废弃物的处理，应符合有关环境保护法令、法规的规定</w:t>
            </w:r>
          </w:p>
        </w:tc>
        <w:tc>
          <w:tcPr>
            <w:tcW w:w="3414" w:type="dxa"/>
            <w:tcBorders>
              <w:tl2br w:val="nil"/>
              <w:tr2bl w:val="nil"/>
            </w:tcBorders>
            <w:vAlign w:val="center"/>
          </w:tcPr>
          <w:p>
            <w:pPr>
              <w:pStyle w:val="22"/>
              <w:bidi w:val="0"/>
              <w:jc w:val="center"/>
              <w:rPr>
                <w:color w:val="0000FF"/>
              </w:rPr>
            </w:pPr>
            <w:r>
              <w:rPr>
                <w:color w:val="0000FF"/>
              </w:rPr>
              <w:t>生活垃圾收集后暂存于地块东侧垃圾房内；生物实验室废弃物用无菌袋密封+高压灭菌后，放置于危废间内，实验室废液分类收集后放置在实验室单独收集间内，所有废物根据性质与类别进行分类暂存</w:t>
            </w: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9"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基地内不应建设职工住宅；值班用房、职工集体宿舍、专家公寓、培训用房等在基地内建设时，应处于基地内当地最小风频下风向区，当它们与实验区用地毗邻时，应与实验区分隔，</w:t>
            </w:r>
          </w:p>
          <w:p>
            <w:pPr>
              <w:pStyle w:val="22"/>
              <w:bidi w:val="0"/>
              <w:jc w:val="center"/>
              <w:rPr>
                <w:color w:val="0000FF"/>
              </w:rPr>
            </w:pPr>
            <w:r>
              <w:rPr>
                <w:color w:val="0000FF"/>
              </w:rPr>
              <w:t>并设置独立出入口</w:t>
            </w:r>
          </w:p>
        </w:tc>
        <w:tc>
          <w:tcPr>
            <w:tcW w:w="3414" w:type="dxa"/>
            <w:tcBorders>
              <w:tl2br w:val="nil"/>
              <w:tr2bl w:val="nil"/>
            </w:tcBorders>
            <w:vAlign w:val="center"/>
          </w:tcPr>
          <w:p>
            <w:pPr>
              <w:pStyle w:val="22"/>
              <w:bidi w:val="0"/>
              <w:jc w:val="center"/>
              <w:rPr>
                <w:color w:val="0000FF"/>
              </w:rPr>
            </w:pPr>
            <w:r>
              <w:rPr>
                <w:color w:val="0000FF"/>
              </w:rPr>
              <w:t>用地内未设置职工住宅、职工集体宿舍、专家公寓、培训用房等</w:t>
            </w: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8"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单独建设的实验用房（包括动物房）、污水处理站和垃圾处理站宜处在基地内全年最小风频的上风向区域</w:t>
            </w:r>
          </w:p>
        </w:tc>
        <w:tc>
          <w:tcPr>
            <w:tcW w:w="3414" w:type="dxa"/>
            <w:tcBorders>
              <w:tl2br w:val="nil"/>
              <w:tr2bl w:val="nil"/>
            </w:tcBorders>
            <w:vAlign w:val="center"/>
          </w:tcPr>
          <w:p>
            <w:pPr>
              <w:pStyle w:val="22"/>
              <w:bidi w:val="0"/>
              <w:jc w:val="center"/>
              <w:rPr>
                <w:color w:val="0000FF"/>
              </w:rPr>
            </w:pPr>
            <w:r>
              <w:rPr>
                <w:color w:val="0000FF"/>
              </w:rPr>
              <w:t>项目不设动物饲养，无动物实验。污水处理站设置在地下，产生的恶臭经紫外线消毒处理后无组织排放，实验室废物收集在危废间，密闭管理，对内、外环境影响小。</w:t>
            </w:r>
          </w:p>
        </w:tc>
        <w:tc>
          <w:tcPr>
            <w:tcW w:w="80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jc w:val="center"/>
        </w:trPr>
        <w:tc>
          <w:tcPr>
            <w:tcW w:w="806" w:type="dxa"/>
            <w:vMerge w:val="continue"/>
            <w:tcBorders>
              <w:tl2br w:val="nil"/>
              <w:tr2bl w:val="nil"/>
            </w:tcBorders>
            <w:vAlign w:val="center"/>
          </w:tcPr>
          <w:p>
            <w:pPr>
              <w:pStyle w:val="22"/>
              <w:bidi w:val="0"/>
              <w:jc w:val="center"/>
              <w:rPr>
                <w:color w:val="0000FF"/>
              </w:rPr>
            </w:pPr>
          </w:p>
        </w:tc>
        <w:tc>
          <w:tcPr>
            <w:tcW w:w="3550" w:type="dxa"/>
            <w:tcBorders>
              <w:tl2br w:val="nil"/>
              <w:tr2bl w:val="nil"/>
            </w:tcBorders>
            <w:vAlign w:val="center"/>
          </w:tcPr>
          <w:p>
            <w:pPr>
              <w:pStyle w:val="22"/>
              <w:bidi w:val="0"/>
              <w:jc w:val="center"/>
              <w:rPr>
                <w:color w:val="0000FF"/>
              </w:rPr>
            </w:pPr>
            <w:r>
              <w:rPr>
                <w:color w:val="0000FF"/>
              </w:rPr>
              <w:t>疾控中心用地出入口不宜少于两处，人员出入口不宜兼做废弃物的出口。</w:t>
            </w:r>
          </w:p>
        </w:tc>
        <w:tc>
          <w:tcPr>
            <w:tcW w:w="3414" w:type="dxa"/>
            <w:tcBorders>
              <w:tl2br w:val="nil"/>
              <w:tr2bl w:val="nil"/>
            </w:tcBorders>
            <w:vAlign w:val="center"/>
          </w:tcPr>
          <w:p>
            <w:pPr>
              <w:pStyle w:val="22"/>
              <w:bidi w:val="0"/>
              <w:jc w:val="center"/>
              <w:rPr>
                <w:color w:val="0000FF"/>
              </w:rPr>
            </w:pPr>
            <w:r>
              <w:rPr>
                <w:color w:val="0000FF"/>
              </w:rPr>
              <w:t>中心设置</w:t>
            </w:r>
            <w:r>
              <w:rPr>
                <w:rFonts w:hint="eastAsia"/>
                <w:color w:val="0000FF"/>
                <w:lang w:val="en-US" w:eastAsia="zh-CN"/>
              </w:rPr>
              <w:t>3</w:t>
            </w:r>
            <w:r>
              <w:rPr>
                <w:color w:val="0000FF"/>
              </w:rPr>
              <w:t>个出入口。北侧设主入口，</w:t>
            </w:r>
            <w:r>
              <w:rPr>
                <w:rFonts w:hint="eastAsia"/>
                <w:color w:val="0000FF"/>
                <w:lang w:val="en-US" w:eastAsia="zh-CN"/>
              </w:rPr>
              <w:t>东</w:t>
            </w:r>
            <w:r>
              <w:rPr>
                <w:color w:val="0000FF"/>
              </w:rPr>
              <w:t>西</w:t>
            </w:r>
            <w:r>
              <w:rPr>
                <w:rFonts w:hint="eastAsia"/>
                <w:color w:val="0000FF"/>
                <w:lang w:val="en-US" w:eastAsia="zh-CN"/>
              </w:rPr>
              <w:t>俩</w:t>
            </w:r>
            <w:r>
              <w:rPr>
                <w:color w:val="0000FF"/>
              </w:rPr>
              <w:t>侧设次入口，作为送检、后勤及污物的物流出口</w:t>
            </w:r>
          </w:p>
        </w:tc>
        <w:tc>
          <w:tcPr>
            <w:tcW w:w="808" w:type="dxa"/>
            <w:vMerge w:val="continue"/>
            <w:tcBorders>
              <w:tl2br w:val="nil"/>
              <w:tr2bl w:val="nil"/>
            </w:tcBorders>
            <w:vAlign w:val="center"/>
          </w:tcPr>
          <w:p>
            <w:pPr>
              <w:pStyle w:val="22"/>
              <w:bidi w:val="0"/>
              <w:jc w:val="center"/>
              <w:rPr>
                <w:color w:val="0000FF"/>
              </w:rPr>
            </w:pPr>
          </w:p>
        </w:tc>
      </w:tr>
    </w:tbl>
    <w:p>
      <w:pPr>
        <w:pStyle w:val="6"/>
        <w:bidi w:val="0"/>
        <w:rPr>
          <w:color w:val="0000FF"/>
        </w:rPr>
      </w:pPr>
      <w:bookmarkStart w:id="47" w:name="_Toc23435"/>
      <w:r>
        <w:rPr>
          <w:color w:val="0000FF"/>
        </w:rPr>
        <w:t>2.9.</w:t>
      </w:r>
      <w:r>
        <w:rPr>
          <w:rFonts w:hint="eastAsia"/>
          <w:color w:val="0000FF"/>
          <w:lang w:val="en-US" w:eastAsia="zh-CN"/>
        </w:rPr>
        <w:t>4</w:t>
      </w:r>
      <w:r>
        <w:rPr>
          <w:color w:val="0000FF"/>
        </w:rPr>
        <w:t>与生物安全相关规范的符合性分析</w:t>
      </w:r>
      <w:bookmarkEnd w:id="47"/>
    </w:p>
    <w:p>
      <w:pPr>
        <w:pStyle w:val="7"/>
        <w:bidi w:val="0"/>
        <w:rPr>
          <w:color w:val="0000FF"/>
        </w:rPr>
      </w:pPr>
      <w:r>
        <w:rPr>
          <w:color w:val="0000FF"/>
        </w:rPr>
        <w:t>2.9.</w:t>
      </w:r>
      <w:r>
        <w:rPr>
          <w:rFonts w:hint="eastAsia"/>
          <w:color w:val="0000FF"/>
          <w:lang w:val="en-US" w:eastAsia="zh-CN"/>
        </w:rPr>
        <w:t>4</w:t>
      </w:r>
      <w:r>
        <w:rPr>
          <w:color w:val="0000FF"/>
        </w:rPr>
        <w:t>.1与《生物安全实验室建筑技术规范》（GB-50346-2011）相符性分析</w:t>
      </w:r>
    </w:p>
    <w:p>
      <w:pPr>
        <w:bidi w:val="0"/>
        <w:rPr>
          <w:color w:val="0000FF"/>
        </w:rPr>
      </w:pPr>
      <w:r>
        <w:rPr>
          <w:color w:val="0000FF"/>
        </w:rPr>
        <w:t>根据《生物安全实验室建筑技术规范》（GB-50346-2011）有关规定，根据实验室所处理的生物危害程度和采取的防护措施，生物安全实验室分为四级。微</w:t>
      </w:r>
      <w:r>
        <w:rPr>
          <w:rFonts w:hint="eastAsia"/>
          <w:color w:val="0000FF"/>
          <w:lang w:eastAsia="zh-CN"/>
        </w:rPr>
        <w:t>生物</w:t>
      </w:r>
      <w:r>
        <w:rPr>
          <w:color w:val="0000FF"/>
        </w:rPr>
        <w:t>安全实验室可采用BSL-1、BSL-2、BSL-3、BSL-4表示相应级别的实验室。生物安全实验室应按下表进行分级。生物安全实验室的分级见表2.9-</w:t>
      </w:r>
      <w:r>
        <w:rPr>
          <w:rFonts w:hint="eastAsia"/>
          <w:color w:val="0000FF"/>
          <w:lang w:val="en-US" w:eastAsia="zh-CN"/>
        </w:rPr>
        <w:t>4</w:t>
      </w:r>
      <w:r>
        <w:rPr>
          <w:color w:val="0000FF"/>
        </w:rPr>
        <w:t>，本项目的符合情况见表2.9-</w:t>
      </w:r>
      <w:r>
        <w:rPr>
          <w:rFonts w:hint="eastAsia"/>
          <w:color w:val="0000FF"/>
          <w:lang w:val="en-US" w:eastAsia="zh-CN"/>
        </w:rPr>
        <w:t>5</w:t>
      </w:r>
      <w:r>
        <w:rPr>
          <w:color w:val="0000FF"/>
        </w:rPr>
        <w:t>。</w:t>
      </w:r>
    </w:p>
    <w:p>
      <w:pPr>
        <w:pStyle w:val="22"/>
        <w:bidi w:val="0"/>
        <w:rPr>
          <w:b/>
          <w:bCs/>
          <w:color w:val="0000FF"/>
        </w:rPr>
      </w:pPr>
      <w:r>
        <w:rPr>
          <w:b/>
          <w:bCs/>
          <w:color w:val="0000FF"/>
        </w:rPr>
        <w:t>表2.9-</w:t>
      </w:r>
      <w:r>
        <w:rPr>
          <w:rFonts w:hint="eastAsia"/>
          <w:b/>
          <w:bCs/>
          <w:color w:val="0000FF"/>
          <w:lang w:val="en-US" w:eastAsia="zh-CN"/>
        </w:rPr>
        <w:t>4</w:t>
      </w:r>
      <w:r>
        <w:rPr>
          <w:b/>
          <w:bCs/>
          <w:color w:val="0000FF"/>
        </w:rPr>
        <w:t>生物安全实验室的分级</w:t>
      </w:r>
    </w:p>
    <w:tbl>
      <w:tblPr>
        <w:tblStyle w:val="23"/>
        <w:tblW w:w="79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596"/>
        <w:gridCol w:w="4298"/>
        <w:gridCol w:w="1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823" w:type="dxa"/>
            <w:tcBorders>
              <w:tl2br w:val="nil"/>
              <w:tr2bl w:val="nil"/>
            </w:tcBorders>
            <w:vAlign w:val="center"/>
          </w:tcPr>
          <w:p>
            <w:pPr>
              <w:pStyle w:val="22"/>
              <w:bidi w:val="0"/>
              <w:jc w:val="center"/>
              <w:rPr>
                <w:color w:val="0000FF"/>
              </w:rPr>
            </w:pPr>
            <w:r>
              <w:rPr>
                <w:color w:val="0000FF"/>
              </w:rPr>
              <w:t>分级</w:t>
            </w:r>
          </w:p>
        </w:tc>
        <w:tc>
          <w:tcPr>
            <w:tcW w:w="1596" w:type="dxa"/>
            <w:tcBorders>
              <w:tl2br w:val="nil"/>
              <w:tr2bl w:val="nil"/>
            </w:tcBorders>
            <w:vAlign w:val="center"/>
          </w:tcPr>
          <w:p>
            <w:pPr>
              <w:pStyle w:val="22"/>
              <w:bidi w:val="0"/>
              <w:jc w:val="center"/>
              <w:rPr>
                <w:color w:val="0000FF"/>
              </w:rPr>
            </w:pPr>
            <w:r>
              <w:rPr>
                <w:color w:val="0000FF"/>
              </w:rPr>
              <w:t>生物危害程度</w:t>
            </w:r>
          </w:p>
        </w:tc>
        <w:tc>
          <w:tcPr>
            <w:tcW w:w="4298" w:type="dxa"/>
            <w:tcBorders>
              <w:tl2br w:val="nil"/>
              <w:tr2bl w:val="nil"/>
            </w:tcBorders>
            <w:vAlign w:val="center"/>
          </w:tcPr>
          <w:p>
            <w:pPr>
              <w:pStyle w:val="22"/>
              <w:bidi w:val="0"/>
              <w:jc w:val="center"/>
              <w:rPr>
                <w:color w:val="0000FF"/>
              </w:rPr>
            </w:pPr>
            <w:r>
              <w:rPr>
                <w:color w:val="0000FF"/>
              </w:rPr>
              <w:t>操作对象</w:t>
            </w:r>
          </w:p>
        </w:tc>
        <w:tc>
          <w:tcPr>
            <w:tcW w:w="1262" w:type="dxa"/>
            <w:tcBorders>
              <w:tl2br w:val="nil"/>
              <w:tr2bl w:val="nil"/>
            </w:tcBorders>
            <w:vAlign w:val="center"/>
          </w:tcPr>
          <w:p>
            <w:pPr>
              <w:pStyle w:val="22"/>
              <w:bidi w:val="0"/>
              <w:jc w:val="center"/>
              <w:rPr>
                <w:color w:val="0000FF"/>
              </w:rPr>
            </w:pPr>
            <w:r>
              <w:rPr>
                <w:color w:val="0000FF"/>
              </w:rPr>
              <w:t>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823" w:type="dxa"/>
            <w:tcBorders>
              <w:tl2br w:val="nil"/>
              <w:tr2bl w:val="nil"/>
            </w:tcBorders>
            <w:vAlign w:val="center"/>
          </w:tcPr>
          <w:p>
            <w:pPr>
              <w:pStyle w:val="22"/>
              <w:bidi w:val="0"/>
              <w:jc w:val="center"/>
              <w:rPr>
                <w:color w:val="0000FF"/>
              </w:rPr>
            </w:pPr>
            <w:r>
              <w:rPr>
                <w:color w:val="0000FF"/>
              </w:rPr>
              <w:t>一级</w:t>
            </w:r>
          </w:p>
        </w:tc>
        <w:tc>
          <w:tcPr>
            <w:tcW w:w="1596" w:type="dxa"/>
            <w:tcBorders>
              <w:tl2br w:val="nil"/>
              <w:tr2bl w:val="nil"/>
            </w:tcBorders>
            <w:vAlign w:val="center"/>
          </w:tcPr>
          <w:p>
            <w:pPr>
              <w:pStyle w:val="22"/>
              <w:bidi w:val="0"/>
              <w:jc w:val="center"/>
              <w:rPr>
                <w:color w:val="0000FF"/>
              </w:rPr>
            </w:pPr>
            <w:r>
              <w:rPr>
                <w:color w:val="0000FF"/>
              </w:rPr>
              <w:t>低个体危害，低</w:t>
            </w:r>
          </w:p>
          <w:p>
            <w:pPr>
              <w:pStyle w:val="22"/>
              <w:bidi w:val="0"/>
              <w:jc w:val="center"/>
              <w:rPr>
                <w:color w:val="0000FF"/>
              </w:rPr>
            </w:pPr>
            <w:r>
              <w:rPr>
                <w:color w:val="0000FF"/>
              </w:rPr>
              <w:t>群体危害</w:t>
            </w:r>
          </w:p>
        </w:tc>
        <w:tc>
          <w:tcPr>
            <w:tcW w:w="4298" w:type="dxa"/>
            <w:tcBorders>
              <w:tl2br w:val="nil"/>
              <w:tr2bl w:val="nil"/>
            </w:tcBorders>
            <w:vAlign w:val="center"/>
          </w:tcPr>
          <w:p>
            <w:pPr>
              <w:pStyle w:val="22"/>
              <w:bidi w:val="0"/>
              <w:jc w:val="center"/>
              <w:rPr>
                <w:color w:val="0000FF"/>
              </w:rPr>
            </w:pPr>
            <w:r>
              <w:rPr>
                <w:color w:val="0000FF"/>
              </w:rPr>
              <w:t>对人体、动植物或环境危害较低，不具有对健康成人、动植物致病的致病因子。</w:t>
            </w:r>
          </w:p>
        </w:tc>
        <w:tc>
          <w:tcPr>
            <w:tcW w:w="1262" w:type="dxa"/>
            <w:vMerge w:val="restart"/>
            <w:tcBorders>
              <w:tl2br w:val="nil"/>
              <w:tr2bl w:val="nil"/>
            </w:tcBorders>
            <w:vAlign w:val="center"/>
          </w:tcPr>
          <w:p>
            <w:pPr>
              <w:pStyle w:val="22"/>
              <w:bidi w:val="0"/>
              <w:jc w:val="center"/>
              <w:rPr>
                <w:color w:val="0000FF"/>
              </w:rPr>
            </w:pPr>
          </w:p>
          <w:p>
            <w:pPr>
              <w:pStyle w:val="22"/>
              <w:bidi w:val="0"/>
              <w:jc w:val="center"/>
              <w:rPr>
                <w:color w:val="0000FF"/>
              </w:rPr>
            </w:pPr>
          </w:p>
          <w:p>
            <w:pPr>
              <w:pStyle w:val="22"/>
              <w:bidi w:val="0"/>
              <w:jc w:val="center"/>
              <w:rPr>
                <w:color w:val="0000FF"/>
              </w:rPr>
            </w:pPr>
            <w:r>
              <w:rPr>
                <w:color w:val="0000FF"/>
              </w:rPr>
              <w:t>本项目涉及二级生物安全实验室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6" w:hRule="atLeast"/>
          <w:jc w:val="center"/>
        </w:trPr>
        <w:tc>
          <w:tcPr>
            <w:tcW w:w="823"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二级</w:t>
            </w:r>
          </w:p>
        </w:tc>
        <w:tc>
          <w:tcPr>
            <w:tcW w:w="1596" w:type="dxa"/>
            <w:tcBorders>
              <w:tl2br w:val="nil"/>
              <w:tr2bl w:val="nil"/>
            </w:tcBorders>
            <w:vAlign w:val="center"/>
          </w:tcPr>
          <w:p>
            <w:pPr>
              <w:pStyle w:val="22"/>
              <w:bidi w:val="0"/>
              <w:jc w:val="center"/>
              <w:rPr>
                <w:color w:val="0000FF"/>
              </w:rPr>
            </w:pPr>
            <w:r>
              <w:rPr>
                <w:color w:val="0000FF"/>
              </w:rPr>
              <w:t>中等个体危害，有限群体危害</w:t>
            </w:r>
          </w:p>
        </w:tc>
        <w:tc>
          <w:tcPr>
            <w:tcW w:w="4298" w:type="dxa"/>
            <w:tcBorders>
              <w:tl2br w:val="nil"/>
              <w:tr2bl w:val="nil"/>
            </w:tcBorders>
            <w:vAlign w:val="center"/>
          </w:tcPr>
          <w:p>
            <w:pPr>
              <w:pStyle w:val="22"/>
              <w:bidi w:val="0"/>
              <w:jc w:val="center"/>
              <w:rPr>
                <w:color w:val="0000FF"/>
              </w:rPr>
            </w:pPr>
            <w:r>
              <w:rPr>
                <w:color w:val="0000FF"/>
              </w:rPr>
              <w:t>对人体、动植物或环境具有中等危害或具有潜在危险的致病因子，对健康成人、动物和环境不会造成严重危害。有有效的预防和治疗措施。</w:t>
            </w:r>
          </w:p>
        </w:tc>
        <w:tc>
          <w:tcPr>
            <w:tcW w:w="1262"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jc w:val="center"/>
        </w:trPr>
        <w:tc>
          <w:tcPr>
            <w:tcW w:w="823" w:type="dxa"/>
            <w:tcBorders>
              <w:tl2br w:val="nil"/>
              <w:tr2bl w:val="nil"/>
            </w:tcBorders>
            <w:vAlign w:val="center"/>
          </w:tcPr>
          <w:p>
            <w:pPr>
              <w:pStyle w:val="22"/>
              <w:bidi w:val="0"/>
              <w:jc w:val="center"/>
              <w:rPr>
                <w:color w:val="0000FF"/>
              </w:rPr>
            </w:pPr>
            <w:r>
              <w:rPr>
                <w:color w:val="0000FF"/>
              </w:rPr>
              <w:t>三级</w:t>
            </w:r>
          </w:p>
        </w:tc>
        <w:tc>
          <w:tcPr>
            <w:tcW w:w="1596" w:type="dxa"/>
            <w:tcBorders>
              <w:tl2br w:val="nil"/>
              <w:tr2bl w:val="nil"/>
            </w:tcBorders>
            <w:vAlign w:val="center"/>
          </w:tcPr>
          <w:p>
            <w:pPr>
              <w:pStyle w:val="22"/>
              <w:bidi w:val="0"/>
              <w:jc w:val="center"/>
              <w:rPr>
                <w:color w:val="0000FF"/>
              </w:rPr>
            </w:pPr>
            <w:r>
              <w:rPr>
                <w:color w:val="0000FF"/>
              </w:rPr>
              <w:t>高个体危害，低群体危害</w:t>
            </w:r>
          </w:p>
        </w:tc>
        <w:tc>
          <w:tcPr>
            <w:tcW w:w="4298" w:type="dxa"/>
            <w:tcBorders>
              <w:tl2br w:val="nil"/>
              <w:tr2bl w:val="nil"/>
            </w:tcBorders>
            <w:vAlign w:val="center"/>
          </w:tcPr>
          <w:p>
            <w:pPr>
              <w:pStyle w:val="22"/>
              <w:bidi w:val="0"/>
              <w:jc w:val="center"/>
              <w:rPr>
                <w:color w:val="0000FF"/>
              </w:rPr>
            </w:pPr>
            <w:r>
              <w:rPr>
                <w:color w:val="0000FF"/>
              </w:rPr>
              <w:t>对人体、动植物或环境具有高度危险性，主要通过气溶胶使人传染上严重的甚至是致命疾病，或对动植物和环境具有高度危害的致病因子。通常有预防治疗措施。</w:t>
            </w:r>
          </w:p>
        </w:tc>
        <w:tc>
          <w:tcPr>
            <w:tcW w:w="1262"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jc w:val="center"/>
        </w:trPr>
        <w:tc>
          <w:tcPr>
            <w:tcW w:w="823"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四级</w:t>
            </w:r>
          </w:p>
        </w:tc>
        <w:tc>
          <w:tcPr>
            <w:tcW w:w="1596" w:type="dxa"/>
            <w:tcBorders>
              <w:tl2br w:val="nil"/>
              <w:tr2bl w:val="nil"/>
            </w:tcBorders>
            <w:vAlign w:val="center"/>
          </w:tcPr>
          <w:p>
            <w:pPr>
              <w:pStyle w:val="22"/>
              <w:bidi w:val="0"/>
              <w:jc w:val="center"/>
              <w:rPr>
                <w:color w:val="0000FF"/>
              </w:rPr>
            </w:pPr>
            <w:r>
              <w:rPr>
                <w:color w:val="0000FF"/>
              </w:rPr>
              <w:t>高个体危害．高群体危害</w:t>
            </w:r>
          </w:p>
        </w:tc>
        <w:tc>
          <w:tcPr>
            <w:tcW w:w="4298" w:type="dxa"/>
            <w:tcBorders>
              <w:tl2br w:val="nil"/>
              <w:tr2bl w:val="nil"/>
            </w:tcBorders>
            <w:vAlign w:val="center"/>
          </w:tcPr>
          <w:p>
            <w:pPr>
              <w:pStyle w:val="22"/>
              <w:bidi w:val="0"/>
              <w:jc w:val="center"/>
              <w:rPr>
                <w:color w:val="0000FF"/>
              </w:rPr>
            </w:pPr>
            <w:r>
              <w:rPr>
                <w:color w:val="0000FF"/>
              </w:rPr>
              <w:t>对人体、动植物或环境具有高度危险性，通过气溶胶途径传播或传播途径不明，或未知的、危险的致病因子。没有预防治疗措施。</w:t>
            </w:r>
          </w:p>
        </w:tc>
        <w:tc>
          <w:tcPr>
            <w:tcW w:w="1262" w:type="dxa"/>
            <w:vMerge w:val="continue"/>
            <w:tcBorders>
              <w:tl2br w:val="nil"/>
              <w:tr2bl w:val="nil"/>
            </w:tcBorders>
            <w:vAlign w:val="center"/>
          </w:tcPr>
          <w:p>
            <w:pPr>
              <w:pStyle w:val="22"/>
              <w:bidi w:val="0"/>
              <w:jc w:val="center"/>
              <w:rPr>
                <w:color w:val="0000FF"/>
              </w:rPr>
            </w:pPr>
          </w:p>
        </w:tc>
      </w:tr>
    </w:tbl>
    <w:p>
      <w:pPr>
        <w:pStyle w:val="22"/>
        <w:bidi w:val="0"/>
        <w:rPr>
          <w:b/>
          <w:bCs/>
          <w:color w:val="0000FF"/>
        </w:rPr>
      </w:pPr>
      <w:r>
        <w:rPr>
          <w:b/>
          <w:bCs/>
          <w:color w:val="0000FF"/>
        </w:rPr>
        <w:t>表2.9-</w:t>
      </w:r>
      <w:r>
        <w:rPr>
          <w:rFonts w:hint="eastAsia"/>
          <w:b/>
          <w:bCs/>
          <w:color w:val="0000FF"/>
          <w:lang w:val="en-US" w:eastAsia="zh-CN"/>
        </w:rPr>
        <w:t>5</w:t>
      </w:r>
      <w:r>
        <w:rPr>
          <w:b/>
          <w:bCs/>
          <w:color w:val="0000FF"/>
        </w:rPr>
        <w:t>项目与《生物安全实验室建筑技术规范》（GB-50346-2011）相符性</w:t>
      </w:r>
    </w:p>
    <w:tbl>
      <w:tblPr>
        <w:tblStyle w:val="23"/>
        <w:tblW w:w="8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9"/>
        <w:gridCol w:w="2876"/>
        <w:gridCol w:w="3129"/>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309" w:type="dxa"/>
            <w:tcBorders>
              <w:tl2br w:val="nil"/>
              <w:tr2bl w:val="nil"/>
            </w:tcBorders>
            <w:vAlign w:val="center"/>
          </w:tcPr>
          <w:p>
            <w:pPr>
              <w:pStyle w:val="22"/>
              <w:bidi w:val="0"/>
              <w:rPr>
                <w:color w:val="0000FF"/>
              </w:rPr>
            </w:pPr>
            <w:r>
              <w:rPr>
                <w:color w:val="0000FF"/>
              </w:rPr>
              <w:t>标准、规则</w:t>
            </w:r>
          </w:p>
        </w:tc>
        <w:tc>
          <w:tcPr>
            <w:tcW w:w="2876" w:type="dxa"/>
            <w:tcBorders>
              <w:tl2br w:val="nil"/>
              <w:tr2bl w:val="nil"/>
            </w:tcBorders>
            <w:vAlign w:val="center"/>
          </w:tcPr>
          <w:p>
            <w:pPr>
              <w:pStyle w:val="22"/>
              <w:bidi w:val="0"/>
              <w:rPr>
                <w:color w:val="0000FF"/>
              </w:rPr>
            </w:pPr>
            <w:r>
              <w:rPr>
                <w:color w:val="0000FF"/>
              </w:rPr>
              <w:t>指标要求</w:t>
            </w:r>
          </w:p>
        </w:tc>
        <w:tc>
          <w:tcPr>
            <w:tcW w:w="3129" w:type="dxa"/>
            <w:tcBorders>
              <w:tl2br w:val="nil"/>
              <w:tr2bl w:val="nil"/>
            </w:tcBorders>
            <w:vAlign w:val="center"/>
          </w:tcPr>
          <w:p>
            <w:pPr>
              <w:pStyle w:val="22"/>
              <w:bidi w:val="0"/>
              <w:rPr>
                <w:color w:val="0000FF"/>
              </w:rPr>
            </w:pPr>
            <w:r>
              <w:rPr>
                <w:color w:val="0000FF"/>
              </w:rPr>
              <w:t>本项目</w:t>
            </w:r>
          </w:p>
        </w:tc>
        <w:tc>
          <w:tcPr>
            <w:tcW w:w="1284" w:type="dxa"/>
            <w:tcBorders>
              <w:tl2br w:val="nil"/>
              <w:tr2bl w:val="nil"/>
            </w:tcBorders>
            <w:vAlign w:val="center"/>
          </w:tcPr>
          <w:p>
            <w:pPr>
              <w:pStyle w:val="22"/>
              <w:bidi w:val="0"/>
              <w:rPr>
                <w:color w:val="0000FF"/>
              </w:rPr>
            </w:pPr>
            <w:r>
              <w:rPr>
                <w:color w:val="0000FF"/>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1309" w:type="dxa"/>
            <w:vMerge w:val="restart"/>
            <w:tcBorders>
              <w:tl2br w:val="nil"/>
              <w:tr2bl w:val="nil"/>
            </w:tcBorders>
            <w:vAlign w:val="center"/>
          </w:tcPr>
          <w:p>
            <w:pPr>
              <w:pStyle w:val="22"/>
              <w:bidi w:val="0"/>
              <w:rPr>
                <w:color w:val="0000FF"/>
              </w:rPr>
            </w:pPr>
            <w:r>
              <w:rPr>
                <w:color w:val="0000FF"/>
              </w:rPr>
              <w:t>《生物安全实验室建筑技术规范》（GB-50346-2011）对二级实验室建筑、装修和结构的要求</w:t>
            </w:r>
          </w:p>
        </w:tc>
        <w:tc>
          <w:tcPr>
            <w:tcW w:w="2876" w:type="dxa"/>
            <w:tcBorders>
              <w:tl2br w:val="nil"/>
              <w:tr2bl w:val="nil"/>
            </w:tcBorders>
            <w:vAlign w:val="center"/>
          </w:tcPr>
          <w:p>
            <w:pPr>
              <w:pStyle w:val="22"/>
              <w:bidi w:val="0"/>
              <w:rPr>
                <w:color w:val="0000FF"/>
              </w:rPr>
            </w:pPr>
            <w:r>
              <w:rPr>
                <w:color w:val="0000FF"/>
              </w:rPr>
              <w:t>技术指标：二级生物安全实验室宜实施一级屏障和二级屏障</w:t>
            </w:r>
          </w:p>
        </w:tc>
        <w:tc>
          <w:tcPr>
            <w:tcW w:w="3129" w:type="dxa"/>
            <w:tcBorders>
              <w:tl2br w:val="nil"/>
              <w:tr2bl w:val="nil"/>
            </w:tcBorders>
            <w:vAlign w:val="center"/>
          </w:tcPr>
          <w:p>
            <w:pPr>
              <w:pStyle w:val="22"/>
              <w:bidi w:val="0"/>
              <w:rPr>
                <w:color w:val="0000FF"/>
              </w:rPr>
            </w:pPr>
            <w:r>
              <w:rPr>
                <w:color w:val="0000FF"/>
              </w:rPr>
              <w:t>在生物实验室区域设立更衣室及缓冲室</w:t>
            </w:r>
          </w:p>
        </w:tc>
        <w:tc>
          <w:tcPr>
            <w:tcW w:w="1284" w:type="dxa"/>
            <w:tcBorders>
              <w:tl2br w:val="nil"/>
              <w:tr2bl w:val="nil"/>
            </w:tcBorders>
            <w:vAlign w:val="center"/>
          </w:tcPr>
          <w:p>
            <w:pPr>
              <w:pStyle w:val="22"/>
              <w:bidi w:val="0"/>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jc w:val="center"/>
        </w:trPr>
        <w:tc>
          <w:tcPr>
            <w:tcW w:w="1309" w:type="dxa"/>
            <w:vMerge w:val="continue"/>
            <w:tcBorders>
              <w:tl2br w:val="nil"/>
              <w:tr2bl w:val="nil"/>
            </w:tcBorders>
            <w:vAlign w:val="center"/>
          </w:tcPr>
          <w:p>
            <w:pPr>
              <w:pStyle w:val="22"/>
              <w:bidi w:val="0"/>
              <w:rPr>
                <w:color w:val="0000FF"/>
              </w:rPr>
            </w:pPr>
          </w:p>
        </w:tc>
        <w:tc>
          <w:tcPr>
            <w:tcW w:w="2876" w:type="dxa"/>
            <w:tcBorders>
              <w:tl2br w:val="nil"/>
              <w:tr2bl w:val="nil"/>
            </w:tcBorders>
            <w:vAlign w:val="center"/>
          </w:tcPr>
          <w:p>
            <w:pPr>
              <w:pStyle w:val="22"/>
              <w:bidi w:val="0"/>
              <w:rPr>
                <w:color w:val="0000FF"/>
              </w:rPr>
            </w:pPr>
            <w:r>
              <w:rPr>
                <w:color w:val="0000FF"/>
              </w:rPr>
              <w:t>平面位置：可共用建筑物，与建筑物其他部分可相通，但应设可自动关闭的带锁的门</w:t>
            </w:r>
          </w:p>
        </w:tc>
        <w:tc>
          <w:tcPr>
            <w:tcW w:w="3129" w:type="dxa"/>
            <w:tcBorders>
              <w:tl2br w:val="nil"/>
              <w:tr2bl w:val="nil"/>
            </w:tcBorders>
            <w:vAlign w:val="center"/>
          </w:tcPr>
          <w:p>
            <w:pPr>
              <w:pStyle w:val="22"/>
              <w:bidi w:val="0"/>
              <w:rPr>
                <w:color w:val="0000FF"/>
              </w:rPr>
            </w:pPr>
            <w:r>
              <w:rPr>
                <w:color w:val="0000FF"/>
              </w:rPr>
              <w:t>实验用房均设有办公区域，通过设置门禁控制人员的进出</w:t>
            </w:r>
          </w:p>
        </w:tc>
        <w:tc>
          <w:tcPr>
            <w:tcW w:w="1284" w:type="dxa"/>
            <w:tcBorders>
              <w:tl2br w:val="nil"/>
              <w:tr2bl w:val="nil"/>
            </w:tcBorders>
            <w:vAlign w:val="center"/>
          </w:tcPr>
          <w:p>
            <w:pPr>
              <w:pStyle w:val="22"/>
              <w:bidi w:val="0"/>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jc w:val="center"/>
        </w:trPr>
        <w:tc>
          <w:tcPr>
            <w:tcW w:w="1309" w:type="dxa"/>
            <w:vMerge w:val="continue"/>
            <w:tcBorders>
              <w:tl2br w:val="nil"/>
              <w:tr2bl w:val="nil"/>
            </w:tcBorders>
            <w:vAlign w:val="center"/>
          </w:tcPr>
          <w:p>
            <w:pPr>
              <w:pStyle w:val="22"/>
              <w:bidi w:val="0"/>
              <w:rPr>
                <w:color w:val="0000FF"/>
              </w:rPr>
            </w:pPr>
          </w:p>
        </w:tc>
        <w:tc>
          <w:tcPr>
            <w:tcW w:w="2876" w:type="dxa"/>
            <w:tcBorders>
              <w:tl2br w:val="nil"/>
              <w:tr2bl w:val="nil"/>
            </w:tcBorders>
            <w:vAlign w:val="center"/>
          </w:tcPr>
          <w:p>
            <w:pPr>
              <w:pStyle w:val="22"/>
              <w:bidi w:val="0"/>
              <w:rPr>
                <w:color w:val="0000FF"/>
              </w:rPr>
            </w:pPr>
            <w:r>
              <w:rPr>
                <w:color w:val="0000FF"/>
              </w:rPr>
              <w:t>二级生物安全实验室应在入口处设置更衣室或更衣柜</w:t>
            </w:r>
          </w:p>
        </w:tc>
        <w:tc>
          <w:tcPr>
            <w:tcW w:w="3129" w:type="dxa"/>
            <w:tcBorders>
              <w:tl2br w:val="nil"/>
              <w:tr2bl w:val="nil"/>
            </w:tcBorders>
            <w:vAlign w:val="center"/>
          </w:tcPr>
          <w:p>
            <w:pPr>
              <w:pStyle w:val="22"/>
              <w:bidi w:val="0"/>
              <w:rPr>
                <w:color w:val="0000FF"/>
              </w:rPr>
            </w:pPr>
            <w:r>
              <w:rPr>
                <w:color w:val="0000FF"/>
              </w:rPr>
              <w:t>办公区域进入实验区域需经过更衣室，进入具体P2实验室还需再经一道更衣室、缓冲间</w:t>
            </w:r>
          </w:p>
        </w:tc>
        <w:tc>
          <w:tcPr>
            <w:tcW w:w="1284" w:type="dxa"/>
            <w:tcBorders>
              <w:tl2br w:val="nil"/>
              <w:tr2bl w:val="nil"/>
            </w:tcBorders>
            <w:vAlign w:val="center"/>
          </w:tcPr>
          <w:p>
            <w:pPr>
              <w:pStyle w:val="22"/>
              <w:bidi w:val="0"/>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jc w:val="center"/>
        </w:trPr>
        <w:tc>
          <w:tcPr>
            <w:tcW w:w="1309" w:type="dxa"/>
            <w:vMerge w:val="continue"/>
            <w:tcBorders>
              <w:tl2br w:val="nil"/>
              <w:tr2bl w:val="nil"/>
            </w:tcBorders>
            <w:vAlign w:val="center"/>
          </w:tcPr>
          <w:p>
            <w:pPr>
              <w:pStyle w:val="22"/>
              <w:bidi w:val="0"/>
              <w:rPr>
                <w:color w:val="0000FF"/>
              </w:rPr>
            </w:pPr>
          </w:p>
        </w:tc>
        <w:tc>
          <w:tcPr>
            <w:tcW w:w="2876" w:type="dxa"/>
            <w:tcBorders>
              <w:tl2br w:val="nil"/>
              <w:tr2bl w:val="nil"/>
            </w:tcBorders>
            <w:vAlign w:val="center"/>
          </w:tcPr>
          <w:p>
            <w:pPr>
              <w:pStyle w:val="22"/>
              <w:bidi w:val="0"/>
              <w:rPr>
                <w:color w:val="0000FF"/>
              </w:rPr>
            </w:pPr>
            <w:r>
              <w:rPr>
                <w:color w:val="0000FF"/>
              </w:rPr>
              <w:t>二级生物安全实验室应在实验室或实验室所在建筑内配备高压灭菌器或其他消毒灭菌设备</w:t>
            </w:r>
          </w:p>
        </w:tc>
        <w:tc>
          <w:tcPr>
            <w:tcW w:w="3129" w:type="dxa"/>
            <w:tcBorders>
              <w:tl2br w:val="nil"/>
              <w:tr2bl w:val="nil"/>
            </w:tcBorders>
            <w:vAlign w:val="center"/>
          </w:tcPr>
          <w:p>
            <w:pPr>
              <w:pStyle w:val="22"/>
              <w:bidi w:val="0"/>
              <w:rPr>
                <w:color w:val="0000FF"/>
              </w:rPr>
            </w:pPr>
            <w:r>
              <w:rPr>
                <w:rFonts w:hint="eastAsia"/>
                <w:color w:val="0000FF"/>
                <w:lang w:val="en-US" w:eastAsia="zh-CN"/>
              </w:rPr>
              <w:t>2</w:t>
            </w:r>
            <w:r>
              <w:rPr>
                <w:color w:val="0000FF"/>
              </w:rPr>
              <w:t>层和1层均设有生物实验室区域，各设有高温灭菌锅</w:t>
            </w:r>
          </w:p>
        </w:tc>
        <w:tc>
          <w:tcPr>
            <w:tcW w:w="1284" w:type="dxa"/>
            <w:tcBorders>
              <w:tl2br w:val="nil"/>
              <w:tr2bl w:val="nil"/>
            </w:tcBorders>
            <w:vAlign w:val="center"/>
          </w:tcPr>
          <w:p>
            <w:pPr>
              <w:pStyle w:val="22"/>
              <w:bidi w:val="0"/>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jc w:val="center"/>
        </w:trPr>
        <w:tc>
          <w:tcPr>
            <w:tcW w:w="1309" w:type="dxa"/>
            <w:vMerge w:val="continue"/>
            <w:tcBorders>
              <w:tl2br w:val="nil"/>
              <w:tr2bl w:val="nil"/>
            </w:tcBorders>
            <w:vAlign w:val="center"/>
          </w:tcPr>
          <w:p>
            <w:pPr>
              <w:pStyle w:val="22"/>
              <w:bidi w:val="0"/>
              <w:rPr>
                <w:color w:val="0000FF"/>
              </w:rPr>
            </w:pPr>
          </w:p>
        </w:tc>
        <w:tc>
          <w:tcPr>
            <w:tcW w:w="2876" w:type="dxa"/>
            <w:tcBorders>
              <w:tl2br w:val="nil"/>
              <w:tr2bl w:val="nil"/>
            </w:tcBorders>
            <w:vAlign w:val="center"/>
          </w:tcPr>
          <w:p>
            <w:pPr>
              <w:pStyle w:val="22"/>
              <w:bidi w:val="0"/>
              <w:rPr>
                <w:color w:val="0000FF"/>
              </w:rPr>
            </w:pPr>
            <w:r>
              <w:rPr>
                <w:color w:val="0000FF"/>
              </w:rPr>
              <w:t>二级、三级、四级生物安全实验室的入口，应明确标示出生物防护级别、操作的致病性生物因子、实验室负责人姓名、紧急联络方式等，并应标示出国际通用生物危险符号</w:t>
            </w:r>
          </w:p>
        </w:tc>
        <w:tc>
          <w:tcPr>
            <w:tcW w:w="3129" w:type="dxa"/>
            <w:tcBorders>
              <w:tl2br w:val="nil"/>
              <w:tr2bl w:val="nil"/>
            </w:tcBorders>
            <w:vAlign w:val="center"/>
          </w:tcPr>
          <w:p>
            <w:pPr>
              <w:pStyle w:val="22"/>
              <w:bidi w:val="0"/>
              <w:rPr>
                <w:color w:val="0000FF"/>
              </w:rPr>
            </w:pPr>
            <w:r>
              <w:rPr>
                <w:color w:val="0000FF"/>
              </w:rPr>
              <w:t>实验室的入口均明确标示出生物防护级别、操作的致病性生物因子、实验室负责人姓名、紧急联络方式等，并标示出国际通用生物危险符号</w:t>
            </w:r>
          </w:p>
        </w:tc>
        <w:tc>
          <w:tcPr>
            <w:tcW w:w="1284" w:type="dxa"/>
            <w:tcBorders>
              <w:tl2br w:val="nil"/>
              <w:tr2bl w:val="nil"/>
            </w:tcBorders>
            <w:vAlign w:val="center"/>
          </w:tcPr>
          <w:p>
            <w:pPr>
              <w:pStyle w:val="22"/>
              <w:bidi w:val="0"/>
              <w:rPr>
                <w:color w:val="0000FF"/>
              </w:rPr>
            </w:pPr>
            <w:r>
              <w:rPr>
                <w:color w:val="0000FF"/>
              </w:rPr>
              <w:t>符合</w:t>
            </w:r>
          </w:p>
        </w:tc>
      </w:tr>
    </w:tbl>
    <w:p>
      <w:pPr>
        <w:bidi w:val="0"/>
        <w:rPr>
          <w:color w:val="0000FF"/>
        </w:rPr>
      </w:pPr>
      <w:r>
        <w:rPr>
          <w:color w:val="0000FF"/>
        </w:rPr>
        <w:t>本项目建设的生物细菌实验室和</w:t>
      </w:r>
      <w:r>
        <w:rPr>
          <w:color w:val="0000FF"/>
          <w:highlight w:val="none"/>
        </w:rPr>
        <w:t>基因扩增实验室</w:t>
      </w:r>
      <w:r>
        <w:rPr>
          <w:color w:val="0000FF"/>
        </w:rPr>
        <w:t>均属于二级实验室，符合该规范中的二级实验室要求。</w:t>
      </w:r>
    </w:p>
    <w:p>
      <w:pPr>
        <w:pStyle w:val="7"/>
        <w:bidi w:val="0"/>
        <w:rPr>
          <w:color w:val="0000FF"/>
        </w:rPr>
      </w:pPr>
      <w:r>
        <w:rPr>
          <w:color w:val="0000FF"/>
        </w:rPr>
        <w:t>2.9.</w:t>
      </w:r>
      <w:r>
        <w:rPr>
          <w:rFonts w:hint="eastAsia"/>
          <w:color w:val="0000FF"/>
          <w:lang w:val="en-US" w:eastAsia="zh-CN"/>
        </w:rPr>
        <w:t>4</w:t>
      </w:r>
      <w:r>
        <w:rPr>
          <w:color w:val="0000FF"/>
        </w:rPr>
        <w:t>.2与《实验室生物安全通用要求》（GB19489-2008）相符性分析</w:t>
      </w:r>
    </w:p>
    <w:p>
      <w:pPr>
        <w:bidi w:val="0"/>
        <w:rPr>
          <w:color w:val="0000FF"/>
        </w:rPr>
      </w:pPr>
      <w:r>
        <w:rPr>
          <w:color w:val="0000FF"/>
        </w:rPr>
        <w:t>本项目需参照《实验室生物安全通用要求》（GB19489-2008）要求，进行实验室的设计和建造，配置必要的生物安全防护设备。相符性分析见表2.9-</w:t>
      </w:r>
      <w:r>
        <w:rPr>
          <w:rFonts w:hint="eastAsia"/>
          <w:color w:val="0000FF"/>
          <w:lang w:val="en-US" w:eastAsia="zh-CN"/>
        </w:rPr>
        <w:t>6</w:t>
      </w:r>
      <w:r>
        <w:rPr>
          <w:color w:val="0000FF"/>
        </w:rPr>
        <w:t>。</w:t>
      </w:r>
    </w:p>
    <w:p>
      <w:pPr>
        <w:pStyle w:val="22"/>
        <w:bidi w:val="0"/>
        <w:rPr>
          <w:b/>
          <w:bCs/>
          <w:color w:val="0000FF"/>
        </w:rPr>
      </w:pPr>
      <w:r>
        <w:rPr>
          <w:b/>
          <w:bCs/>
          <w:color w:val="0000FF"/>
        </w:rPr>
        <w:t>表2.9-</w:t>
      </w:r>
      <w:r>
        <w:rPr>
          <w:rFonts w:hint="eastAsia"/>
          <w:b/>
          <w:bCs/>
          <w:color w:val="0000FF"/>
          <w:lang w:val="en-US" w:eastAsia="zh-CN"/>
        </w:rPr>
        <w:t>6</w:t>
      </w:r>
      <w:r>
        <w:rPr>
          <w:b/>
          <w:bCs/>
          <w:color w:val="0000FF"/>
        </w:rPr>
        <w:t>项目与《实验室生物安全通用要求》（GB19489-2008）相符性</w:t>
      </w:r>
    </w:p>
    <w:tbl>
      <w:tblPr>
        <w:tblStyle w:val="23"/>
        <w:tblW w:w="85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6"/>
        <w:gridCol w:w="2850"/>
        <w:gridCol w:w="3100"/>
        <w:gridCol w:w="12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296" w:type="dxa"/>
            <w:tcBorders>
              <w:tl2br w:val="nil"/>
              <w:tr2bl w:val="nil"/>
            </w:tcBorders>
            <w:vAlign w:val="center"/>
          </w:tcPr>
          <w:p>
            <w:pPr>
              <w:pStyle w:val="22"/>
              <w:bidi w:val="0"/>
              <w:jc w:val="center"/>
              <w:rPr>
                <w:color w:val="0000FF"/>
              </w:rPr>
            </w:pPr>
            <w:r>
              <w:rPr>
                <w:color w:val="0000FF"/>
              </w:rPr>
              <w:t>标准、规则</w:t>
            </w:r>
          </w:p>
        </w:tc>
        <w:tc>
          <w:tcPr>
            <w:tcW w:w="2850" w:type="dxa"/>
            <w:tcBorders>
              <w:tl2br w:val="nil"/>
              <w:tr2bl w:val="nil"/>
            </w:tcBorders>
            <w:vAlign w:val="center"/>
          </w:tcPr>
          <w:p>
            <w:pPr>
              <w:pStyle w:val="22"/>
              <w:bidi w:val="0"/>
              <w:jc w:val="center"/>
              <w:rPr>
                <w:color w:val="0000FF"/>
              </w:rPr>
            </w:pPr>
            <w:r>
              <w:rPr>
                <w:color w:val="0000FF"/>
              </w:rPr>
              <w:t>指标要求</w:t>
            </w:r>
          </w:p>
        </w:tc>
        <w:tc>
          <w:tcPr>
            <w:tcW w:w="3100" w:type="dxa"/>
            <w:tcBorders>
              <w:tl2br w:val="nil"/>
              <w:tr2bl w:val="nil"/>
            </w:tcBorders>
            <w:vAlign w:val="center"/>
          </w:tcPr>
          <w:p>
            <w:pPr>
              <w:pStyle w:val="22"/>
              <w:bidi w:val="0"/>
              <w:jc w:val="center"/>
              <w:rPr>
                <w:color w:val="0000FF"/>
              </w:rPr>
            </w:pPr>
            <w:r>
              <w:rPr>
                <w:color w:val="0000FF"/>
              </w:rPr>
              <w:t>本项目</w:t>
            </w:r>
          </w:p>
        </w:tc>
        <w:tc>
          <w:tcPr>
            <w:tcW w:w="1272" w:type="dxa"/>
            <w:tcBorders>
              <w:tl2br w:val="nil"/>
              <w:tr2bl w:val="nil"/>
            </w:tcBorders>
            <w:vAlign w:val="center"/>
          </w:tcPr>
          <w:p>
            <w:pPr>
              <w:pStyle w:val="22"/>
              <w:bidi w:val="0"/>
              <w:jc w:val="center"/>
              <w:rPr>
                <w:color w:val="0000FF"/>
              </w:rPr>
            </w:pPr>
            <w:r>
              <w:rPr>
                <w:color w:val="0000FF"/>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1296" w:type="dxa"/>
            <w:vMerge w:val="restart"/>
            <w:tcBorders>
              <w:tl2br w:val="nil"/>
              <w:tr2bl w:val="nil"/>
            </w:tcBorders>
            <w:vAlign w:val="center"/>
          </w:tcPr>
          <w:p>
            <w:pPr>
              <w:pStyle w:val="22"/>
              <w:bidi w:val="0"/>
              <w:jc w:val="center"/>
              <w:rPr>
                <w:color w:val="0000FF"/>
              </w:rPr>
            </w:pPr>
            <w:r>
              <w:rPr>
                <w:color w:val="0000FF"/>
              </w:rPr>
              <w:t>《实验室生物安全通用要求》（GB19489-2008）对二级实验室设施和设备要求</w:t>
            </w:r>
          </w:p>
        </w:tc>
        <w:tc>
          <w:tcPr>
            <w:tcW w:w="2850" w:type="dxa"/>
            <w:tcBorders>
              <w:tl2br w:val="nil"/>
              <w:tr2bl w:val="nil"/>
            </w:tcBorders>
            <w:vAlign w:val="center"/>
          </w:tcPr>
          <w:p>
            <w:pPr>
              <w:pStyle w:val="22"/>
              <w:bidi w:val="0"/>
              <w:jc w:val="center"/>
              <w:rPr>
                <w:color w:val="0000FF"/>
              </w:rPr>
            </w:pPr>
            <w:r>
              <w:rPr>
                <w:color w:val="0000FF"/>
              </w:rPr>
              <w:t>每个实验室应设洗手池，宜设置在靠近出口处</w:t>
            </w:r>
          </w:p>
        </w:tc>
        <w:tc>
          <w:tcPr>
            <w:tcW w:w="3100" w:type="dxa"/>
            <w:tcBorders>
              <w:tl2br w:val="nil"/>
              <w:tr2bl w:val="nil"/>
            </w:tcBorders>
            <w:vAlign w:val="center"/>
          </w:tcPr>
          <w:p>
            <w:pPr>
              <w:pStyle w:val="22"/>
              <w:bidi w:val="0"/>
              <w:jc w:val="center"/>
              <w:rPr>
                <w:color w:val="0000FF"/>
              </w:rPr>
            </w:pPr>
            <w:r>
              <w:rPr>
                <w:color w:val="0000FF"/>
              </w:rPr>
              <w:t>每个实验室均设有洗手池，尽量设置在靠出口位置</w:t>
            </w:r>
          </w:p>
        </w:tc>
        <w:tc>
          <w:tcPr>
            <w:tcW w:w="1272" w:type="dxa"/>
            <w:tcBorders>
              <w:tl2br w:val="nil"/>
              <w:tr2bl w:val="nil"/>
            </w:tcBorders>
            <w:vAlign w:val="center"/>
          </w:tcPr>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1" w:hRule="atLeast"/>
          <w:jc w:val="center"/>
        </w:trPr>
        <w:tc>
          <w:tcPr>
            <w:tcW w:w="1296" w:type="dxa"/>
            <w:vMerge w:val="continue"/>
            <w:tcBorders>
              <w:tl2br w:val="nil"/>
              <w:tr2bl w:val="nil"/>
            </w:tcBorders>
            <w:vAlign w:val="center"/>
          </w:tcPr>
          <w:p>
            <w:pPr>
              <w:pStyle w:val="22"/>
              <w:bidi w:val="0"/>
              <w:jc w:val="center"/>
              <w:rPr>
                <w:color w:val="0000FF"/>
              </w:rPr>
            </w:pPr>
          </w:p>
        </w:tc>
        <w:tc>
          <w:tcPr>
            <w:tcW w:w="2850" w:type="dxa"/>
            <w:tcBorders>
              <w:tl2br w:val="nil"/>
              <w:tr2bl w:val="nil"/>
            </w:tcBorders>
            <w:vAlign w:val="center"/>
          </w:tcPr>
          <w:p>
            <w:pPr>
              <w:pStyle w:val="22"/>
              <w:bidi w:val="0"/>
              <w:jc w:val="center"/>
              <w:rPr>
                <w:color w:val="0000FF"/>
              </w:rPr>
            </w:pPr>
            <w:r>
              <w:rPr>
                <w:color w:val="0000FF"/>
              </w:rPr>
              <w:t>实验室围护结构内表面应易于清洁。地面应防滑、无缝隙，不得铺设地毯。</w:t>
            </w:r>
          </w:p>
        </w:tc>
        <w:tc>
          <w:tcPr>
            <w:tcW w:w="3100" w:type="dxa"/>
            <w:tcBorders>
              <w:tl2br w:val="nil"/>
              <w:tr2bl w:val="nil"/>
            </w:tcBorders>
            <w:vAlign w:val="center"/>
          </w:tcPr>
          <w:p>
            <w:pPr>
              <w:pStyle w:val="22"/>
              <w:bidi w:val="0"/>
              <w:jc w:val="center"/>
              <w:rPr>
                <w:color w:val="0000FF"/>
              </w:rPr>
            </w:pPr>
            <w:r>
              <w:rPr>
                <w:color w:val="0000FF"/>
              </w:rPr>
              <w:t>普通实验室与办公室、走廊及公共场所采用抛光砖、黑金砂大理石；洁净实验室采用PVC卷材地板胶地面，耐腐蚀、耐弱酸、耐弱碱。</w:t>
            </w:r>
          </w:p>
        </w:tc>
        <w:tc>
          <w:tcPr>
            <w:tcW w:w="1272"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jc w:val="center"/>
        </w:trPr>
        <w:tc>
          <w:tcPr>
            <w:tcW w:w="1296" w:type="dxa"/>
            <w:vMerge w:val="continue"/>
            <w:tcBorders>
              <w:tl2br w:val="nil"/>
              <w:tr2bl w:val="nil"/>
            </w:tcBorders>
            <w:vAlign w:val="center"/>
          </w:tcPr>
          <w:p>
            <w:pPr>
              <w:pStyle w:val="22"/>
              <w:bidi w:val="0"/>
              <w:jc w:val="center"/>
              <w:rPr>
                <w:color w:val="0000FF"/>
              </w:rPr>
            </w:pPr>
          </w:p>
        </w:tc>
        <w:tc>
          <w:tcPr>
            <w:tcW w:w="2850" w:type="dxa"/>
            <w:tcBorders>
              <w:tl2br w:val="nil"/>
              <w:tr2bl w:val="nil"/>
            </w:tcBorders>
            <w:vAlign w:val="center"/>
          </w:tcPr>
          <w:p>
            <w:pPr>
              <w:pStyle w:val="22"/>
              <w:bidi w:val="0"/>
              <w:jc w:val="center"/>
              <w:rPr>
                <w:color w:val="0000FF"/>
              </w:rPr>
            </w:pPr>
            <w:r>
              <w:rPr>
                <w:color w:val="0000FF"/>
              </w:rPr>
              <w:t>实验室中的家具应牢固。为易于清洁，各种家具和设备之间应保持生物废弃物容器的台</w:t>
            </w:r>
            <w:r>
              <w:rPr>
                <w:rFonts w:hint="eastAsia"/>
                <w:color w:val="0000FF"/>
                <w:lang w:eastAsia="zh-CN"/>
              </w:rPr>
              <w:t>（</w:t>
            </w:r>
            <w:r>
              <w:rPr>
                <w:color w:val="0000FF"/>
              </w:rPr>
              <w:t>架</w:t>
            </w:r>
            <w:r>
              <w:rPr>
                <w:rFonts w:hint="eastAsia"/>
                <w:color w:val="0000FF"/>
                <w:lang w:eastAsia="zh-CN"/>
              </w:rPr>
              <w:t>）</w:t>
            </w:r>
            <w:r>
              <w:rPr>
                <w:color w:val="0000FF"/>
              </w:rPr>
              <w:t>。</w:t>
            </w:r>
          </w:p>
        </w:tc>
        <w:tc>
          <w:tcPr>
            <w:tcW w:w="3100" w:type="dxa"/>
            <w:tcBorders>
              <w:tl2br w:val="nil"/>
              <w:tr2bl w:val="nil"/>
            </w:tcBorders>
            <w:vAlign w:val="center"/>
          </w:tcPr>
          <w:p>
            <w:pPr>
              <w:pStyle w:val="22"/>
              <w:bidi w:val="0"/>
              <w:jc w:val="center"/>
              <w:rPr>
                <w:color w:val="0000FF"/>
              </w:rPr>
            </w:pPr>
            <w:r>
              <w:rPr>
                <w:color w:val="0000FF"/>
              </w:rPr>
              <w:t>边台、冰箱、生物安全柜、试剂柜、器皿柜等均沿墙边摆设</w:t>
            </w:r>
          </w:p>
        </w:tc>
        <w:tc>
          <w:tcPr>
            <w:tcW w:w="1272"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296" w:type="dxa"/>
            <w:vMerge w:val="continue"/>
            <w:tcBorders>
              <w:tl2br w:val="nil"/>
              <w:tr2bl w:val="nil"/>
            </w:tcBorders>
            <w:vAlign w:val="center"/>
          </w:tcPr>
          <w:p>
            <w:pPr>
              <w:pStyle w:val="22"/>
              <w:bidi w:val="0"/>
              <w:jc w:val="center"/>
              <w:rPr>
                <w:color w:val="0000FF"/>
              </w:rPr>
            </w:pPr>
          </w:p>
        </w:tc>
        <w:tc>
          <w:tcPr>
            <w:tcW w:w="2850" w:type="dxa"/>
            <w:tcBorders>
              <w:tl2br w:val="nil"/>
              <w:tr2bl w:val="nil"/>
            </w:tcBorders>
            <w:vAlign w:val="center"/>
          </w:tcPr>
          <w:p>
            <w:pPr>
              <w:pStyle w:val="22"/>
              <w:bidi w:val="0"/>
              <w:jc w:val="center"/>
              <w:rPr>
                <w:color w:val="0000FF"/>
              </w:rPr>
            </w:pPr>
            <w:r>
              <w:rPr>
                <w:color w:val="0000FF"/>
              </w:rPr>
              <w:t>实验室如有可开启的窗户，应设置纱窗</w:t>
            </w:r>
          </w:p>
        </w:tc>
        <w:tc>
          <w:tcPr>
            <w:tcW w:w="3100" w:type="dxa"/>
            <w:tcBorders>
              <w:tl2br w:val="nil"/>
              <w:tr2bl w:val="nil"/>
            </w:tcBorders>
            <w:vAlign w:val="center"/>
          </w:tcPr>
          <w:p>
            <w:pPr>
              <w:pStyle w:val="22"/>
              <w:bidi w:val="0"/>
              <w:jc w:val="center"/>
              <w:rPr>
                <w:color w:val="0000FF"/>
              </w:rPr>
            </w:pPr>
            <w:r>
              <w:rPr>
                <w:color w:val="0000FF"/>
              </w:rPr>
              <w:t>可开启窗户设立纱窗</w:t>
            </w:r>
          </w:p>
        </w:tc>
        <w:tc>
          <w:tcPr>
            <w:tcW w:w="1272" w:type="dxa"/>
            <w:tcBorders>
              <w:tl2br w:val="nil"/>
              <w:tr2bl w:val="nil"/>
            </w:tcBorders>
            <w:vAlign w:val="center"/>
          </w:tcPr>
          <w:p>
            <w:pPr>
              <w:pStyle w:val="22"/>
              <w:bidi w:val="0"/>
              <w:jc w:val="center"/>
              <w:rPr>
                <w:color w:val="0000FF"/>
              </w:rPr>
            </w:pPr>
            <w:r>
              <w:rPr>
                <w:color w:val="0000FF"/>
              </w:rPr>
              <w:t>符合</w:t>
            </w:r>
          </w:p>
        </w:tc>
      </w:tr>
    </w:tbl>
    <w:p>
      <w:pPr>
        <w:bidi w:val="0"/>
        <w:rPr>
          <w:color w:val="0000FF"/>
        </w:rPr>
      </w:pPr>
      <w:r>
        <w:rPr>
          <w:color w:val="0000FF"/>
        </w:rPr>
        <w:t>本项目建设的生物细菌实验室和基因扩增实验室均属于二级实验室，符合《实验室生物安全通用要求》（GB19489-2008）中的二级实验室要求。</w:t>
      </w:r>
    </w:p>
    <w:p>
      <w:pPr>
        <w:pStyle w:val="7"/>
        <w:bidi w:val="0"/>
        <w:rPr>
          <w:rFonts w:hint="eastAsia" w:eastAsia="宋体"/>
          <w:color w:val="0000FF"/>
          <w:lang w:eastAsia="zh-CN"/>
        </w:rPr>
      </w:pPr>
      <w:r>
        <w:rPr>
          <w:color w:val="0000FF"/>
        </w:rPr>
        <w:t>2.9.</w:t>
      </w:r>
      <w:r>
        <w:rPr>
          <w:rFonts w:hint="eastAsia"/>
          <w:color w:val="0000FF"/>
          <w:lang w:val="en-US" w:eastAsia="zh-CN"/>
        </w:rPr>
        <w:t>4</w:t>
      </w:r>
      <w:r>
        <w:rPr>
          <w:color w:val="0000FF"/>
        </w:rPr>
        <w:t>.3与《微生物和生物医学实验室安全通用准则》中选址要求符合性</w:t>
      </w:r>
    </w:p>
    <w:p>
      <w:pPr>
        <w:pStyle w:val="22"/>
        <w:bidi w:val="0"/>
        <w:rPr>
          <w:b/>
          <w:bCs/>
          <w:color w:val="0000FF"/>
        </w:rPr>
      </w:pPr>
      <w:r>
        <w:rPr>
          <w:b/>
          <w:bCs/>
          <w:color w:val="0000FF"/>
        </w:rPr>
        <w:t>表2.9-</w:t>
      </w:r>
      <w:r>
        <w:rPr>
          <w:rFonts w:hint="eastAsia"/>
          <w:b/>
          <w:bCs/>
          <w:color w:val="0000FF"/>
          <w:lang w:val="en-US" w:eastAsia="zh-CN"/>
        </w:rPr>
        <w:t>7</w:t>
      </w:r>
      <w:r>
        <w:rPr>
          <w:b/>
          <w:bCs/>
          <w:color w:val="0000FF"/>
        </w:rPr>
        <w:t>项目与《微生物和生物医学实验室安全通用准则》相符性</w:t>
      </w:r>
    </w:p>
    <w:tbl>
      <w:tblPr>
        <w:tblStyle w:val="23"/>
        <w:tblW w:w="8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0"/>
        <w:gridCol w:w="2879"/>
        <w:gridCol w:w="3132"/>
        <w:gridCol w:w="1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10" w:type="dxa"/>
            <w:tcBorders>
              <w:tl2br w:val="nil"/>
              <w:tr2bl w:val="nil"/>
            </w:tcBorders>
            <w:vAlign w:val="center"/>
          </w:tcPr>
          <w:p>
            <w:pPr>
              <w:pStyle w:val="22"/>
              <w:bidi w:val="0"/>
              <w:jc w:val="center"/>
              <w:rPr>
                <w:color w:val="0000FF"/>
              </w:rPr>
            </w:pPr>
            <w:r>
              <w:rPr>
                <w:color w:val="0000FF"/>
              </w:rPr>
              <w:t>标准、规则</w:t>
            </w:r>
          </w:p>
        </w:tc>
        <w:tc>
          <w:tcPr>
            <w:tcW w:w="2879" w:type="dxa"/>
            <w:tcBorders>
              <w:tl2br w:val="nil"/>
              <w:tr2bl w:val="nil"/>
            </w:tcBorders>
            <w:vAlign w:val="center"/>
          </w:tcPr>
          <w:p>
            <w:pPr>
              <w:pStyle w:val="22"/>
              <w:bidi w:val="0"/>
              <w:jc w:val="center"/>
              <w:rPr>
                <w:color w:val="0000FF"/>
              </w:rPr>
            </w:pPr>
            <w:r>
              <w:rPr>
                <w:color w:val="0000FF"/>
              </w:rPr>
              <w:t>指标要求</w:t>
            </w:r>
          </w:p>
        </w:tc>
        <w:tc>
          <w:tcPr>
            <w:tcW w:w="3132" w:type="dxa"/>
            <w:tcBorders>
              <w:tl2br w:val="nil"/>
              <w:tr2bl w:val="nil"/>
            </w:tcBorders>
            <w:vAlign w:val="center"/>
          </w:tcPr>
          <w:p>
            <w:pPr>
              <w:pStyle w:val="22"/>
              <w:bidi w:val="0"/>
              <w:jc w:val="center"/>
              <w:rPr>
                <w:color w:val="0000FF"/>
              </w:rPr>
            </w:pPr>
            <w:r>
              <w:rPr>
                <w:color w:val="0000FF"/>
              </w:rPr>
              <w:t>本项目</w:t>
            </w:r>
          </w:p>
        </w:tc>
        <w:tc>
          <w:tcPr>
            <w:tcW w:w="1285" w:type="dxa"/>
            <w:tcBorders>
              <w:tl2br w:val="nil"/>
              <w:tr2bl w:val="nil"/>
            </w:tcBorders>
            <w:vAlign w:val="center"/>
          </w:tcPr>
          <w:p>
            <w:pPr>
              <w:pStyle w:val="22"/>
              <w:bidi w:val="0"/>
              <w:jc w:val="center"/>
              <w:rPr>
                <w:color w:val="0000FF"/>
              </w:rPr>
            </w:pPr>
            <w:r>
              <w:rPr>
                <w:color w:val="0000FF"/>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jc w:val="center"/>
        </w:trPr>
        <w:tc>
          <w:tcPr>
            <w:tcW w:w="1310" w:type="dxa"/>
            <w:vMerge w:val="restart"/>
            <w:tcBorders>
              <w:tl2br w:val="nil"/>
              <w:tr2bl w:val="nil"/>
            </w:tcBorders>
            <w:vAlign w:val="center"/>
          </w:tcPr>
          <w:p>
            <w:pPr>
              <w:pStyle w:val="22"/>
              <w:bidi w:val="0"/>
              <w:jc w:val="center"/>
              <w:rPr>
                <w:color w:val="0000FF"/>
              </w:rPr>
            </w:pPr>
            <w:r>
              <w:rPr>
                <w:color w:val="0000FF"/>
              </w:rPr>
              <w:t>《微生物和生物医学实验室安全通用准则》对二级实验室设的基</w:t>
            </w:r>
          </w:p>
          <w:p>
            <w:pPr>
              <w:pStyle w:val="22"/>
              <w:bidi w:val="0"/>
              <w:jc w:val="center"/>
              <w:rPr>
                <w:color w:val="0000FF"/>
              </w:rPr>
            </w:pPr>
            <w:r>
              <w:rPr>
                <w:color w:val="0000FF"/>
              </w:rPr>
              <w:t>本要求</w:t>
            </w:r>
          </w:p>
        </w:tc>
        <w:tc>
          <w:tcPr>
            <w:tcW w:w="2879" w:type="dxa"/>
            <w:tcBorders>
              <w:tl2br w:val="nil"/>
              <w:tr2bl w:val="nil"/>
            </w:tcBorders>
            <w:vAlign w:val="center"/>
          </w:tcPr>
          <w:p>
            <w:pPr>
              <w:pStyle w:val="22"/>
              <w:bidi w:val="0"/>
              <w:jc w:val="center"/>
              <w:rPr>
                <w:color w:val="0000FF"/>
              </w:rPr>
            </w:pPr>
            <w:r>
              <w:rPr>
                <w:color w:val="0000FF"/>
              </w:rPr>
              <w:t>可能产生致病微生物气溶胶或出现溅出的操作均应在生物安全柜</w:t>
            </w:r>
            <w:r>
              <w:rPr>
                <w:rFonts w:hint="eastAsia"/>
                <w:color w:val="0000FF"/>
                <w:lang w:eastAsia="zh-CN"/>
              </w:rPr>
              <w:t>（</w:t>
            </w:r>
            <w:r>
              <w:rPr>
                <w:color w:val="0000FF"/>
              </w:rPr>
              <w:t>II级生物安全柜为宜</w:t>
            </w:r>
            <w:r>
              <w:rPr>
                <w:rFonts w:hint="eastAsia"/>
                <w:color w:val="0000FF"/>
                <w:lang w:eastAsia="zh-CN"/>
              </w:rPr>
              <w:t>）</w:t>
            </w:r>
            <w:r>
              <w:rPr>
                <w:color w:val="0000FF"/>
              </w:rPr>
              <w:t>或其他物理抑制设备中进行，并使用个体防护设备</w:t>
            </w:r>
          </w:p>
        </w:tc>
        <w:tc>
          <w:tcPr>
            <w:tcW w:w="3132" w:type="dxa"/>
            <w:tcBorders>
              <w:tl2br w:val="nil"/>
              <w:tr2bl w:val="nil"/>
            </w:tcBorders>
            <w:vAlign w:val="center"/>
          </w:tcPr>
          <w:p>
            <w:pPr>
              <w:pStyle w:val="22"/>
              <w:bidi w:val="0"/>
              <w:jc w:val="center"/>
              <w:rPr>
                <w:color w:val="0000FF"/>
              </w:rPr>
            </w:pPr>
            <w:r>
              <w:rPr>
                <w:color w:val="0000FF"/>
              </w:rPr>
              <w:t>生物实验均要求在生物安全柜内进行，并使用个体防护设备</w:t>
            </w:r>
          </w:p>
        </w:tc>
        <w:tc>
          <w:tcPr>
            <w:tcW w:w="1285" w:type="dxa"/>
            <w:tcBorders>
              <w:tl2br w:val="nil"/>
              <w:tr2bl w:val="nil"/>
            </w:tcBorders>
            <w:vAlign w:val="center"/>
          </w:tcPr>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5" w:hRule="atLeast"/>
          <w:jc w:val="center"/>
        </w:trPr>
        <w:tc>
          <w:tcPr>
            <w:tcW w:w="1310" w:type="dxa"/>
            <w:vMerge w:val="continue"/>
            <w:tcBorders>
              <w:tl2br w:val="nil"/>
              <w:tr2bl w:val="nil"/>
            </w:tcBorders>
            <w:vAlign w:val="center"/>
          </w:tcPr>
          <w:p>
            <w:pPr>
              <w:pStyle w:val="22"/>
              <w:bidi w:val="0"/>
              <w:jc w:val="center"/>
              <w:rPr>
                <w:color w:val="0000FF"/>
              </w:rPr>
            </w:pPr>
          </w:p>
        </w:tc>
        <w:tc>
          <w:tcPr>
            <w:tcW w:w="2879" w:type="dxa"/>
            <w:tcBorders>
              <w:tl2br w:val="nil"/>
              <w:tr2bl w:val="nil"/>
            </w:tcBorders>
            <w:vAlign w:val="center"/>
          </w:tcPr>
          <w:p>
            <w:pPr>
              <w:pStyle w:val="22"/>
              <w:bidi w:val="0"/>
              <w:jc w:val="center"/>
              <w:rPr>
                <w:color w:val="0000FF"/>
              </w:rPr>
            </w:pPr>
            <w:r>
              <w:rPr>
                <w:color w:val="0000FF"/>
              </w:rPr>
              <w:t>在实验室中应穿着工作服或罩衫等防护服。离开实验室时，防护服必须脱下并留在实验室内。不得穿着外出，更不能携带回家。用过的工作服应先在实验室中消毒，然后统一洗涤或丢弃</w:t>
            </w:r>
          </w:p>
        </w:tc>
        <w:tc>
          <w:tcPr>
            <w:tcW w:w="3132" w:type="dxa"/>
            <w:tcBorders>
              <w:tl2br w:val="nil"/>
              <w:tr2bl w:val="nil"/>
            </w:tcBorders>
            <w:vAlign w:val="center"/>
          </w:tcPr>
          <w:p>
            <w:pPr>
              <w:pStyle w:val="22"/>
              <w:bidi w:val="0"/>
              <w:jc w:val="center"/>
              <w:rPr>
                <w:color w:val="0000FF"/>
              </w:rPr>
            </w:pPr>
            <w:r>
              <w:rPr>
                <w:color w:val="0000FF"/>
              </w:rPr>
              <w:t>进入试验区域均需要更衣，换洗衣物在</w:t>
            </w:r>
            <w:r>
              <w:rPr>
                <w:rFonts w:hint="eastAsia"/>
                <w:color w:val="0000FF"/>
                <w:lang w:val="en-US" w:eastAsia="zh-CN"/>
              </w:rPr>
              <w:t>2</w:t>
            </w:r>
            <w:r>
              <w:rPr>
                <w:color w:val="0000FF"/>
              </w:rPr>
              <w:t>楼和1楼西侧的工作服洗消间进行处理</w:t>
            </w:r>
          </w:p>
        </w:tc>
        <w:tc>
          <w:tcPr>
            <w:tcW w:w="1285" w:type="dxa"/>
            <w:tcBorders>
              <w:tl2br w:val="nil"/>
              <w:tr2bl w:val="nil"/>
            </w:tcBorders>
            <w:vAlign w:val="center"/>
          </w:tcPr>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jc w:val="center"/>
        </w:trPr>
        <w:tc>
          <w:tcPr>
            <w:tcW w:w="1310" w:type="dxa"/>
            <w:vMerge w:val="continue"/>
            <w:tcBorders>
              <w:tl2br w:val="nil"/>
              <w:tr2bl w:val="nil"/>
            </w:tcBorders>
            <w:vAlign w:val="center"/>
          </w:tcPr>
          <w:p>
            <w:pPr>
              <w:pStyle w:val="22"/>
              <w:bidi w:val="0"/>
              <w:jc w:val="center"/>
              <w:rPr>
                <w:color w:val="0000FF"/>
              </w:rPr>
            </w:pPr>
          </w:p>
        </w:tc>
        <w:tc>
          <w:tcPr>
            <w:tcW w:w="2879" w:type="dxa"/>
            <w:tcBorders>
              <w:tl2br w:val="nil"/>
              <w:tr2bl w:val="nil"/>
            </w:tcBorders>
            <w:vAlign w:val="center"/>
          </w:tcPr>
          <w:p>
            <w:pPr>
              <w:pStyle w:val="22"/>
              <w:bidi w:val="0"/>
              <w:jc w:val="center"/>
              <w:rPr>
                <w:color w:val="0000FF"/>
              </w:rPr>
            </w:pPr>
            <w:r>
              <w:rPr>
                <w:color w:val="0000FF"/>
              </w:rPr>
              <w:t>应设置实施各种消毒方法的设施，如高压灭菌锅、化学消毒装置等对废弃物进行处理。</w:t>
            </w:r>
          </w:p>
        </w:tc>
        <w:tc>
          <w:tcPr>
            <w:tcW w:w="3132" w:type="dxa"/>
            <w:tcBorders>
              <w:tl2br w:val="nil"/>
              <w:tr2bl w:val="nil"/>
            </w:tcBorders>
            <w:vAlign w:val="center"/>
          </w:tcPr>
          <w:p>
            <w:pPr>
              <w:pStyle w:val="22"/>
              <w:bidi w:val="0"/>
              <w:jc w:val="center"/>
              <w:rPr>
                <w:color w:val="0000FF"/>
              </w:rPr>
            </w:pPr>
            <w:r>
              <w:rPr>
                <w:color w:val="0000FF"/>
              </w:rPr>
              <w:t>在</w:t>
            </w:r>
            <w:r>
              <w:rPr>
                <w:rFonts w:hint="eastAsia"/>
                <w:color w:val="0000FF"/>
                <w:lang w:val="en-US" w:eastAsia="zh-CN"/>
              </w:rPr>
              <w:t>2</w:t>
            </w:r>
            <w:r>
              <w:rPr>
                <w:color w:val="0000FF"/>
              </w:rPr>
              <w:t>楼和1楼西侧的生物实验室内设有高温灭菌锅对废弃物进行处理</w:t>
            </w:r>
          </w:p>
        </w:tc>
        <w:tc>
          <w:tcPr>
            <w:tcW w:w="1285"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310" w:type="dxa"/>
            <w:vMerge w:val="continue"/>
            <w:tcBorders>
              <w:tl2br w:val="nil"/>
              <w:tr2bl w:val="nil"/>
            </w:tcBorders>
            <w:vAlign w:val="center"/>
          </w:tcPr>
          <w:p>
            <w:pPr>
              <w:pStyle w:val="22"/>
              <w:bidi w:val="0"/>
              <w:jc w:val="center"/>
              <w:rPr>
                <w:color w:val="0000FF"/>
              </w:rPr>
            </w:pPr>
          </w:p>
        </w:tc>
        <w:tc>
          <w:tcPr>
            <w:tcW w:w="2879" w:type="dxa"/>
            <w:tcBorders>
              <w:tl2br w:val="nil"/>
              <w:tr2bl w:val="nil"/>
            </w:tcBorders>
            <w:vAlign w:val="center"/>
          </w:tcPr>
          <w:p>
            <w:pPr>
              <w:pStyle w:val="22"/>
              <w:bidi w:val="0"/>
              <w:jc w:val="center"/>
              <w:rPr>
                <w:color w:val="0000FF"/>
              </w:rPr>
            </w:pPr>
            <w:r>
              <w:rPr>
                <w:color w:val="0000FF"/>
              </w:rPr>
              <w:t>应设置洗眼装置</w:t>
            </w:r>
          </w:p>
        </w:tc>
        <w:tc>
          <w:tcPr>
            <w:tcW w:w="3132" w:type="dxa"/>
            <w:tcBorders>
              <w:tl2br w:val="nil"/>
              <w:tr2bl w:val="nil"/>
            </w:tcBorders>
            <w:vAlign w:val="center"/>
          </w:tcPr>
          <w:p>
            <w:pPr>
              <w:pStyle w:val="22"/>
              <w:bidi w:val="0"/>
              <w:jc w:val="center"/>
              <w:rPr>
                <w:color w:val="0000FF"/>
              </w:rPr>
            </w:pPr>
            <w:r>
              <w:rPr>
                <w:color w:val="0000FF"/>
              </w:rPr>
              <w:t>在P2实验室设有洗眼器</w:t>
            </w:r>
          </w:p>
        </w:tc>
        <w:tc>
          <w:tcPr>
            <w:tcW w:w="1285" w:type="dxa"/>
            <w:tcBorders>
              <w:tl2br w:val="nil"/>
              <w:tr2bl w:val="nil"/>
            </w:tcBorders>
            <w:vAlign w:val="center"/>
          </w:tcPr>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1310" w:type="dxa"/>
            <w:vMerge w:val="continue"/>
            <w:tcBorders>
              <w:tl2br w:val="nil"/>
              <w:tr2bl w:val="nil"/>
            </w:tcBorders>
            <w:vAlign w:val="center"/>
          </w:tcPr>
          <w:p>
            <w:pPr>
              <w:pStyle w:val="22"/>
              <w:bidi w:val="0"/>
              <w:jc w:val="center"/>
              <w:rPr>
                <w:color w:val="0000FF"/>
              </w:rPr>
            </w:pPr>
          </w:p>
        </w:tc>
        <w:tc>
          <w:tcPr>
            <w:tcW w:w="2879" w:type="dxa"/>
            <w:tcBorders>
              <w:tl2br w:val="nil"/>
              <w:tr2bl w:val="nil"/>
            </w:tcBorders>
            <w:vAlign w:val="center"/>
          </w:tcPr>
          <w:p>
            <w:pPr>
              <w:pStyle w:val="22"/>
              <w:bidi w:val="0"/>
              <w:jc w:val="center"/>
              <w:rPr>
                <w:color w:val="0000FF"/>
              </w:rPr>
            </w:pPr>
            <w:r>
              <w:rPr>
                <w:color w:val="0000FF"/>
              </w:rPr>
              <w:t>实验室门宜带锁、可自动关闭</w:t>
            </w:r>
          </w:p>
        </w:tc>
        <w:tc>
          <w:tcPr>
            <w:tcW w:w="3132" w:type="dxa"/>
            <w:tcBorders>
              <w:tl2br w:val="nil"/>
              <w:tr2bl w:val="nil"/>
            </w:tcBorders>
            <w:vAlign w:val="center"/>
          </w:tcPr>
          <w:p>
            <w:pPr>
              <w:pStyle w:val="22"/>
              <w:bidi w:val="0"/>
              <w:jc w:val="center"/>
              <w:rPr>
                <w:color w:val="0000FF"/>
              </w:rPr>
            </w:pPr>
            <w:r>
              <w:rPr>
                <w:color w:val="0000FF"/>
              </w:rPr>
              <w:t>实验室带锁、可自动关闭</w:t>
            </w:r>
          </w:p>
        </w:tc>
        <w:tc>
          <w:tcPr>
            <w:tcW w:w="1285" w:type="dxa"/>
            <w:tcBorders>
              <w:tl2br w:val="nil"/>
              <w:tr2bl w:val="nil"/>
            </w:tcBorders>
            <w:vAlign w:val="center"/>
          </w:tcPr>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10" w:type="dxa"/>
            <w:vMerge w:val="continue"/>
            <w:tcBorders>
              <w:tl2br w:val="nil"/>
              <w:tr2bl w:val="nil"/>
            </w:tcBorders>
            <w:vAlign w:val="center"/>
          </w:tcPr>
          <w:p>
            <w:pPr>
              <w:pStyle w:val="22"/>
              <w:bidi w:val="0"/>
              <w:jc w:val="center"/>
              <w:rPr>
                <w:color w:val="0000FF"/>
              </w:rPr>
            </w:pPr>
          </w:p>
        </w:tc>
        <w:tc>
          <w:tcPr>
            <w:tcW w:w="2879" w:type="dxa"/>
            <w:tcBorders>
              <w:tl2br w:val="nil"/>
              <w:tr2bl w:val="nil"/>
            </w:tcBorders>
            <w:vAlign w:val="center"/>
          </w:tcPr>
          <w:p>
            <w:pPr>
              <w:pStyle w:val="22"/>
              <w:bidi w:val="0"/>
              <w:jc w:val="center"/>
              <w:rPr>
                <w:color w:val="0000FF"/>
              </w:rPr>
            </w:pPr>
            <w:r>
              <w:rPr>
                <w:color w:val="0000FF"/>
              </w:rPr>
              <w:t>实验室出口应有发光指示标志</w:t>
            </w:r>
          </w:p>
        </w:tc>
        <w:tc>
          <w:tcPr>
            <w:tcW w:w="3132" w:type="dxa"/>
            <w:tcBorders>
              <w:tl2br w:val="nil"/>
              <w:tr2bl w:val="nil"/>
            </w:tcBorders>
            <w:vAlign w:val="center"/>
          </w:tcPr>
          <w:p>
            <w:pPr>
              <w:pStyle w:val="22"/>
              <w:bidi w:val="0"/>
              <w:jc w:val="center"/>
              <w:rPr>
                <w:color w:val="0000FF"/>
              </w:rPr>
            </w:pPr>
            <w:r>
              <w:rPr>
                <w:color w:val="0000FF"/>
              </w:rPr>
              <w:t>实验室出口有发光指示标志</w:t>
            </w:r>
          </w:p>
        </w:tc>
        <w:tc>
          <w:tcPr>
            <w:tcW w:w="1285" w:type="dxa"/>
            <w:tcBorders>
              <w:tl2br w:val="nil"/>
              <w:tr2bl w:val="nil"/>
            </w:tcBorders>
            <w:vAlign w:val="center"/>
          </w:tcPr>
          <w:p>
            <w:pPr>
              <w:pStyle w:val="22"/>
              <w:bidi w:val="0"/>
              <w:jc w:val="center"/>
              <w:rPr>
                <w:color w:val="0000FF"/>
              </w:rPr>
            </w:pPr>
            <w:r>
              <w:rPr>
                <w:color w:val="0000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4" w:hRule="atLeast"/>
          <w:jc w:val="center"/>
        </w:trPr>
        <w:tc>
          <w:tcPr>
            <w:tcW w:w="1310" w:type="dxa"/>
            <w:vMerge w:val="continue"/>
            <w:tcBorders>
              <w:tl2br w:val="nil"/>
              <w:tr2bl w:val="nil"/>
            </w:tcBorders>
            <w:vAlign w:val="center"/>
          </w:tcPr>
          <w:p>
            <w:pPr>
              <w:pStyle w:val="22"/>
              <w:bidi w:val="0"/>
              <w:jc w:val="center"/>
              <w:rPr>
                <w:color w:val="0000FF"/>
              </w:rPr>
            </w:pPr>
          </w:p>
        </w:tc>
        <w:tc>
          <w:tcPr>
            <w:tcW w:w="2879" w:type="dxa"/>
            <w:tcBorders>
              <w:tl2br w:val="nil"/>
              <w:tr2bl w:val="nil"/>
            </w:tcBorders>
            <w:vAlign w:val="center"/>
          </w:tcPr>
          <w:p>
            <w:pPr>
              <w:pStyle w:val="22"/>
              <w:bidi w:val="0"/>
              <w:jc w:val="center"/>
              <w:rPr>
                <w:color w:val="0000FF"/>
              </w:rPr>
            </w:pPr>
            <w:r>
              <w:rPr>
                <w:color w:val="0000FF"/>
              </w:rPr>
              <w:t>实验室宜有不少于每小时3～4次的通风换气次数</w:t>
            </w:r>
          </w:p>
        </w:tc>
        <w:tc>
          <w:tcPr>
            <w:tcW w:w="3132" w:type="dxa"/>
            <w:tcBorders>
              <w:tl2br w:val="nil"/>
              <w:tr2bl w:val="nil"/>
            </w:tcBorders>
            <w:vAlign w:val="center"/>
          </w:tcPr>
          <w:p>
            <w:pPr>
              <w:pStyle w:val="22"/>
              <w:bidi w:val="0"/>
              <w:jc w:val="center"/>
              <w:rPr>
                <w:color w:val="0000FF"/>
              </w:rPr>
            </w:pPr>
            <w:r>
              <w:rPr>
                <w:color w:val="0000FF"/>
              </w:rPr>
              <w:t>实验室通风换气次数不少于每小时3～4次</w:t>
            </w:r>
          </w:p>
        </w:tc>
        <w:tc>
          <w:tcPr>
            <w:tcW w:w="1285" w:type="dxa"/>
            <w:tcBorders>
              <w:tl2br w:val="nil"/>
              <w:tr2bl w:val="nil"/>
            </w:tcBorders>
            <w:vAlign w:val="center"/>
          </w:tcPr>
          <w:p>
            <w:pPr>
              <w:pStyle w:val="22"/>
              <w:bidi w:val="0"/>
              <w:jc w:val="center"/>
              <w:rPr>
                <w:color w:val="0000FF"/>
              </w:rPr>
            </w:pPr>
            <w:r>
              <w:rPr>
                <w:color w:val="0000FF"/>
              </w:rPr>
              <w:t>符合</w:t>
            </w:r>
          </w:p>
        </w:tc>
      </w:tr>
    </w:tbl>
    <w:p>
      <w:pPr>
        <w:bidi w:val="0"/>
        <w:rPr>
          <w:color w:val="0000FF"/>
        </w:rPr>
      </w:pPr>
      <w:r>
        <w:rPr>
          <w:color w:val="0000FF"/>
        </w:rPr>
        <w:t>本项目建设的生物细菌实验室和基因扩增实验室均属于二级实验室，符合通则中的二级实验室要求。</w:t>
      </w:r>
    </w:p>
    <w:p>
      <w:pPr>
        <w:pStyle w:val="6"/>
        <w:bidi w:val="0"/>
        <w:rPr>
          <w:color w:val="0000FF"/>
        </w:rPr>
      </w:pPr>
      <w:bookmarkStart w:id="48" w:name="_Toc8502"/>
      <w:r>
        <w:rPr>
          <w:color w:val="0000FF"/>
        </w:rPr>
        <w:t>2.</w:t>
      </w:r>
      <w:r>
        <w:rPr>
          <w:rFonts w:hint="eastAsia"/>
          <w:color w:val="0000FF"/>
          <w:lang w:val="en-US" w:eastAsia="zh-CN"/>
        </w:rPr>
        <w:t>9</w:t>
      </w:r>
      <w:r>
        <w:rPr>
          <w:color w:val="0000FF"/>
        </w:rPr>
        <w:t>.</w:t>
      </w:r>
      <w:r>
        <w:rPr>
          <w:rFonts w:hint="eastAsia"/>
          <w:color w:val="0000FF"/>
          <w:lang w:val="en-US" w:eastAsia="zh-CN"/>
        </w:rPr>
        <w:t>4</w:t>
      </w:r>
      <w:r>
        <w:rPr>
          <w:color w:val="0000FF"/>
        </w:rPr>
        <w:t>环境管理政策符合性分析</w:t>
      </w:r>
      <w:bookmarkEnd w:id="48"/>
    </w:p>
    <w:p>
      <w:pPr>
        <w:bidi w:val="0"/>
        <w:rPr>
          <w:color w:val="0000FF"/>
        </w:rPr>
      </w:pPr>
      <w:r>
        <w:rPr>
          <w:color w:val="0000FF"/>
        </w:rPr>
        <w:t>本建设项目与各相关法律法规、《水污染防治行动计划》、《国务院大气污染防治十条措施》等现行环境管理要求环境政策符合性分析见表2.</w:t>
      </w:r>
      <w:r>
        <w:rPr>
          <w:rFonts w:hint="eastAsia"/>
          <w:color w:val="0000FF"/>
          <w:lang w:val="en-US" w:eastAsia="zh-CN"/>
        </w:rPr>
        <w:t>9</w:t>
      </w:r>
      <w:r>
        <w:rPr>
          <w:color w:val="0000FF"/>
        </w:rPr>
        <w:t>-</w:t>
      </w:r>
      <w:r>
        <w:rPr>
          <w:rFonts w:hint="eastAsia"/>
          <w:color w:val="0000FF"/>
          <w:lang w:val="en-US" w:eastAsia="zh-CN"/>
        </w:rPr>
        <w:t>8</w:t>
      </w:r>
      <w:r>
        <w:rPr>
          <w:color w:val="0000FF"/>
        </w:rPr>
        <w:t>。</w:t>
      </w:r>
    </w:p>
    <w:p>
      <w:pPr>
        <w:pStyle w:val="22"/>
        <w:bidi w:val="0"/>
        <w:rPr>
          <w:b/>
          <w:bCs/>
          <w:color w:val="0000FF"/>
        </w:rPr>
      </w:pPr>
      <w:r>
        <w:rPr>
          <w:b/>
          <w:bCs/>
          <w:color w:val="0000FF"/>
        </w:rPr>
        <w:t>表2.</w:t>
      </w:r>
      <w:r>
        <w:rPr>
          <w:rFonts w:hint="eastAsia"/>
          <w:b/>
          <w:bCs/>
          <w:color w:val="0000FF"/>
          <w:lang w:val="en-US" w:eastAsia="zh-CN"/>
        </w:rPr>
        <w:t>9</w:t>
      </w:r>
      <w:r>
        <w:rPr>
          <w:b/>
          <w:bCs/>
          <w:color w:val="0000FF"/>
        </w:rPr>
        <w:t>-</w:t>
      </w:r>
      <w:r>
        <w:rPr>
          <w:rFonts w:hint="eastAsia"/>
          <w:b/>
          <w:bCs/>
          <w:color w:val="0000FF"/>
          <w:lang w:val="en-US" w:eastAsia="zh-CN"/>
        </w:rPr>
        <w:t>8</w:t>
      </w:r>
      <w:r>
        <w:rPr>
          <w:b/>
          <w:bCs/>
          <w:color w:val="0000FF"/>
        </w:rPr>
        <w:t>环境管理政策与本项目内容对比分析一览表</w:t>
      </w: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5"/>
        <w:gridCol w:w="3483"/>
        <w:gridCol w:w="1878"/>
        <w:gridCol w:w="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5868" w:type="dxa"/>
            <w:gridSpan w:val="2"/>
            <w:tcBorders>
              <w:tl2br w:val="nil"/>
              <w:tr2bl w:val="nil"/>
            </w:tcBorders>
            <w:vAlign w:val="center"/>
          </w:tcPr>
          <w:p>
            <w:pPr>
              <w:pStyle w:val="22"/>
              <w:bidi w:val="0"/>
              <w:rPr>
                <w:color w:val="0000FF"/>
              </w:rPr>
            </w:pPr>
            <w:r>
              <w:rPr>
                <w:color w:val="0000FF"/>
              </w:rPr>
              <w:t>环境管理政策</w:t>
            </w:r>
          </w:p>
        </w:tc>
        <w:tc>
          <w:tcPr>
            <w:tcW w:w="1878" w:type="dxa"/>
            <w:vMerge w:val="restart"/>
            <w:tcBorders>
              <w:tl2br w:val="nil"/>
              <w:tr2bl w:val="nil"/>
            </w:tcBorders>
            <w:vAlign w:val="center"/>
          </w:tcPr>
          <w:p>
            <w:pPr>
              <w:pStyle w:val="22"/>
              <w:bidi w:val="0"/>
              <w:rPr>
                <w:color w:val="0000FF"/>
              </w:rPr>
            </w:pPr>
            <w:r>
              <w:rPr>
                <w:color w:val="0000FF"/>
              </w:rPr>
              <w:t>本工程对应的内容</w:t>
            </w:r>
          </w:p>
        </w:tc>
        <w:tc>
          <w:tcPr>
            <w:tcW w:w="776" w:type="dxa"/>
            <w:vMerge w:val="restart"/>
            <w:tcBorders>
              <w:tl2br w:val="nil"/>
              <w:tr2bl w:val="nil"/>
            </w:tcBorders>
            <w:vAlign w:val="center"/>
          </w:tcPr>
          <w:p>
            <w:pPr>
              <w:pStyle w:val="22"/>
              <w:bidi w:val="0"/>
              <w:rPr>
                <w:color w:val="0000FF"/>
              </w:rPr>
            </w:pPr>
            <w:r>
              <w:rPr>
                <w:color w:val="0000FF"/>
              </w:rPr>
              <w:t>符合</w:t>
            </w:r>
          </w:p>
          <w:p>
            <w:pPr>
              <w:pStyle w:val="22"/>
              <w:bidi w:val="0"/>
              <w:rPr>
                <w:color w:val="0000FF"/>
              </w:rPr>
            </w:pPr>
            <w:r>
              <w:rPr>
                <w:color w:val="0000FF"/>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2385" w:type="dxa"/>
            <w:tcBorders>
              <w:tl2br w:val="nil"/>
              <w:tr2bl w:val="nil"/>
            </w:tcBorders>
            <w:vAlign w:val="center"/>
          </w:tcPr>
          <w:p>
            <w:pPr>
              <w:pStyle w:val="22"/>
              <w:bidi w:val="0"/>
              <w:rPr>
                <w:color w:val="0000FF"/>
              </w:rPr>
            </w:pPr>
            <w:r>
              <w:rPr>
                <w:color w:val="0000FF"/>
              </w:rPr>
              <w:t>名称</w:t>
            </w:r>
          </w:p>
        </w:tc>
        <w:tc>
          <w:tcPr>
            <w:tcW w:w="3483" w:type="dxa"/>
            <w:tcBorders>
              <w:tl2br w:val="nil"/>
              <w:tr2bl w:val="nil"/>
            </w:tcBorders>
            <w:vAlign w:val="center"/>
          </w:tcPr>
          <w:p>
            <w:pPr>
              <w:pStyle w:val="22"/>
              <w:bidi w:val="0"/>
              <w:rPr>
                <w:color w:val="0000FF"/>
              </w:rPr>
            </w:pPr>
            <w:r>
              <w:rPr>
                <w:color w:val="0000FF"/>
              </w:rPr>
              <w:t>相关要求</w:t>
            </w:r>
          </w:p>
        </w:tc>
        <w:tc>
          <w:tcPr>
            <w:tcW w:w="1878" w:type="dxa"/>
            <w:vMerge w:val="continue"/>
            <w:tcBorders>
              <w:tl2br w:val="nil"/>
              <w:tr2bl w:val="nil"/>
            </w:tcBorders>
            <w:vAlign w:val="center"/>
          </w:tcPr>
          <w:p>
            <w:pPr>
              <w:pStyle w:val="22"/>
              <w:bidi w:val="0"/>
              <w:rPr>
                <w:color w:val="0000FF"/>
              </w:rPr>
            </w:pPr>
          </w:p>
        </w:tc>
        <w:tc>
          <w:tcPr>
            <w:tcW w:w="776" w:type="dxa"/>
            <w:vMerge w:val="continue"/>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jc w:val="center"/>
        </w:trPr>
        <w:tc>
          <w:tcPr>
            <w:tcW w:w="2385" w:type="dxa"/>
            <w:vMerge w:val="restart"/>
            <w:tcBorders>
              <w:tl2br w:val="nil"/>
              <w:tr2bl w:val="nil"/>
            </w:tcBorders>
            <w:vAlign w:val="center"/>
          </w:tcPr>
          <w:p>
            <w:pPr>
              <w:pStyle w:val="22"/>
              <w:bidi w:val="0"/>
              <w:rPr>
                <w:color w:val="0000FF"/>
              </w:rPr>
            </w:pPr>
            <w:r>
              <w:rPr>
                <w:rFonts w:hint="eastAsia"/>
                <w:color w:val="0000FF"/>
                <w:lang w:val="en-US" w:eastAsia="zh-CN"/>
              </w:rPr>
              <w:t>《国务院关于印发大气污染防治行动计划的通知》（国发〔</w:t>
            </w:r>
            <w:r>
              <w:rPr>
                <w:rFonts w:hint="default"/>
                <w:color w:val="0000FF"/>
                <w:lang w:val="en-US" w:eastAsia="zh-CN"/>
              </w:rPr>
              <w:t>2013</w:t>
            </w:r>
            <w:r>
              <w:rPr>
                <w:rFonts w:hint="eastAsia"/>
                <w:color w:val="0000FF"/>
                <w:lang w:val="en-US" w:eastAsia="zh-CN"/>
              </w:rPr>
              <w:t>〕</w:t>
            </w:r>
            <w:r>
              <w:rPr>
                <w:rFonts w:hint="default"/>
                <w:color w:val="0000FF"/>
                <w:lang w:val="en-US" w:eastAsia="zh-CN"/>
              </w:rPr>
              <w:t>37</w:t>
            </w:r>
            <w:r>
              <w:rPr>
                <w:rFonts w:hint="eastAsia"/>
                <w:color w:val="0000FF"/>
                <w:lang w:val="en-US" w:eastAsia="zh-CN"/>
              </w:rPr>
              <w:t>号）</w:t>
            </w:r>
          </w:p>
          <w:p>
            <w:pPr>
              <w:pStyle w:val="22"/>
              <w:bidi w:val="0"/>
              <w:rPr>
                <w:color w:val="0000FF"/>
              </w:rPr>
            </w:pPr>
          </w:p>
        </w:tc>
        <w:tc>
          <w:tcPr>
            <w:tcW w:w="3483" w:type="dxa"/>
            <w:tcBorders>
              <w:tl2br w:val="nil"/>
              <w:tr2bl w:val="nil"/>
            </w:tcBorders>
            <w:vAlign w:val="center"/>
          </w:tcPr>
          <w:p>
            <w:pPr>
              <w:pStyle w:val="22"/>
              <w:bidi w:val="0"/>
              <w:rPr>
                <w:color w:val="0000FF"/>
              </w:rPr>
            </w:pPr>
            <w:r>
              <w:rPr>
                <w:color w:val="0000FF"/>
              </w:rPr>
              <w:t>加快城镇污水处理设施建设与改造。现有城镇污水处理设施，要因地制宜进行改造2020年底前达到相应排放标准或再生利用要求。敏感区域（重点湖泊、重点水库、近岸海域汇水区域）城镇污水处理设施应于2017年底前全面达到一级A排放标准。建成区水体水质达不到地表水Ⅳ类标准的城市，新建城镇污水处理设施要执行一级A排放标准。</w:t>
            </w:r>
          </w:p>
          <w:p>
            <w:pPr>
              <w:pStyle w:val="22"/>
              <w:bidi w:val="0"/>
              <w:rPr>
                <w:color w:val="0000FF"/>
              </w:rPr>
            </w:pPr>
            <w:r>
              <w:rPr>
                <w:color w:val="0000FF"/>
              </w:rPr>
              <w:t>全面加强配套管网建设。到2017年，直辖市、省会城市、计划单列市建成区污水基本实现全收集、全处理，其他地级城市建成区于2020年底前基本实现。</w:t>
            </w:r>
          </w:p>
        </w:tc>
        <w:tc>
          <w:tcPr>
            <w:tcW w:w="1878" w:type="dxa"/>
            <w:tcBorders>
              <w:tl2br w:val="nil"/>
              <w:tr2bl w:val="nil"/>
            </w:tcBorders>
            <w:vAlign w:val="center"/>
          </w:tcPr>
          <w:p>
            <w:pPr>
              <w:pStyle w:val="22"/>
              <w:bidi w:val="0"/>
              <w:rPr>
                <w:color w:val="0000FF"/>
              </w:rPr>
            </w:pPr>
            <w:r>
              <w:rPr>
                <w:color w:val="0000FF"/>
              </w:rPr>
              <w:t>本项目位于</w:t>
            </w:r>
            <w:r>
              <w:rPr>
                <w:rFonts w:hint="eastAsia"/>
                <w:color w:val="0000FF"/>
                <w:lang w:val="en-US" w:eastAsia="zh-CN"/>
              </w:rPr>
              <w:t>第十四师225团</w:t>
            </w:r>
            <w:r>
              <w:rPr>
                <w:color w:val="0000FF"/>
              </w:rPr>
              <w:t>，污水经污水处理站处理后排入市政管网，最终进</w:t>
            </w:r>
            <w:r>
              <w:rPr>
                <w:rFonts w:hint="eastAsia"/>
                <w:color w:val="0000FF"/>
                <w:lang w:val="en-US" w:eastAsia="zh-CN"/>
              </w:rPr>
              <w:t>入225团</w:t>
            </w:r>
            <w:r>
              <w:rPr>
                <w:color w:val="0000FF"/>
              </w:rPr>
              <w:t>污水处理厂处理</w:t>
            </w:r>
          </w:p>
        </w:tc>
        <w:tc>
          <w:tcPr>
            <w:tcW w:w="776" w:type="dxa"/>
            <w:tcBorders>
              <w:tl2br w:val="nil"/>
              <w:tr2bl w:val="nil"/>
            </w:tcBorders>
            <w:vAlign w:val="center"/>
          </w:tcPr>
          <w:p>
            <w:pPr>
              <w:pStyle w:val="22"/>
              <w:bidi w:val="0"/>
              <w:rPr>
                <w:color w:val="0000FF"/>
              </w:rPr>
            </w:pPr>
            <w:r>
              <w:rPr>
                <w:color w:val="0000FF"/>
              </w:rPr>
              <w:t>符合</w:t>
            </w:r>
          </w:p>
          <w:p>
            <w:pPr>
              <w:pStyle w:val="22"/>
              <w:bidi w:val="0"/>
              <w:rPr>
                <w:color w:val="0000FF"/>
              </w:rPr>
            </w:pPr>
            <w:r>
              <w:rPr>
                <w:color w:val="0000FF"/>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jc w:val="center"/>
        </w:trPr>
        <w:tc>
          <w:tcPr>
            <w:tcW w:w="2385" w:type="dxa"/>
            <w:vMerge w:val="continue"/>
            <w:tcBorders>
              <w:tl2br w:val="nil"/>
              <w:tr2bl w:val="nil"/>
            </w:tcBorders>
            <w:vAlign w:val="center"/>
          </w:tcPr>
          <w:p>
            <w:pPr>
              <w:pStyle w:val="22"/>
              <w:bidi w:val="0"/>
              <w:rPr>
                <w:color w:val="0000FF"/>
              </w:rPr>
            </w:pPr>
          </w:p>
        </w:tc>
        <w:tc>
          <w:tcPr>
            <w:tcW w:w="3483" w:type="dxa"/>
            <w:tcBorders>
              <w:tl2br w:val="nil"/>
              <w:tr2bl w:val="nil"/>
            </w:tcBorders>
            <w:vAlign w:val="center"/>
          </w:tcPr>
          <w:p>
            <w:pPr>
              <w:pStyle w:val="22"/>
              <w:bidi w:val="0"/>
              <w:rPr>
                <w:color w:val="0000FF"/>
              </w:rPr>
            </w:pPr>
            <w:r>
              <w:rPr>
                <w:rFonts w:ascii="宋体" w:hAnsi="宋体" w:eastAsia="宋体" w:cs="宋体"/>
                <w:color w:val="0000FF"/>
                <w:spacing w:val="-8"/>
                <w:sz w:val="21"/>
                <w:szCs w:val="21"/>
              </w:rPr>
              <w:t>全面整治燃煤小锅炉。加快推进</w:t>
            </w:r>
            <w:r>
              <w:rPr>
                <w:rFonts w:ascii="宋体" w:hAnsi="宋体" w:eastAsia="宋体" w:cs="宋体"/>
                <w:color w:val="0000FF"/>
                <w:spacing w:val="-1"/>
                <w:sz w:val="21"/>
                <w:szCs w:val="21"/>
              </w:rPr>
              <w:t>集中供热、</w:t>
            </w:r>
            <w:r>
              <w:rPr>
                <w:rFonts w:ascii="Times New Roman" w:hAnsi="Times New Roman" w:eastAsia="Times New Roman" w:cs="Times New Roman"/>
                <w:color w:val="0000FF"/>
                <w:spacing w:val="-1"/>
                <w:sz w:val="21"/>
                <w:szCs w:val="21"/>
              </w:rPr>
              <w:t>“</w:t>
            </w:r>
            <w:r>
              <w:rPr>
                <w:rFonts w:ascii="宋体" w:hAnsi="宋体" w:eastAsia="宋体" w:cs="宋体"/>
                <w:color w:val="0000FF"/>
                <w:spacing w:val="-1"/>
                <w:sz w:val="21"/>
                <w:szCs w:val="21"/>
              </w:rPr>
              <w:t>煤改气</w:t>
            </w:r>
            <w:r>
              <w:rPr>
                <w:rFonts w:ascii="Times New Roman" w:hAnsi="Times New Roman" w:eastAsia="Times New Roman" w:cs="Times New Roman"/>
                <w:color w:val="0000FF"/>
                <w:spacing w:val="-1"/>
                <w:sz w:val="21"/>
                <w:szCs w:val="21"/>
              </w:rPr>
              <w:t>”</w:t>
            </w:r>
            <w:r>
              <w:rPr>
                <w:rFonts w:ascii="宋体" w:hAnsi="宋体" w:eastAsia="宋体" w:cs="宋体"/>
                <w:color w:val="0000FF"/>
                <w:spacing w:val="-1"/>
                <w:sz w:val="21"/>
                <w:szCs w:val="21"/>
              </w:rPr>
              <w:t>、</w:t>
            </w:r>
            <w:r>
              <w:rPr>
                <w:rFonts w:ascii="Times New Roman" w:hAnsi="Times New Roman" w:eastAsia="Times New Roman" w:cs="Times New Roman"/>
                <w:color w:val="0000FF"/>
                <w:spacing w:val="-1"/>
                <w:sz w:val="21"/>
                <w:szCs w:val="21"/>
              </w:rPr>
              <w:t>“</w:t>
            </w:r>
            <w:r>
              <w:rPr>
                <w:rFonts w:ascii="宋体" w:hAnsi="宋体" w:eastAsia="宋体" w:cs="宋体"/>
                <w:color w:val="0000FF"/>
                <w:spacing w:val="-1"/>
                <w:sz w:val="21"/>
                <w:szCs w:val="21"/>
              </w:rPr>
              <w:t>煤改电</w:t>
            </w:r>
            <w:r>
              <w:rPr>
                <w:rFonts w:ascii="Times New Roman" w:hAnsi="Times New Roman" w:eastAsia="Times New Roman" w:cs="Times New Roman"/>
                <w:color w:val="0000FF"/>
                <w:spacing w:val="-1"/>
                <w:sz w:val="21"/>
                <w:szCs w:val="21"/>
              </w:rPr>
              <w:t>”</w:t>
            </w:r>
            <w:r>
              <w:rPr>
                <w:rFonts w:ascii="宋体" w:hAnsi="宋体" w:eastAsia="宋体" w:cs="宋体"/>
                <w:color w:val="0000FF"/>
                <w:spacing w:val="-8"/>
                <w:sz w:val="21"/>
                <w:szCs w:val="21"/>
              </w:rPr>
              <w:t>工程建设，开展餐饮油烟污染治理。城区餐饮服务经营场所应安装高效油烟净化设施，推广使用</w:t>
            </w:r>
            <w:r>
              <w:rPr>
                <w:rFonts w:ascii="宋体" w:hAnsi="宋体" w:eastAsia="宋体" w:cs="宋体"/>
                <w:color w:val="0000FF"/>
                <w:spacing w:val="-1"/>
                <w:sz w:val="21"/>
                <w:szCs w:val="21"/>
              </w:rPr>
              <w:t>高效净化型家用吸油烟机。</w:t>
            </w:r>
          </w:p>
        </w:tc>
        <w:tc>
          <w:tcPr>
            <w:tcW w:w="1878" w:type="dxa"/>
            <w:tcBorders>
              <w:tl2br w:val="nil"/>
              <w:tr2bl w:val="nil"/>
            </w:tcBorders>
            <w:vAlign w:val="center"/>
          </w:tcPr>
          <w:p>
            <w:pPr>
              <w:pStyle w:val="22"/>
              <w:bidi w:val="0"/>
              <w:rPr>
                <w:color w:val="0000FF"/>
              </w:rPr>
            </w:pPr>
            <w:r>
              <w:rPr>
                <w:rFonts w:ascii="宋体" w:hAnsi="宋体" w:eastAsia="宋体" w:cs="宋体"/>
                <w:color w:val="0000FF"/>
                <w:spacing w:val="-2"/>
                <w:sz w:val="21"/>
                <w:szCs w:val="21"/>
              </w:rPr>
              <w:t>疾控中心采暖为</w:t>
            </w:r>
            <w:r>
              <w:rPr>
                <w:rFonts w:ascii="宋体" w:hAnsi="宋体" w:eastAsia="宋体" w:cs="宋体"/>
                <w:color w:val="0000FF"/>
                <w:spacing w:val="-3"/>
                <w:sz w:val="21"/>
                <w:szCs w:val="21"/>
              </w:rPr>
              <w:t>集中供暖</w:t>
            </w:r>
          </w:p>
        </w:tc>
        <w:tc>
          <w:tcPr>
            <w:tcW w:w="776" w:type="dxa"/>
            <w:tcBorders>
              <w:tl2br w:val="nil"/>
              <w:tr2bl w:val="nil"/>
            </w:tcBorders>
            <w:vAlign w:val="center"/>
          </w:tcPr>
          <w:p>
            <w:pPr>
              <w:pStyle w:val="22"/>
              <w:bidi w:val="0"/>
              <w:rPr>
                <w:color w:val="0000FF"/>
              </w:rPr>
            </w:pPr>
            <w:r>
              <w:rPr>
                <w:color w:val="0000FF"/>
              </w:rPr>
              <w:t>符合</w:t>
            </w:r>
          </w:p>
          <w:p>
            <w:pPr>
              <w:pStyle w:val="22"/>
              <w:bidi w:val="0"/>
              <w:rPr>
                <w:color w:val="0000FF"/>
              </w:rPr>
            </w:pPr>
            <w:r>
              <w:rPr>
                <w:color w:val="0000FF"/>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jc w:val="center"/>
        </w:trPr>
        <w:tc>
          <w:tcPr>
            <w:tcW w:w="2385" w:type="dxa"/>
            <w:tcBorders>
              <w:tl2br w:val="nil"/>
              <w:tr2bl w:val="nil"/>
            </w:tcBorders>
            <w:vAlign w:val="center"/>
          </w:tcPr>
          <w:p>
            <w:pPr>
              <w:pStyle w:val="22"/>
              <w:bidi w:val="0"/>
              <w:rPr>
                <w:color w:val="0000FF"/>
              </w:rPr>
            </w:pPr>
            <w:r>
              <w:rPr>
                <w:color w:val="0000FF"/>
              </w:rPr>
              <w:t>《关于进一步加强危险废物和医疗废物监管工作的意见》（环发</w:t>
            </w:r>
            <w:r>
              <w:rPr>
                <w:rFonts w:hint="eastAsia"/>
                <w:color w:val="0000FF"/>
                <w:lang w:eastAsia="zh-CN"/>
              </w:rPr>
              <w:t>〔</w:t>
            </w:r>
            <w:r>
              <w:rPr>
                <w:color w:val="0000FF"/>
              </w:rPr>
              <w:t>2011</w:t>
            </w:r>
            <w:r>
              <w:rPr>
                <w:rFonts w:hint="eastAsia"/>
                <w:color w:val="0000FF"/>
                <w:lang w:eastAsia="zh-CN"/>
              </w:rPr>
              <w:t>〕</w:t>
            </w:r>
            <w:r>
              <w:rPr>
                <w:color w:val="0000FF"/>
              </w:rPr>
              <w:t>19号）</w:t>
            </w:r>
          </w:p>
        </w:tc>
        <w:tc>
          <w:tcPr>
            <w:tcW w:w="3483" w:type="dxa"/>
            <w:tcBorders>
              <w:tl2br w:val="nil"/>
              <w:tr2bl w:val="nil"/>
            </w:tcBorders>
            <w:vAlign w:val="center"/>
          </w:tcPr>
          <w:p>
            <w:pPr>
              <w:pStyle w:val="22"/>
              <w:bidi w:val="0"/>
              <w:rPr>
                <w:color w:val="0000FF"/>
              </w:rPr>
            </w:pPr>
            <w:r>
              <w:rPr>
                <w:color w:val="0000FF"/>
              </w:rPr>
              <w:t>第十三条：建立医疗废物管理责任制。医疗卫生机构负责医疗废物产生后的分类收集管理并及时将医疗废物交由医疗废物集中处置单位处置。医疗废物集中处置单位负责从医疗卫生机构收集医疗废物并进行无害化处置。医疗卫生机构和医疗废物集中处置单位的法定代表人为第一责任人。第一责任人要切实履行职责，防止因医疗废物导致疾病传播和环境污染事故，特别是防止医疗废物流向社会非法加工利用。</w:t>
            </w:r>
          </w:p>
        </w:tc>
        <w:tc>
          <w:tcPr>
            <w:tcW w:w="1878" w:type="dxa"/>
            <w:tcBorders>
              <w:tl2br w:val="nil"/>
              <w:tr2bl w:val="nil"/>
            </w:tcBorders>
            <w:vAlign w:val="center"/>
          </w:tcPr>
          <w:p>
            <w:pPr>
              <w:pStyle w:val="22"/>
              <w:bidi w:val="0"/>
              <w:rPr>
                <w:rFonts w:hint="eastAsia" w:eastAsia="宋体"/>
                <w:color w:val="0000FF"/>
                <w:lang w:val="en-US" w:eastAsia="zh-CN"/>
              </w:rPr>
            </w:pPr>
            <w:r>
              <w:rPr>
                <w:color w:val="0000FF"/>
              </w:rPr>
              <w:t>该项目产生的医疗废物由当地有危废资质单位</w:t>
            </w:r>
            <w:r>
              <w:rPr>
                <w:rFonts w:hint="eastAsia"/>
                <w:color w:val="0000FF"/>
                <w:lang w:val="en-US" w:eastAsia="zh-CN"/>
              </w:rPr>
              <w:t>处置</w:t>
            </w:r>
          </w:p>
          <w:p>
            <w:pPr>
              <w:pStyle w:val="22"/>
              <w:bidi w:val="0"/>
              <w:rPr>
                <w:color w:val="0000FF"/>
              </w:rPr>
            </w:pPr>
          </w:p>
        </w:tc>
        <w:tc>
          <w:tcPr>
            <w:tcW w:w="776" w:type="dxa"/>
            <w:tcBorders>
              <w:tl2br w:val="nil"/>
              <w:tr2bl w:val="nil"/>
            </w:tcBorders>
            <w:vAlign w:val="center"/>
          </w:tcPr>
          <w:p>
            <w:pPr>
              <w:pStyle w:val="22"/>
              <w:bidi w:val="0"/>
              <w:rPr>
                <w:color w:val="0000FF"/>
              </w:rPr>
            </w:pPr>
            <w:r>
              <w:rPr>
                <w:color w:val="0000FF"/>
              </w:rPr>
              <w:t>符合</w:t>
            </w:r>
          </w:p>
          <w:p>
            <w:pPr>
              <w:pStyle w:val="22"/>
              <w:bidi w:val="0"/>
              <w:rPr>
                <w:color w:val="0000FF"/>
              </w:rPr>
            </w:pPr>
            <w:r>
              <w:rPr>
                <w:color w:val="0000FF"/>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0" w:hRule="atLeast"/>
          <w:jc w:val="center"/>
        </w:trPr>
        <w:tc>
          <w:tcPr>
            <w:tcW w:w="2385" w:type="dxa"/>
            <w:tcBorders>
              <w:tl2br w:val="nil"/>
              <w:tr2bl w:val="nil"/>
            </w:tcBorders>
            <w:vAlign w:val="center"/>
          </w:tcPr>
          <w:p>
            <w:pPr>
              <w:pStyle w:val="22"/>
              <w:bidi w:val="0"/>
              <w:rPr>
                <w:color w:val="0000FF"/>
              </w:rPr>
            </w:pPr>
            <w:r>
              <w:rPr>
                <w:color w:val="0000FF"/>
              </w:rPr>
              <w:t>《中华人民共和国环境保护法》（修正）（2015年1月1日）</w:t>
            </w:r>
          </w:p>
        </w:tc>
        <w:tc>
          <w:tcPr>
            <w:tcW w:w="3483" w:type="dxa"/>
            <w:tcBorders>
              <w:tl2br w:val="nil"/>
              <w:tr2bl w:val="nil"/>
            </w:tcBorders>
            <w:vAlign w:val="center"/>
          </w:tcPr>
          <w:p>
            <w:pPr>
              <w:pStyle w:val="22"/>
              <w:bidi w:val="0"/>
              <w:rPr>
                <w:color w:val="0000FF"/>
              </w:rPr>
            </w:pPr>
            <w:r>
              <w:rPr>
                <w:color w:val="0000FF"/>
              </w:rPr>
              <w:t>第六十条：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878" w:type="dxa"/>
            <w:tcBorders>
              <w:tl2br w:val="nil"/>
              <w:tr2bl w:val="nil"/>
            </w:tcBorders>
            <w:vAlign w:val="center"/>
          </w:tcPr>
          <w:p>
            <w:pPr>
              <w:pStyle w:val="22"/>
              <w:bidi w:val="0"/>
              <w:rPr>
                <w:color w:val="0000FF"/>
              </w:rPr>
            </w:pPr>
            <w:r>
              <w:rPr>
                <w:color w:val="0000FF"/>
              </w:rPr>
              <w:t>正常运行不会对</w:t>
            </w:r>
          </w:p>
          <w:p>
            <w:pPr>
              <w:pStyle w:val="22"/>
              <w:bidi w:val="0"/>
              <w:rPr>
                <w:color w:val="0000FF"/>
              </w:rPr>
            </w:pPr>
            <w:r>
              <w:rPr>
                <w:color w:val="0000FF"/>
              </w:rPr>
              <w:t>周边大气环境造成严重影响</w:t>
            </w:r>
          </w:p>
        </w:tc>
        <w:tc>
          <w:tcPr>
            <w:tcW w:w="776" w:type="dxa"/>
            <w:tcBorders>
              <w:tl2br w:val="nil"/>
              <w:tr2bl w:val="nil"/>
            </w:tcBorders>
            <w:vAlign w:val="center"/>
          </w:tcPr>
          <w:p>
            <w:pPr>
              <w:pStyle w:val="22"/>
              <w:bidi w:val="0"/>
              <w:rPr>
                <w:color w:val="0000FF"/>
              </w:rPr>
            </w:pPr>
            <w:r>
              <w:rPr>
                <w:color w:val="0000FF"/>
              </w:rPr>
              <w:t>符合</w:t>
            </w:r>
          </w:p>
          <w:p>
            <w:pPr>
              <w:pStyle w:val="22"/>
              <w:bidi w:val="0"/>
              <w:rPr>
                <w:color w:val="0000FF"/>
              </w:rPr>
            </w:pPr>
            <w:r>
              <w:rPr>
                <w:color w:val="0000FF"/>
              </w:rPr>
              <w:t>要求</w:t>
            </w:r>
          </w:p>
        </w:tc>
      </w:tr>
    </w:tbl>
    <w:p>
      <w:pPr>
        <w:bidi w:val="0"/>
        <w:rPr>
          <w:color w:val="0000FF"/>
        </w:rPr>
      </w:pPr>
      <w:r>
        <w:rPr>
          <w:color w:val="0000FF"/>
        </w:rPr>
        <w:t>由上表可知，本项目符合现行环境管理政策相关要求。</w:t>
      </w:r>
    </w:p>
    <w:p>
      <w:pPr>
        <w:rPr>
          <w:rFonts w:hint="default"/>
          <w:color w:val="0000FF"/>
          <w:lang w:val="en-US" w:eastAsia="zh-CN"/>
        </w:rPr>
      </w:pPr>
      <w:r>
        <w:rPr>
          <w:rFonts w:hint="default"/>
          <w:color w:val="0000FF"/>
          <w:lang w:val="en-US" w:eastAsia="zh-CN"/>
        </w:rPr>
        <w:br w:type="page"/>
      </w:r>
    </w:p>
    <w:p>
      <w:pPr>
        <w:pStyle w:val="4"/>
        <w:bidi w:val="0"/>
        <w:rPr>
          <w:rFonts w:hint="eastAsia"/>
          <w:color w:val="0000FF"/>
          <w:lang w:val="en-US" w:eastAsia="zh-CN"/>
        </w:rPr>
      </w:pPr>
      <w:bookmarkStart w:id="49" w:name="_Toc1830"/>
      <w:r>
        <w:rPr>
          <w:rFonts w:hint="eastAsia"/>
          <w:color w:val="0000FF"/>
          <w:lang w:val="en-US" w:eastAsia="zh-CN"/>
        </w:rPr>
        <w:t>3建设项目工程分析</w:t>
      </w:r>
      <w:bookmarkEnd w:id="49"/>
    </w:p>
    <w:p>
      <w:pPr>
        <w:pStyle w:val="5"/>
        <w:bidi w:val="0"/>
        <w:rPr>
          <w:rFonts w:hint="eastAsia"/>
          <w:color w:val="0000FF"/>
          <w:lang w:val="en-US" w:eastAsia="zh-CN"/>
        </w:rPr>
      </w:pPr>
      <w:bookmarkStart w:id="50" w:name="_Toc32176"/>
      <w:r>
        <w:rPr>
          <w:rFonts w:hint="eastAsia"/>
          <w:color w:val="0000FF"/>
          <w:lang w:val="en-US" w:eastAsia="zh-CN"/>
        </w:rPr>
        <w:t>3.1建设项目概况</w:t>
      </w:r>
      <w:bookmarkEnd w:id="50"/>
    </w:p>
    <w:p>
      <w:pPr>
        <w:bidi w:val="0"/>
        <w:rPr>
          <w:color w:val="0000FF"/>
        </w:rPr>
      </w:pPr>
      <w:r>
        <w:rPr>
          <w:color w:val="0000FF"/>
        </w:rPr>
        <w:t>项目名称：</w:t>
      </w:r>
      <w:r>
        <w:rPr>
          <w:rFonts w:hint="eastAsia"/>
          <w:color w:val="0000FF"/>
          <w:lang w:val="en-US" w:eastAsia="zh-CN"/>
        </w:rPr>
        <w:t>第十四师225团疾控中心建设项目</w:t>
      </w:r>
    </w:p>
    <w:p>
      <w:pPr>
        <w:bidi w:val="0"/>
        <w:rPr>
          <w:color w:val="0000FF"/>
        </w:rPr>
      </w:pPr>
      <w:r>
        <w:rPr>
          <w:color w:val="0000FF"/>
        </w:rPr>
        <w:t>建设性质：新建</w:t>
      </w:r>
    </w:p>
    <w:p>
      <w:pPr>
        <w:bidi w:val="0"/>
        <w:rPr>
          <w:color w:val="0000FF"/>
        </w:rPr>
      </w:pPr>
      <w:r>
        <w:rPr>
          <w:color w:val="0000FF"/>
        </w:rPr>
        <w:t>建设单位：</w:t>
      </w:r>
      <w:r>
        <w:rPr>
          <w:color w:val="0000FF"/>
          <w:lang w:val="en-US" w:eastAsia="zh-CN"/>
        </w:rPr>
        <w:t>新疆生产建设兵团第十四师卫生健康委员会</w:t>
      </w:r>
    </w:p>
    <w:p>
      <w:pPr>
        <w:bidi w:val="0"/>
        <w:rPr>
          <w:rFonts w:hint="eastAsia"/>
          <w:color w:val="0000FF"/>
          <w:lang w:val="en-US" w:eastAsia="zh-CN"/>
        </w:rPr>
      </w:pPr>
      <w:r>
        <w:rPr>
          <w:color w:val="0000FF"/>
        </w:rPr>
        <w:t>建设地点：项目选址位于</w:t>
      </w:r>
      <w:r>
        <w:rPr>
          <w:rFonts w:hint="eastAsia"/>
          <w:color w:val="0000FF"/>
          <w:lang w:val="en-US" w:eastAsia="zh-CN"/>
        </w:rPr>
        <w:t>第十四师225团规划医疗保健用地</w:t>
      </w:r>
      <w:r>
        <w:rPr>
          <w:color w:val="0000FF"/>
        </w:rPr>
        <w:t>，中心地理坐标：</w:t>
      </w:r>
      <w:r>
        <w:rPr>
          <w:rFonts w:hint="default"/>
          <w:color w:val="0000FF"/>
          <w:lang w:val="en-US" w:eastAsia="zh-CN"/>
        </w:rPr>
        <w:t>E</w:t>
      </w:r>
      <w:r>
        <w:rPr>
          <w:rFonts w:hint="eastAsia"/>
          <w:color w:val="0000FF"/>
          <w:lang w:val="en-US" w:eastAsia="zh-CN"/>
        </w:rPr>
        <w:t>：81</w:t>
      </w:r>
      <w:r>
        <w:rPr>
          <w:rFonts w:hint="default"/>
          <w:color w:val="0000FF"/>
          <w:lang w:val="en-US" w:eastAsia="zh-CN"/>
        </w:rPr>
        <w:t>°</w:t>
      </w:r>
      <w:r>
        <w:rPr>
          <w:rFonts w:hint="eastAsia"/>
          <w:color w:val="0000FF"/>
          <w:lang w:val="en-US" w:eastAsia="zh-CN"/>
        </w:rPr>
        <w:t>18</w:t>
      </w:r>
      <w:r>
        <w:rPr>
          <w:rFonts w:hint="default"/>
          <w:color w:val="0000FF"/>
          <w:lang w:val="en-US" w:eastAsia="zh-CN"/>
        </w:rPr>
        <w:t>′</w:t>
      </w:r>
      <w:r>
        <w:rPr>
          <w:rFonts w:hint="eastAsia"/>
          <w:color w:val="0000FF"/>
          <w:lang w:val="en-US" w:eastAsia="zh-CN"/>
        </w:rPr>
        <w:t>6.912</w:t>
      </w:r>
      <w:r>
        <w:rPr>
          <w:rFonts w:hint="default"/>
          <w:color w:val="0000FF"/>
          <w:lang w:val="en-US" w:eastAsia="zh-CN"/>
        </w:rPr>
        <w:t>″</w:t>
      </w:r>
      <w:r>
        <w:rPr>
          <w:rFonts w:hint="eastAsia"/>
          <w:color w:val="0000FF"/>
          <w:lang w:val="en-US" w:eastAsia="zh-CN"/>
        </w:rPr>
        <w:t>，</w:t>
      </w:r>
      <w:r>
        <w:rPr>
          <w:rFonts w:hint="default"/>
          <w:color w:val="0000FF"/>
          <w:lang w:val="en-US" w:eastAsia="zh-CN"/>
        </w:rPr>
        <w:t>N</w:t>
      </w:r>
      <w:r>
        <w:rPr>
          <w:rFonts w:hint="eastAsia"/>
          <w:color w:val="0000FF"/>
          <w:lang w:val="en-US" w:eastAsia="zh-CN"/>
        </w:rPr>
        <w:t>：36</w:t>
      </w:r>
      <w:r>
        <w:rPr>
          <w:rFonts w:hint="default"/>
          <w:color w:val="0000FF"/>
          <w:lang w:val="en-US" w:eastAsia="zh-CN"/>
        </w:rPr>
        <w:t>°</w:t>
      </w:r>
      <w:r>
        <w:rPr>
          <w:rFonts w:hint="eastAsia"/>
          <w:color w:val="0000FF"/>
          <w:lang w:val="en-US" w:eastAsia="zh-CN"/>
        </w:rPr>
        <w:t>53</w:t>
      </w:r>
      <w:r>
        <w:rPr>
          <w:rFonts w:hint="default"/>
          <w:color w:val="0000FF"/>
          <w:lang w:val="en-US" w:eastAsia="zh-CN"/>
        </w:rPr>
        <w:t>′</w:t>
      </w:r>
      <w:r>
        <w:rPr>
          <w:rFonts w:hint="eastAsia"/>
          <w:color w:val="0000FF"/>
          <w:lang w:val="en-US" w:eastAsia="zh-CN"/>
        </w:rPr>
        <w:t>46.365</w:t>
      </w:r>
      <w:r>
        <w:rPr>
          <w:rFonts w:hint="default"/>
          <w:color w:val="0000FF"/>
          <w:lang w:val="en-US" w:eastAsia="zh-CN"/>
        </w:rPr>
        <w:t>″</w:t>
      </w:r>
    </w:p>
    <w:p>
      <w:pPr>
        <w:bidi w:val="0"/>
        <w:rPr>
          <w:color w:val="0000FF"/>
        </w:rPr>
      </w:pPr>
      <w:r>
        <w:rPr>
          <w:color w:val="0000FF"/>
        </w:rPr>
        <w:t>项目投资：项目总投资为</w:t>
      </w:r>
      <w:r>
        <w:rPr>
          <w:rFonts w:hint="eastAsia"/>
          <w:color w:val="0000FF"/>
          <w:lang w:val="en-US" w:eastAsia="zh-CN"/>
        </w:rPr>
        <w:t>176</w:t>
      </w:r>
      <w:r>
        <w:rPr>
          <w:color w:val="0000FF"/>
        </w:rPr>
        <w:t>万元。</w:t>
      </w:r>
    </w:p>
    <w:p>
      <w:pPr>
        <w:keepNext w:val="0"/>
        <w:keepLines w:val="0"/>
        <w:widowControl/>
        <w:suppressLineNumbers w:val="0"/>
        <w:jc w:val="left"/>
        <w:rPr>
          <w:color w:val="0000FF"/>
        </w:rPr>
      </w:pPr>
      <w:r>
        <w:rPr>
          <w:rFonts w:hint="eastAsia"/>
          <w:color w:val="0000FF"/>
          <w:highlight w:val="none"/>
          <w:lang w:val="en-US" w:eastAsia="zh-CN"/>
        </w:rPr>
        <w:t>建设内容及规模：</w:t>
      </w:r>
      <w:r>
        <w:rPr>
          <w:rFonts w:hint="eastAsia" w:ascii="宋体" w:hAnsi="宋体" w:eastAsia="宋体" w:cs="宋体"/>
          <w:color w:val="0000FF"/>
          <w:kern w:val="0"/>
          <w:sz w:val="24"/>
          <w:szCs w:val="24"/>
          <w:lang w:val="en-US" w:eastAsia="zh-CN" w:bidi="ar"/>
        </w:rPr>
        <w:t>项目总建筑面积800平方米，新建公共卫生监测检验区260平方米，业务用房</w:t>
      </w:r>
      <w:r>
        <w:rPr>
          <w:rFonts w:hint="eastAsia" w:ascii="Times New Roman" w:hAnsi="Times New Roman" w:eastAsia="宋体" w:cs="Times New Roman"/>
          <w:color w:val="0000FF"/>
          <w:kern w:val="0"/>
          <w:sz w:val="24"/>
          <w:szCs w:val="24"/>
          <w:lang w:val="en-US" w:eastAsia="zh-CN" w:bidi="ar"/>
        </w:rPr>
        <w:t>200</w:t>
      </w:r>
      <w:r>
        <w:rPr>
          <w:rFonts w:hint="eastAsia" w:ascii="宋体" w:hAnsi="宋体" w:eastAsia="宋体" w:cs="宋体"/>
          <w:color w:val="0000FF"/>
          <w:kern w:val="0"/>
          <w:sz w:val="24"/>
          <w:szCs w:val="24"/>
          <w:lang w:val="en-US" w:eastAsia="zh-CN" w:bidi="ar"/>
        </w:rPr>
        <w:t>平方米，应急指挥中心及应急演练中心</w:t>
      </w:r>
      <w:r>
        <w:rPr>
          <w:rFonts w:hint="eastAsia" w:ascii="Times New Roman" w:hAnsi="Times New Roman" w:eastAsia="宋体" w:cs="Times New Roman"/>
          <w:color w:val="0000FF"/>
          <w:kern w:val="0"/>
          <w:sz w:val="24"/>
          <w:szCs w:val="24"/>
          <w:lang w:val="en-US" w:eastAsia="zh-CN" w:bidi="ar"/>
        </w:rPr>
        <w:t>100</w:t>
      </w:r>
      <w:r>
        <w:rPr>
          <w:rFonts w:hint="eastAsia" w:ascii="宋体" w:hAnsi="宋体" w:eastAsia="宋体" w:cs="宋体"/>
          <w:color w:val="0000FF"/>
          <w:kern w:val="0"/>
          <w:sz w:val="24"/>
          <w:szCs w:val="24"/>
          <w:lang w:val="en-US" w:eastAsia="zh-CN" w:bidi="ar"/>
        </w:rPr>
        <w:t>平方米，预防和体检中心240平方米。</w:t>
      </w:r>
    </w:p>
    <w:p>
      <w:pPr>
        <w:keepNext w:val="0"/>
        <w:keepLines w:val="0"/>
        <w:widowControl/>
        <w:suppressLineNumbers w:val="0"/>
        <w:jc w:val="left"/>
        <w:rPr>
          <w:color w:val="0000FF"/>
        </w:rPr>
      </w:pPr>
      <w:r>
        <w:rPr>
          <w:rFonts w:hint="eastAsia" w:ascii="宋体" w:hAnsi="宋体" w:eastAsia="宋体" w:cs="宋体"/>
          <w:color w:val="0000FF"/>
          <w:kern w:val="0"/>
          <w:sz w:val="24"/>
          <w:szCs w:val="24"/>
          <w:lang w:val="en-US" w:eastAsia="zh-CN" w:bidi="ar"/>
        </w:rPr>
        <w:t>工作制度：中心全年工作</w:t>
      </w:r>
      <w:r>
        <w:rPr>
          <w:rFonts w:hint="default" w:ascii="Times New Roman" w:hAnsi="Times New Roman" w:eastAsia="宋体" w:cs="Times New Roman"/>
          <w:color w:val="0000FF"/>
          <w:kern w:val="0"/>
          <w:sz w:val="24"/>
          <w:szCs w:val="24"/>
          <w:lang w:val="en-US" w:eastAsia="zh-CN" w:bidi="ar"/>
        </w:rPr>
        <w:t>365</w:t>
      </w:r>
      <w:r>
        <w:rPr>
          <w:rFonts w:hint="eastAsia" w:ascii="宋体" w:hAnsi="宋体" w:eastAsia="宋体" w:cs="宋体"/>
          <w:color w:val="0000FF"/>
          <w:kern w:val="0"/>
          <w:sz w:val="24"/>
          <w:szCs w:val="24"/>
          <w:lang w:val="en-US" w:eastAsia="zh-CN" w:bidi="ar"/>
        </w:rPr>
        <w:t>天。医务人员、行政人员和后勤人员工作制度为</w:t>
      </w:r>
      <w:r>
        <w:rPr>
          <w:rFonts w:hint="default" w:ascii="Times New Roman" w:hAnsi="Times New Roman" w:eastAsia="宋体" w:cs="Times New Roman"/>
          <w:color w:val="0000FF"/>
          <w:kern w:val="0"/>
          <w:sz w:val="24"/>
          <w:szCs w:val="24"/>
          <w:lang w:val="en-US" w:eastAsia="zh-CN" w:bidi="ar"/>
        </w:rPr>
        <w:t>8</w:t>
      </w:r>
      <w:r>
        <w:rPr>
          <w:rFonts w:hint="eastAsia" w:ascii="宋体" w:hAnsi="宋体" w:eastAsia="宋体" w:cs="宋体"/>
          <w:color w:val="0000FF"/>
          <w:kern w:val="0"/>
          <w:sz w:val="24"/>
          <w:szCs w:val="24"/>
          <w:lang w:val="en-US" w:eastAsia="zh-CN" w:bidi="ar"/>
        </w:rPr>
        <w:t>小时单班制，年工作时间</w:t>
      </w:r>
      <w:r>
        <w:rPr>
          <w:rFonts w:hint="eastAsia" w:ascii="Times New Roman" w:hAnsi="Times New Roman" w:eastAsia="宋体" w:cs="Times New Roman"/>
          <w:color w:val="0000FF"/>
          <w:kern w:val="0"/>
          <w:sz w:val="24"/>
          <w:szCs w:val="24"/>
          <w:lang w:val="en-US" w:eastAsia="zh-CN" w:bidi="ar"/>
        </w:rPr>
        <w:t>300</w:t>
      </w:r>
      <w:r>
        <w:rPr>
          <w:rFonts w:hint="eastAsia" w:ascii="宋体" w:hAnsi="宋体" w:eastAsia="宋体" w:cs="宋体"/>
          <w:color w:val="0000FF"/>
          <w:kern w:val="0"/>
          <w:sz w:val="24"/>
          <w:szCs w:val="24"/>
          <w:lang w:val="en-US" w:eastAsia="zh-CN" w:bidi="ar"/>
        </w:rPr>
        <w:t>天。</w:t>
      </w:r>
      <w:r>
        <w:rPr>
          <w:rFonts w:ascii="宋体" w:hAnsi="宋体" w:eastAsia="宋体" w:cs="宋体"/>
          <w:color w:val="0000FF"/>
          <w:spacing w:val="5"/>
          <w:sz w:val="24"/>
          <w:szCs w:val="24"/>
        </w:rPr>
        <w:t>根据项目特点，项目区内不设置宿舍及食堂，工作员工均回家食宿。</w:t>
      </w:r>
    </w:p>
    <w:p>
      <w:pPr>
        <w:keepNext w:val="0"/>
        <w:keepLines w:val="0"/>
        <w:widowControl/>
        <w:suppressLineNumbers w:val="0"/>
        <w:jc w:val="left"/>
        <w:rPr>
          <w:rFonts w:hint="default" w:eastAsia="宋体"/>
          <w:color w:val="0000FF"/>
          <w:lang w:val="en-US" w:eastAsia="zh-CN"/>
        </w:rPr>
      </w:pPr>
      <w:r>
        <w:rPr>
          <w:rFonts w:hint="eastAsia" w:ascii="宋体" w:hAnsi="宋体" w:eastAsia="宋体" w:cs="宋体"/>
          <w:color w:val="0000FF"/>
          <w:kern w:val="0"/>
          <w:sz w:val="24"/>
          <w:szCs w:val="24"/>
          <w:lang w:val="en-US" w:eastAsia="zh-CN" w:bidi="ar"/>
        </w:rPr>
        <w:t>劳动定员：项目劳动定员20人。</w:t>
      </w:r>
    </w:p>
    <w:p>
      <w:pPr>
        <w:pStyle w:val="6"/>
        <w:bidi w:val="0"/>
        <w:rPr>
          <w:rFonts w:hint="eastAsia"/>
          <w:color w:val="0000FF"/>
          <w:lang w:val="en-US" w:eastAsia="zh-CN"/>
        </w:rPr>
      </w:pPr>
      <w:bookmarkStart w:id="51" w:name="_Toc31087"/>
      <w:r>
        <w:rPr>
          <w:rFonts w:hint="eastAsia"/>
          <w:color w:val="0000FF"/>
          <w:lang w:val="en-US" w:eastAsia="zh-CN"/>
        </w:rPr>
        <w:t>3.1.1建设内容及规模</w:t>
      </w:r>
      <w:bookmarkEnd w:id="51"/>
    </w:p>
    <w:p>
      <w:pPr>
        <w:bidi w:val="0"/>
        <w:rPr>
          <w:rFonts w:hint="default" w:eastAsia="宋体"/>
          <w:color w:val="0000FF"/>
          <w:lang w:val="en-US" w:eastAsia="zh-CN"/>
        </w:rPr>
      </w:pPr>
      <w:r>
        <w:rPr>
          <w:rFonts w:hint="eastAsia"/>
          <w:color w:val="0000FF"/>
          <w:lang w:eastAsia="zh-CN"/>
        </w:rPr>
        <w:t>（</w:t>
      </w:r>
      <w:r>
        <w:rPr>
          <w:rFonts w:hint="eastAsia"/>
          <w:color w:val="0000FF"/>
          <w:lang w:val="en-US" w:eastAsia="zh-CN"/>
        </w:rPr>
        <w:t>1</w:t>
      </w:r>
      <w:r>
        <w:rPr>
          <w:rFonts w:hint="eastAsia"/>
          <w:color w:val="0000FF"/>
          <w:lang w:eastAsia="zh-CN"/>
        </w:rPr>
        <w:t>）</w:t>
      </w:r>
      <w:r>
        <w:rPr>
          <w:rFonts w:hint="eastAsia"/>
          <w:color w:val="0000FF"/>
          <w:lang w:val="en-US" w:eastAsia="zh-CN"/>
        </w:rPr>
        <w:t>项目组成</w:t>
      </w:r>
    </w:p>
    <w:p>
      <w:pPr>
        <w:bidi w:val="0"/>
        <w:rPr>
          <w:color w:val="0000FF"/>
        </w:rPr>
      </w:pPr>
      <w:r>
        <w:rPr>
          <w:color w:val="0000FF"/>
        </w:rPr>
        <w:t>主要建筑及组成详见表3.1-1。</w:t>
      </w:r>
    </w:p>
    <w:p>
      <w:pPr>
        <w:pStyle w:val="22"/>
        <w:bidi w:val="0"/>
        <w:rPr>
          <w:b/>
          <w:bCs/>
          <w:color w:val="0000FF"/>
        </w:rPr>
      </w:pPr>
      <w:r>
        <w:rPr>
          <w:b/>
          <w:bCs/>
          <w:color w:val="0000FF"/>
        </w:rPr>
        <w:t>表3.1-1疾控中心主要建筑内容一览表</w:t>
      </w:r>
    </w:p>
    <w:tbl>
      <w:tblPr>
        <w:tblStyle w:val="23"/>
        <w:tblW w:w="85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806"/>
        <w:gridCol w:w="6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591" w:type="dxa"/>
            <w:tcBorders>
              <w:tl2br w:val="nil"/>
              <w:tr2bl w:val="nil"/>
            </w:tcBorders>
            <w:textDirection w:val="tbRlV"/>
            <w:vAlign w:val="center"/>
          </w:tcPr>
          <w:p>
            <w:pPr>
              <w:pStyle w:val="22"/>
              <w:bidi w:val="0"/>
              <w:jc w:val="center"/>
              <w:rPr>
                <w:color w:val="0000FF"/>
              </w:rPr>
            </w:pPr>
            <w:r>
              <w:rPr>
                <w:color w:val="0000FF"/>
              </w:rPr>
              <w:t>名称</w:t>
            </w:r>
          </w:p>
        </w:tc>
        <w:tc>
          <w:tcPr>
            <w:tcW w:w="1806" w:type="dxa"/>
            <w:tcBorders>
              <w:tl2br w:val="nil"/>
              <w:tr2bl w:val="nil"/>
            </w:tcBorders>
            <w:vAlign w:val="center"/>
          </w:tcPr>
          <w:p>
            <w:pPr>
              <w:pStyle w:val="22"/>
              <w:bidi w:val="0"/>
              <w:jc w:val="center"/>
              <w:rPr>
                <w:color w:val="0000FF"/>
              </w:rPr>
            </w:pPr>
            <w:r>
              <w:rPr>
                <w:color w:val="0000FF"/>
              </w:rPr>
              <w:t>工程名称</w:t>
            </w:r>
          </w:p>
        </w:tc>
        <w:tc>
          <w:tcPr>
            <w:tcW w:w="6122" w:type="dxa"/>
            <w:tcBorders>
              <w:tl2br w:val="nil"/>
              <w:tr2bl w:val="nil"/>
            </w:tcBorders>
            <w:vAlign w:val="center"/>
          </w:tcPr>
          <w:p>
            <w:pPr>
              <w:pStyle w:val="22"/>
              <w:bidi w:val="0"/>
              <w:jc w:val="center"/>
              <w:rPr>
                <w:color w:val="0000FF"/>
              </w:rPr>
            </w:pPr>
            <w:r>
              <w:rPr>
                <w:color w:val="0000FF"/>
              </w:rPr>
              <w:t>建设内容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4" w:hRule="atLeast"/>
          <w:jc w:val="center"/>
        </w:trPr>
        <w:tc>
          <w:tcPr>
            <w:tcW w:w="591" w:type="dxa"/>
            <w:vMerge w:val="restart"/>
            <w:tcBorders>
              <w:tl2br w:val="nil"/>
              <w:tr2bl w:val="nil"/>
            </w:tcBorders>
            <w:textDirection w:val="tbRlV"/>
            <w:vAlign w:val="center"/>
          </w:tcPr>
          <w:p>
            <w:pPr>
              <w:pStyle w:val="22"/>
              <w:bidi w:val="0"/>
              <w:rPr>
                <w:rFonts w:hint="default"/>
                <w:color w:val="0000FF"/>
                <w:lang w:val="en-US" w:eastAsia="zh-CN"/>
              </w:rPr>
            </w:pPr>
            <w:r>
              <w:rPr>
                <w:rFonts w:hint="eastAsia"/>
                <w:color w:val="0000FF"/>
                <w:lang w:val="en-US" w:eastAsia="zh-CN"/>
              </w:rPr>
              <w:t>主体工程</w:t>
            </w:r>
          </w:p>
        </w:tc>
        <w:tc>
          <w:tcPr>
            <w:tcW w:w="1806" w:type="dxa"/>
            <w:vMerge w:val="restart"/>
            <w:tcBorders>
              <w:tl2br w:val="nil"/>
              <w:tr2bl w:val="nil"/>
            </w:tcBorders>
            <w:vAlign w:val="center"/>
          </w:tcPr>
          <w:p>
            <w:pPr>
              <w:pStyle w:val="22"/>
              <w:bidi w:val="0"/>
              <w:rPr>
                <w:color w:val="0000FF"/>
              </w:rPr>
            </w:pPr>
            <w:r>
              <w:rPr>
                <w:rFonts w:hint="eastAsia"/>
                <w:color w:val="0000FF"/>
                <w:lang w:val="en-US" w:eastAsia="zh-CN"/>
              </w:rPr>
              <w:t>公共卫生监测检验区</w:t>
            </w:r>
          </w:p>
        </w:tc>
        <w:tc>
          <w:tcPr>
            <w:tcW w:w="6122" w:type="dxa"/>
            <w:tcBorders>
              <w:tl2br w:val="nil"/>
              <w:tr2bl w:val="nil"/>
            </w:tcBorders>
            <w:vAlign w:val="center"/>
          </w:tcPr>
          <w:p>
            <w:pPr>
              <w:pStyle w:val="22"/>
              <w:bidi w:val="0"/>
              <w:jc w:val="left"/>
              <w:rPr>
                <w:rFonts w:hint="eastAsia"/>
                <w:color w:val="0000FF"/>
                <w:lang w:val="en-US" w:eastAsia="zh-CN"/>
              </w:rPr>
            </w:pPr>
            <w:r>
              <w:rPr>
                <w:rFonts w:hint="eastAsia"/>
                <w:color w:val="0000FF"/>
                <w:lang w:val="en-US" w:eastAsia="zh-CN"/>
              </w:rPr>
              <w:t>1F：实验人员工作室，收样、生物样品保存试剂耗材储存室、实验室运行设备集中管理室、消防控制室、会议室和备用发电机房及配电室等。</w:t>
            </w:r>
          </w:p>
          <w:p>
            <w:pPr>
              <w:pStyle w:val="22"/>
              <w:bidi w:val="0"/>
              <w:jc w:val="both"/>
              <w:rPr>
                <w:rFonts w:hint="eastAsia" w:eastAsia="宋体"/>
                <w:color w:val="0000FF"/>
                <w:lang w:eastAsia="zh-CN"/>
              </w:rPr>
            </w:pPr>
            <w:r>
              <w:rPr>
                <w:rFonts w:hint="eastAsia"/>
                <w:color w:val="0000FF"/>
                <w:lang w:val="en-US" w:eastAsia="zh-CN"/>
              </w:rPr>
              <w:t>2F：</w:t>
            </w:r>
            <w:r>
              <w:rPr>
                <w:color w:val="0000FF"/>
              </w:rPr>
              <w:t>微生物实验区</w:t>
            </w:r>
            <w:r>
              <w:rPr>
                <w:rFonts w:hint="eastAsia"/>
                <w:color w:val="0000FF"/>
                <w:lang w:eastAsia="zh-CN"/>
              </w:rPr>
              <w:t>：</w:t>
            </w:r>
            <w:r>
              <w:rPr>
                <w:color w:val="0000FF"/>
              </w:rPr>
              <w:t>主要设病原微生物室</w:t>
            </w:r>
            <w:r>
              <w:rPr>
                <w:rFonts w:hint="eastAsia"/>
                <w:color w:val="0000FF"/>
                <w:lang w:eastAsia="zh-CN"/>
              </w:rPr>
              <w:t>，</w:t>
            </w:r>
            <w:r>
              <w:rPr>
                <w:color w:val="0000FF"/>
              </w:rPr>
              <w:t>设有无菌室、样品制备间、试剂调配间、培养室、库房、检验室、消毒间，设有生物安全柜，和灭菌消毒设备</w:t>
            </w:r>
          </w:p>
          <w:p>
            <w:pPr>
              <w:pStyle w:val="22"/>
              <w:bidi w:val="0"/>
              <w:jc w:val="left"/>
              <w:rPr>
                <w:rFonts w:hint="eastAsia"/>
                <w:color w:val="0000FF"/>
                <w:lang w:eastAsia="zh-CN"/>
              </w:rPr>
            </w:pPr>
            <w:r>
              <w:rPr>
                <w:color w:val="0000FF"/>
              </w:rPr>
              <w:t>理化实验区</w:t>
            </w:r>
            <w:r>
              <w:rPr>
                <w:rFonts w:hint="eastAsia"/>
                <w:color w:val="0000FF"/>
                <w:lang w:eastAsia="zh-CN"/>
              </w:rPr>
              <w:t>：</w:t>
            </w:r>
            <w:r>
              <w:rPr>
                <w:color w:val="0000FF"/>
              </w:rPr>
              <w:t>主要设置食品理化室、职业卫生理化室、环境卫生理化室。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91" w:type="dxa"/>
            <w:vMerge w:val="continue"/>
            <w:tcBorders>
              <w:tl2br w:val="nil"/>
              <w:tr2bl w:val="nil"/>
            </w:tcBorders>
            <w:textDirection w:val="tbRlV"/>
            <w:vAlign w:val="center"/>
          </w:tcPr>
          <w:p>
            <w:pPr>
              <w:pStyle w:val="22"/>
              <w:bidi w:val="0"/>
              <w:rPr>
                <w:color w:val="0000FF"/>
              </w:rPr>
            </w:pPr>
          </w:p>
        </w:tc>
        <w:tc>
          <w:tcPr>
            <w:tcW w:w="1806" w:type="dxa"/>
            <w:tcBorders>
              <w:tl2br w:val="nil"/>
              <w:tr2bl w:val="nil"/>
            </w:tcBorders>
            <w:vAlign w:val="center"/>
          </w:tcPr>
          <w:p>
            <w:pPr>
              <w:pStyle w:val="22"/>
              <w:bidi w:val="0"/>
              <w:rPr>
                <w:color w:val="0000FF"/>
              </w:rPr>
            </w:pPr>
            <w:r>
              <w:rPr>
                <w:rFonts w:hint="eastAsia"/>
                <w:color w:val="0000FF"/>
                <w:lang w:val="en-US" w:eastAsia="zh-CN"/>
              </w:rPr>
              <w:t>业务大楼及应急指挥中心</w:t>
            </w:r>
          </w:p>
        </w:tc>
        <w:tc>
          <w:tcPr>
            <w:tcW w:w="6122" w:type="dxa"/>
            <w:tcBorders>
              <w:tl2br w:val="nil"/>
              <w:tr2bl w:val="nil"/>
            </w:tcBorders>
            <w:vAlign w:val="center"/>
          </w:tcPr>
          <w:p>
            <w:pPr>
              <w:pStyle w:val="22"/>
              <w:bidi w:val="0"/>
              <w:jc w:val="both"/>
              <w:rPr>
                <w:rFonts w:hint="eastAsia"/>
                <w:color w:val="0000FF"/>
                <w:lang w:val="en-US" w:eastAsia="zh-CN"/>
              </w:rPr>
            </w:pPr>
            <w:r>
              <w:rPr>
                <w:rFonts w:hint="eastAsia"/>
                <w:color w:val="0000FF"/>
                <w:lang w:val="en-US" w:eastAsia="zh-CN"/>
              </w:rPr>
              <w:t>1F：设置为业务及行政办公用房；</w:t>
            </w:r>
          </w:p>
          <w:p>
            <w:pPr>
              <w:pStyle w:val="22"/>
              <w:bidi w:val="0"/>
              <w:rPr>
                <w:rFonts w:hint="eastAsia"/>
                <w:color w:val="0000FF"/>
                <w:lang w:eastAsia="zh-CN"/>
              </w:rPr>
            </w:pPr>
            <w:r>
              <w:rPr>
                <w:rFonts w:hint="eastAsia"/>
                <w:color w:val="0000FF"/>
                <w:lang w:val="en-US" w:eastAsia="zh-CN"/>
              </w:rPr>
              <w:t>2F：大数据收集信息中心，设立一间大的视频会议室和一间视频总调度室，平时建立大数据健康管理平台，开展互联网</w:t>
            </w:r>
            <w:r>
              <w:rPr>
                <w:rFonts w:hint="default"/>
                <w:color w:val="0000FF"/>
                <w:lang w:val="en-US" w:eastAsia="zh-CN"/>
              </w:rPr>
              <w:t>+</w:t>
            </w:r>
            <w:r>
              <w:rPr>
                <w:rFonts w:hint="eastAsia"/>
                <w:color w:val="0000FF"/>
                <w:lang w:val="en-US" w:eastAsia="zh-CN"/>
              </w:rPr>
              <w:t>传染病、慢性病、职业病等防控，建立重大疾病流行病学监测大数据平台构建，用于大数据收集分析工作，战时则用于疫情分析中心和调度中心，开展数据收集、汇总、分析，设立1个小型会商会议室；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jc w:val="center"/>
        </w:trPr>
        <w:tc>
          <w:tcPr>
            <w:tcW w:w="591" w:type="dxa"/>
            <w:tcBorders>
              <w:tl2br w:val="nil"/>
              <w:tr2bl w:val="nil"/>
            </w:tcBorders>
            <w:textDirection w:val="tbRlV"/>
            <w:vAlign w:val="center"/>
          </w:tcPr>
          <w:p>
            <w:pPr>
              <w:pStyle w:val="22"/>
              <w:bidi w:val="0"/>
              <w:rPr>
                <w:color w:val="0000FF"/>
              </w:rPr>
            </w:pPr>
          </w:p>
        </w:tc>
        <w:tc>
          <w:tcPr>
            <w:tcW w:w="1806" w:type="dxa"/>
            <w:tcBorders>
              <w:tl2br w:val="nil"/>
              <w:tr2bl w:val="nil"/>
            </w:tcBorders>
            <w:vAlign w:val="center"/>
          </w:tcPr>
          <w:p>
            <w:pPr>
              <w:pStyle w:val="22"/>
              <w:bidi w:val="0"/>
              <w:rPr>
                <w:rFonts w:hint="eastAsia"/>
                <w:color w:val="0000FF"/>
                <w:lang w:val="en-US" w:eastAsia="zh-CN"/>
              </w:rPr>
            </w:pPr>
            <w:r>
              <w:rPr>
                <w:rFonts w:hint="eastAsia"/>
                <w:color w:val="0000FF"/>
                <w:lang w:val="en-US" w:eastAsia="zh-CN"/>
              </w:rPr>
              <w:t>体检中心</w:t>
            </w:r>
          </w:p>
        </w:tc>
        <w:tc>
          <w:tcPr>
            <w:tcW w:w="6122" w:type="dxa"/>
            <w:tcBorders>
              <w:tl2br w:val="nil"/>
              <w:tr2bl w:val="nil"/>
            </w:tcBorders>
            <w:vAlign w:val="center"/>
          </w:tcPr>
          <w:p>
            <w:pPr>
              <w:pStyle w:val="22"/>
              <w:bidi w:val="0"/>
              <w:jc w:val="both"/>
              <w:rPr>
                <w:color w:val="0000FF"/>
              </w:rPr>
            </w:pPr>
            <w:r>
              <w:rPr>
                <w:rFonts w:hint="eastAsia"/>
                <w:color w:val="0000FF"/>
                <w:lang w:val="en-US" w:eastAsia="zh-CN"/>
              </w:rPr>
              <w:t>1F：大厅、办公、体检、疫苗接种等；</w:t>
            </w:r>
          </w:p>
          <w:p>
            <w:pPr>
              <w:pStyle w:val="22"/>
              <w:bidi w:val="0"/>
              <w:jc w:val="both"/>
              <w:rPr>
                <w:rFonts w:hint="default"/>
                <w:color w:val="0000FF"/>
                <w:lang w:val="en-US" w:eastAsia="zh-CN"/>
              </w:rPr>
            </w:pPr>
            <w:r>
              <w:rPr>
                <w:rFonts w:hint="eastAsia"/>
                <w:color w:val="0000FF"/>
                <w:lang w:val="en-US" w:eastAsia="zh-CN"/>
              </w:rPr>
              <w:t>2F：检验室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591" w:type="dxa"/>
            <w:vMerge w:val="restart"/>
            <w:tcBorders>
              <w:tl2br w:val="nil"/>
              <w:tr2bl w:val="nil"/>
            </w:tcBorders>
            <w:textDirection w:val="tbRlV"/>
            <w:vAlign w:val="center"/>
          </w:tcPr>
          <w:p>
            <w:pPr>
              <w:pStyle w:val="22"/>
              <w:bidi w:val="0"/>
              <w:jc w:val="center"/>
              <w:rPr>
                <w:color w:val="0000FF"/>
              </w:rPr>
            </w:pPr>
            <w:r>
              <w:rPr>
                <w:color w:val="0000FF"/>
              </w:rPr>
              <w:t>公用工程</w:t>
            </w:r>
          </w:p>
        </w:tc>
        <w:tc>
          <w:tcPr>
            <w:tcW w:w="1806" w:type="dxa"/>
            <w:tcBorders>
              <w:tl2br w:val="nil"/>
              <w:tr2bl w:val="nil"/>
            </w:tcBorders>
            <w:vAlign w:val="center"/>
          </w:tcPr>
          <w:p>
            <w:pPr>
              <w:pStyle w:val="22"/>
              <w:bidi w:val="0"/>
              <w:jc w:val="center"/>
              <w:rPr>
                <w:color w:val="0000FF"/>
              </w:rPr>
            </w:pPr>
            <w:r>
              <w:rPr>
                <w:color w:val="0000FF"/>
              </w:rPr>
              <w:t>供水</w:t>
            </w:r>
          </w:p>
        </w:tc>
        <w:tc>
          <w:tcPr>
            <w:tcW w:w="6122" w:type="dxa"/>
            <w:tcBorders>
              <w:tl2br w:val="nil"/>
              <w:tr2bl w:val="nil"/>
            </w:tcBorders>
            <w:vAlign w:val="center"/>
          </w:tcPr>
          <w:p>
            <w:pPr>
              <w:pStyle w:val="22"/>
              <w:bidi w:val="0"/>
              <w:jc w:val="center"/>
              <w:rPr>
                <w:color w:val="0000FF"/>
              </w:rPr>
            </w:pPr>
            <w:r>
              <w:rPr>
                <w:color w:val="0000FF"/>
              </w:rPr>
              <w:t>生活和生产用水来自水库南部</w:t>
            </w:r>
            <w:r>
              <w:rPr>
                <w:rFonts w:hint="eastAsia"/>
                <w:color w:val="0000FF"/>
                <w:lang w:eastAsia="zh-CN"/>
              </w:rPr>
              <w:t>，</w:t>
            </w:r>
            <w:r>
              <w:rPr>
                <w:color w:val="0000FF"/>
              </w:rPr>
              <w:t>用水由水源地输送到水厂加压后统一供给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591" w:type="dxa"/>
            <w:vMerge w:val="continue"/>
            <w:tcBorders>
              <w:tl2br w:val="nil"/>
              <w:tr2bl w:val="nil"/>
            </w:tcBorders>
            <w:textDirection w:val="tbRlV"/>
            <w:vAlign w:val="center"/>
          </w:tcPr>
          <w:p>
            <w:pPr>
              <w:pStyle w:val="22"/>
              <w:bidi w:val="0"/>
              <w:jc w:val="center"/>
              <w:rPr>
                <w:color w:val="0000FF"/>
              </w:rPr>
            </w:pPr>
          </w:p>
        </w:tc>
        <w:tc>
          <w:tcPr>
            <w:tcW w:w="1806" w:type="dxa"/>
            <w:tcBorders>
              <w:tl2br w:val="nil"/>
              <w:tr2bl w:val="nil"/>
            </w:tcBorders>
            <w:vAlign w:val="center"/>
          </w:tcPr>
          <w:p>
            <w:pPr>
              <w:pStyle w:val="22"/>
              <w:bidi w:val="0"/>
              <w:jc w:val="center"/>
              <w:rPr>
                <w:color w:val="0000FF"/>
              </w:rPr>
            </w:pPr>
            <w:r>
              <w:rPr>
                <w:color w:val="0000FF"/>
              </w:rPr>
              <w:t>供电</w:t>
            </w:r>
          </w:p>
        </w:tc>
        <w:tc>
          <w:tcPr>
            <w:tcW w:w="6122" w:type="dxa"/>
            <w:tcBorders>
              <w:tl2br w:val="nil"/>
              <w:tr2bl w:val="nil"/>
            </w:tcBorders>
            <w:vAlign w:val="center"/>
          </w:tcPr>
          <w:p>
            <w:pPr>
              <w:pStyle w:val="22"/>
              <w:bidi w:val="0"/>
              <w:jc w:val="center"/>
              <w:rPr>
                <w:color w:val="0000FF"/>
              </w:rPr>
            </w:pPr>
            <w:r>
              <w:rPr>
                <w:color w:val="0000FF"/>
              </w:rPr>
              <w:t>225团现有水电站1座，装机容量1×50千瓦；柴油发电装机容量700千瓦。场内输变电线路自成体系，并与于田县供电局变电站联网，35千伏变电站距医疗保健约150米，容量2000千伏安，电源由疆南电力公司所属的于田10千伏变电所供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591" w:type="dxa"/>
            <w:vMerge w:val="continue"/>
            <w:tcBorders>
              <w:tl2br w:val="nil"/>
              <w:tr2bl w:val="nil"/>
            </w:tcBorders>
            <w:textDirection w:val="tbRlV"/>
            <w:vAlign w:val="center"/>
          </w:tcPr>
          <w:p>
            <w:pPr>
              <w:pStyle w:val="22"/>
              <w:bidi w:val="0"/>
              <w:jc w:val="center"/>
              <w:rPr>
                <w:color w:val="0000FF"/>
              </w:rPr>
            </w:pPr>
          </w:p>
        </w:tc>
        <w:tc>
          <w:tcPr>
            <w:tcW w:w="1806" w:type="dxa"/>
            <w:tcBorders>
              <w:tl2br w:val="nil"/>
              <w:tr2bl w:val="nil"/>
            </w:tcBorders>
            <w:vAlign w:val="center"/>
          </w:tcPr>
          <w:p>
            <w:pPr>
              <w:pStyle w:val="22"/>
              <w:bidi w:val="0"/>
              <w:jc w:val="center"/>
              <w:rPr>
                <w:color w:val="0000FF"/>
              </w:rPr>
            </w:pPr>
            <w:r>
              <w:rPr>
                <w:color w:val="0000FF"/>
              </w:rPr>
              <w:t>供暖</w:t>
            </w:r>
          </w:p>
        </w:tc>
        <w:tc>
          <w:tcPr>
            <w:tcW w:w="6122" w:type="dxa"/>
            <w:tcBorders>
              <w:tl2br w:val="nil"/>
              <w:tr2bl w:val="nil"/>
            </w:tcBorders>
            <w:vAlign w:val="center"/>
          </w:tcPr>
          <w:p>
            <w:pPr>
              <w:pStyle w:val="22"/>
              <w:bidi w:val="0"/>
              <w:jc w:val="center"/>
              <w:rPr>
                <w:color w:val="0000FF"/>
              </w:rPr>
            </w:pPr>
            <w:r>
              <w:rPr>
                <w:rFonts w:hint="eastAsia"/>
                <w:color w:val="0000FF"/>
                <w:lang w:val="en-US" w:eastAsia="zh-CN"/>
              </w:rPr>
              <w:t>225团</w:t>
            </w:r>
            <w:r>
              <w:rPr>
                <w:color w:val="0000FF"/>
              </w:rPr>
              <w:t>现已实现集中供热方式，供热管网呈树枝状直埋布设，供热锅炉位于场部医院东侧，总供热面积为16万平方米，现负荷只达到60%，完全</w:t>
            </w:r>
            <w:r>
              <w:rPr>
                <w:rFonts w:hint="eastAsia"/>
                <w:color w:val="0000FF"/>
                <w:lang w:eastAsia="zh-CN"/>
              </w:rPr>
              <w:t>可以</w:t>
            </w:r>
            <w:r>
              <w:rPr>
                <w:color w:val="0000FF"/>
              </w:rPr>
              <w:t>满足本项目采暖需要。本项目建设地点距最近的管网约200米。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91" w:type="dxa"/>
            <w:vMerge w:val="continue"/>
            <w:tcBorders>
              <w:tl2br w:val="nil"/>
              <w:tr2bl w:val="nil"/>
            </w:tcBorders>
            <w:textDirection w:val="tbRlV"/>
            <w:vAlign w:val="center"/>
          </w:tcPr>
          <w:p>
            <w:pPr>
              <w:pStyle w:val="22"/>
              <w:bidi w:val="0"/>
              <w:jc w:val="center"/>
              <w:rPr>
                <w:color w:val="0000FF"/>
              </w:rPr>
            </w:pPr>
          </w:p>
        </w:tc>
        <w:tc>
          <w:tcPr>
            <w:tcW w:w="1806" w:type="dxa"/>
            <w:tcBorders>
              <w:tl2br w:val="nil"/>
              <w:tr2bl w:val="nil"/>
            </w:tcBorders>
            <w:vAlign w:val="center"/>
          </w:tcPr>
          <w:p>
            <w:pPr>
              <w:pStyle w:val="22"/>
              <w:bidi w:val="0"/>
              <w:jc w:val="center"/>
              <w:rPr>
                <w:color w:val="0000FF"/>
              </w:rPr>
            </w:pPr>
            <w:r>
              <w:rPr>
                <w:color w:val="0000FF"/>
              </w:rPr>
              <w:t>生活垃圾收集站</w:t>
            </w:r>
          </w:p>
        </w:tc>
        <w:tc>
          <w:tcPr>
            <w:tcW w:w="6122" w:type="dxa"/>
            <w:tcBorders>
              <w:tl2br w:val="nil"/>
              <w:tr2bl w:val="nil"/>
            </w:tcBorders>
            <w:vAlign w:val="center"/>
          </w:tcPr>
          <w:p>
            <w:pPr>
              <w:pStyle w:val="22"/>
              <w:bidi w:val="0"/>
              <w:jc w:val="center"/>
              <w:rPr>
                <w:color w:val="0000FF"/>
              </w:rPr>
            </w:pPr>
            <w:r>
              <w:rPr>
                <w:color w:val="0000FF"/>
              </w:rPr>
              <w:t>疾控中心各层均</w:t>
            </w:r>
            <w:r>
              <w:rPr>
                <w:rFonts w:hint="eastAsia"/>
                <w:color w:val="0000FF"/>
                <w:lang w:val="en-US" w:eastAsia="zh-CN"/>
              </w:rPr>
              <w:t>设</w:t>
            </w:r>
            <w:r>
              <w:rPr>
                <w:color w:val="0000FF"/>
              </w:rPr>
              <w:t>有垃圾桶，负责收集生活垃圾，委托</w:t>
            </w:r>
            <w:r>
              <w:rPr>
                <w:rFonts w:hint="eastAsia"/>
                <w:color w:val="0000FF"/>
                <w:lang w:val="en-US" w:eastAsia="zh-CN"/>
              </w:rPr>
              <w:t>225团</w:t>
            </w:r>
            <w:r>
              <w:rPr>
                <w:color w:val="0000FF"/>
              </w:rPr>
              <w:t>环卫部门负责收集清运处置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91" w:type="dxa"/>
            <w:vMerge w:val="continue"/>
            <w:tcBorders>
              <w:tl2br w:val="nil"/>
              <w:tr2bl w:val="nil"/>
            </w:tcBorders>
            <w:textDirection w:val="tbRlV"/>
            <w:vAlign w:val="center"/>
          </w:tcPr>
          <w:p>
            <w:pPr>
              <w:pStyle w:val="22"/>
              <w:bidi w:val="0"/>
              <w:jc w:val="center"/>
              <w:rPr>
                <w:color w:val="0000FF"/>
              </w:rPr>
            </w:pPr>
          </w:p>
        </w:tc>
        <w:tc>
          <w:tcPr>
            <w:tcW w:w="1806" w:type="dxa"/>
            <w:tcBorders>
              <w:tl2br w:val="nil"/>
              <w:tr2bl w:val="nil"/>
            </w:tcBorders>
            <w:vAlign w:val="center"/>
          </w:tcPr>
          <w:p>
            <w:pPr>
              <w:pStyle w:val="22"/>
              <w:bidi w:val="0"/>
              <w:jc w:val="center"/>
              <w:rPr>
                <w:color w:val="0000FF"/>
              </w:rPr>
            </w:pPr>
            <w:r>
              <w:rPr>
                <w:color w:val="0000FF"/>
              </w:rPr>
              <w:t>危废暂存间</w:t>
            </w:r>
          </w:p>
        </w:tc>
        <w:tc>
          <w:tcPr>
            <w:tcW w:w="6122" w:type="dxa"/>
            <w:tcBorders>
              <w:tl2br w:val="nil"/>
              <w:tr2bl w:val="nil"/>
            </w:tcBorders>
            <w:vAlign w:val="center"/>
          </w:tcPr>
          <w:p>
            <w:pPr>
              <w:pStyle w:val="22"/>
              <w:bidi w:val="0"/>
              <w:jc w:val="center"/>
              <w:rPr>
                <w:color w:val="0000FF"/>
              </w:rPr>
            </w:pPr>
            <w:r>
              <w:rPr>
                <w:color w:val="0000FF"/>
              </w:rPr>
              <w:t>设置危废暂存间，负责收集暂存疾控中心的医疗固废，委托当地有危废资质单位处理。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jc w:val="center"/>
        </w:trPr>
        <w:tc>
          <w:tcPr>
            <w:tcW w:w="591" w:type="dxa"/>
            <w:vMerge w:val="restart"/>
            <w:tcBorders>
              <w:tl2br w:val="nil"/>
              <w:tr2bl w:val="nil"/>
            </w:tcBorders>
            <w:textDirection w:val="tbRlV"/>
            <w:vAlign w:val="center"/>
          </w:tcPr>
          <w:p>
            <w:pPr>
              <w:pStyle w:val="22"/>
              <w:bidi w:val="0"/>
              <w:jc w:val="center"/>
              <w:rPr>
                <w:color w:val="0000FF"/>
              </w:rPr>
            </w:pPr>
            <w:r>
              <w:rPr>
                <w:color w:val="0000FF"/>
              </w:rPr>
              <w:t>环保工程</w:t>
            </w:r>
          </w:p>
        </w:tc>
        <w:tc>
          <w:tcPr>
            <w:tcW w:w="1806" w:type="dxa"/>
            <w:tcBorders>
              <w:tl2br w:val="nil"/>
              <w:tr2bl w:val="nil"/>
            </w:tcBorders>
            <w:vAlign w:val="center"/>
          </w:tcPr>
          <w:p>
            <w:pPr>
              <w:pStyle w:val="22"/>
              <w:bidi w:val="0"/>
              <w:jc w:val="center"/>
              <w:rPr>
                <w:color w:val="0000FF"/>
              </w:rPr>
            </w:pPr>
            <w:r>
              <w:rPr>
                <w:color w:val="0000FF"/>
              </w:rPr>
              <w:t>废气</w:t>
            </w:r>
          </w:p>
        </w:tc>
        <w:tc>
          <w:tcPr>
            <w:tcW w:w="6122" w:type="dxa"/>
            <w:tcBorders>
              <w:tl2br w:val="nil"/>
              <w:tr2bl w:val="nil"/>
            </w:tcBorders>
            <w:vAlign w:val="center"/>
          </w:tcPr>
          <w:p>
            <w:pPr>
              <w:pStyle w:val="22"/>
              <w:bidi w:val="0"/>
              <w:jc w:val="center"/>
              <w:rPr>
                <w:color w:val="0000FF"/>
              </w:rPr>
            </w:pPr>
            <w:r>
              <w:rPr>
                <w:rFonts w:hint="eastAsia"/>
                <w:color w:val="0000FF"/>
                <w:lang w:val="en-US" w:eastAsia="zh-CN"/>
              </w:rPr>
              <w:t>①</w:t>
            </w:r>
            <w:r>
              <w:rPr>
                <w:color w:val="0000FF"/>
              </w:rPr>
              <w:t>理化实验室</w:t>
            </w:r>
            <w:r>
              <w:rPr>
                <w:rFonts w:hint="eastAsia"/>
                <w:color w:val="0000FF"/>
                <w:lang w:eastAsia="zh-CN"/>
              </w:rPr>
              <w:t>：</w:t>
            </w:r>
            <w:r>
              <w:rPr>
                <w:color w:val="0000FF"/>
              </w:rPr>
              <w:t>集气罩收集，活性炭吸附后</w:t>
            </w:r>
            <w:r>
              <w:rPr>
                <w:rFonts w:hint="eastAsia"/>
                <w:color w:val="0000FF"/>
                <w:lang w:val="en-US" w:eastAsia="zh-CN"/>
              </w:rPr>
              <w:t>经管道引至位于屋顶排放；</w:t>
            </w:r>
          </w:p>
          <w:p>
            <w:pPr>
              <w:pStyle w:val="22"/>
              <w:bidi w:val="0"/>
              <w:jc w:val="center"/>
              <w:rPr>
                <w:rFonts w:hint="eastAsia"/>
                <w:color w:val="0000FF"/>
                <w:lang w:val="en-US" w:eastAsia="zh-CN"/>
              </w:rPr>
            </w:pPr>
            <w:r>
              <w:rPr>
                <w:rFonts w:hint="eastAsia"/>
                <w:color w:val="0000FF"/>
                <w:lang w:val="en-US" w:eastAsia="zh-CN"/>
              </w:rPr>
              <w:t>②生物实验：生物安全柜安装负压高效空气过滤器，经管道引至位于屋顶的排放；</w:t>
            </w:r>
          </w:p>
          <w:p>
            <w:pPr>
              <w:pStyle w:val="22"/>
              <w:bidi w:val="0"/>
              <w:jc w:val="both"/>
              <w:rPr>
                <w:rFonts w:hint="default"/>
                <w:color w:val="0000FF"/>
                <w:lang w:val="en-US" w:eastAsia="zh-CN"/>
              </w:rPr>
            </w:pPr>
            <w:r>
              <w:rPr>
                <w:rFonts w:hint="eastAsia"/>
                <w:color w:val="0000FF"/>
                <w:lang w:val="en-US" w:eastAsia="zh-CN"/>
              </w:rPr>
              <w:t>③污水处理站废气：项目污水处理设备加盖密封、预留排换气口接入管道引至活性炭吸附装置处理后排放。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jc w:val="center"/>
        </w:trPr>
        <w:tc>
          <w:tcPr>
            <w:tcW w:w="591" w:type="dxa"/>
            <w:vMerge w:val="continue"/>
            <w:tcBorders>
              <w:tl2br w:val="nil"/>
              <w:tr2bl w:val="nil"/>
            </w:tcBorders>
            <w:textDirection w:val="tbRlV"/>
            <w:vAlign w:val="center"/>
          </w:tcPr>
          <w:p>
            <w:pPr>
              <w:pStyle w:val="22"/>
              <w:bidi w:val="0"/>
              <w:jc w:val="center"/>
              <w:rPr>
                <w:color w:val="0000FF"/>
              </w:rPr>
            </w:pPr>
          </w:p>
        </w:tc>
        <w:tc>
          <w:tcPr>
            <w:tcW w:w="1806" w:type="dxa"/>
            <w:tcBorders>
              <w:tl2br w:val="nil"/>
              <w:tr2bl w:val="nil"/>
            </w:tcBorders>
            <w:vAlign w:val="center"/>
          </w:tcPr>
          <w:p>
            <w:pPr>
              <w:pStyle w:val="22"/>
              <w:bidi w:val="0"/>
              <w:jc w:val="center"/>
              <w:rPr>
                <w:color w:val="0000FF"/>
              </w:rPr>
            </w:pPr>
            <w:r>
              <w:rPr>
                <w:color w:val="0000FF"/>
              </w:rPr>
              <w:t>废水</w:t>
            </w:r>
          </w:p>
        </w:tc>
        <w:tc>
          <w:tcPr>
            <w:tcW w:w="6122" w:type="dxa"/>
            <w:tcBorders>
              <w:tl2br w:val="nil"/>
              <w:tr2bl w:val="nil"/>
            </w:tcBorders>
            <w:vAlign w:val="center"/>
          </w:tcPr>
          <w:p>
            <w:pPr>
              <w:pStyle w:val="22"/>
              <w:bidi w:val="0"/>
              <w:jc w:val="center"/>
              <w:rPr>
                <w:color w:val="0000FF"/>
              </w:rPr>
            </w:pPr>
            <w:r>
              <w:rPr>
                <w:color w:val="0000FF"/>
              </w:rPr>
              <w:t>本项目理化实验废水经酸碱中和预处理后、实验楼生活污水经化粪池预处理后与微生物实验室废水一同进入自建污水处理站进行处理；办公楼生活污水经化粪池处理后与前述废水一同经市政污水管网排入</w:t>
            </w:r>
            <w:r>
              <w:rPr>
                <w:rFonts w:hint="eastAsia"/>
                <w:color w:val="0000FF"/>
                <w:lang w:val="en-US" w:eastAsia="zh-CN"/>
              </w:rPr>
              <w:t>225团</w:t>
            </w:r>
            <w:r>
              <w:rPr>
                <w:color w:val="0000FF"/>
              </w:rPr>
              <w:t>污水处理厂进行进一步处理。实验废水</w:t>
            </w:r>
            <w:r>
              <w:rPr>
                <w:rFonts w:hint="eastAsia"/>
                <w:color w:val="0000FF"/>
                <w:lang w:eastAsia="zh-CN"/>
              </w:rPr>
              <w:t>采用</w:t>
            </w:r>
            <w:r>
              <w:rPr>
                <w:rFonts w:hint="eastAsia"/>
                <w:color w:val="0000FF"/>
                <w:lang w:val="en-US" w:eastAsia="zh-CN"/>
              </w:rPr>
              <w:t>取</w:t>
            </w:r>
            <w:r>
              <w:rPr>
                <w:rFonts w:hint="default"/>
                <w:color w:val="0000FF"/>
                <w:lang w:val="en-US" w:eastAsia="zh-CN"/>
              </w:rPr>
              <w:t>“</w:t>
            </w:r>
            <w:r>
              <w:rPr>
                <w:rFonts w:hint="eastAsia"/>
                <w:color w:val="0000FF"/>
                <w:lang w:val="en-US" w:eastAsia="zh-CN"/>
              </w:rPr>
              <w:t>调节池+水解酸化+接触氧化+沉淀+消毒</w:t>
            </w:r>
            <w:r>
              <w:rPr>
                <w:rFonts w:hint="default"/>
                <w:color w:val="0000FF"/>
                <w:lang w:val="en-US" w:eastAsia="zh-CN"/>
              </w:rPr>
              <w:t>”</w:t>
            </w:r>
            <w:r>
              <w:rPr>
                <w:rFonts w:hint="eastAsia"/>
                <w:color w:val="0000FF"/>
                <w:lang w:val="en-US" w:eastAsia="zh-CN"/>
              </w:rPr>
              <w:t>处理工艺</w:t>
            </w:r>
            <w:r>
              <w:rPr>
                <w:color w:val="0000FF"/>
              </w:rPr>
              <w:t>进行污水处理，为一体化设备，日处理量在</w:t>
            </w:r>
            <w:r>
              <w:rPr>
                <w:rFonts w:hint="eastAsia"/>
                <w:color w:val="0000FF"/>
                <w:lang w:val="en-US" w:eastAsia="zh-CN"/>
              </w:rPr>
              <w:t>5</w:t>
            </w:r>
            <w:r>
              <w:rPr>
                <w:color w:val="0000FF"/>
              </w:rPr>
              <w:t>m</w:t>
            </w:r>
            <w:r>
              <w:rPr>
                <w:color w:val="0000FF"/>
                <w:vertAlign w:val="superscript"/>
              </w:rPr>
              <w:t>3</w:t>
            </w:r>
            <w:r>
              <w:rPr>
                <w:color w:val="0000FF"/>
              </w:rPr>
              <w:t>/d，能够满足项目区需求。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91" w:type="dxa"/>
            <w:vMerge w:val="continue"/>
            <w:tcBorders>
              <w:tl2br w:val="nil"/>
              <w:tr2bl w:val="nil"/>
            </w:tcBorders>
            <w:textDirection w:val="tbRlV"/>
            <w:vAlign w:val="center"/>
          </w:tcPr>
          <w:p>
            <w:pPr>
              <w:pStyle w:val="22"/>
              <w:bidi w:val="0"/>
              <w:jc w:val="center"/>
              <w:rPr>
                <w:color w:val="0000FF"/>
              </w:rPr>
            </w:pPr>
          </w:p>
        </w:tc>
        <w:tc>
          <w:tcPr>
            <w:tcW w:w="1806" w:type="dxa"/>
            <w:tcBorders>
              <w:tl2br w:val="nil"/>
              <w:tr2bl w:val="nil"/>
            </w:tcBorders>
            <w:vAlign w:val="center"/>
          </w:tcPr>
          <w:p>
            <w:pPr>
              <w:pStyle w:val="22"/>
              <w:bidi w:val="0"/>
              <w:jc w:val="center"/>
              <w:rPr>
                <w:color w:val="0000FF"/>
              </w:rPr>
            </w:pPr>
            <w:r>
              <w:rPr>
                <w:color w:val="0000FF"/>
              </w:rPr>
              <w:t>固废</w:t>
            </w:r>
          </w:p>
        </w:tc>
        <w:tc>
          <w:tcPr>
            <w:tcW w:w="6122" w:type="dxa"/>
            <w:tcBorders>
              <w:tl2br w:val="nil"/>
              <w:tr2bl w:val="nil"/>
            </w:tcBorders>
            <w:vAlign w:val="center"/>
          </w:tcPr>
          <w:p>
            <w:pPr>
              <w:pStyle w:val="22"/>
              <w:bidi w:val="0"/>
              <w:jc w:val="center"/>
              <w:rPr>
                <w:color w:val="0000FF"/>
              </w:rPr>
            </w:pPr>
            <w:r>
              <w:rPr>
                <w:color w:val="0000FF"/>
              </w:rPr>
              <w:t>生活垃圾收集设施，实验室废液暂存容器，医疗废物暂存容器及危险废物容器，分类收集后暂存至危废暂存间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591" w:type="dxa"/>
            <w:vMerge w:val="continue"/>
            <w:tcBorders>
              <w:tl2br w:val="nil"/>
              <w:tr2bl w:val="nil"/>
            </w:tcBorders>
            <w:textDirection w:val="tbRlV"/>
            <w:vAlign w:val="center"/>
          </w:tcPr>
          <w:p>
            <w:pPr>
              <w:pStyle w:val="22"/>
              <w:bidi w:val="0"/>
              <w:jc w:val="center"/>
              <w:rPr>
                <w:color w:val="0000FF"/>
              </w:rPr>
            </w:pPr>
          </w:p>
        </w:tc>
        <w:tc>
          <w:tcPr>
            <w:tcW w:w="1806" w:type="dxa"/>
            <w:tcBorders>
              <w:tl2br w:val="nil"/>
              <w:tr2bl w:val="nil"/>
            </w:tcBorders>
            <w:vAlign w:val="center"/>
          </w:tcPr>
          <w:p>
            <w:pPr>
              <w:pStyle w:val="22"/>
              <w:bidi w:val="0"/>
              <w:jc w:val="center"/>
              <w:rPr>
                <w:color w:val="0000FF"/>
              </w:rPr>
            </w:pPr>
            <w:r>
              <w:rPr>
                <w:color w:val="0000FF"/>
              </w:rPr>
              <w:t>噪声</w:t>
            </w:r>
          </w:p>
        </w:tc>
        <w:tc>
          <w:tcPr>
            <w:tcW w:w="6122" w:type="dxa"/>
            <w:tcBorders>
              <w:tl2br w:val="nil"/>
              <w:tr2bl w:val="nil"/>
            </w:tcBorders>
            <w:vAlign w:val="center"/>
          </w:tcPr>
          <w:p>
            <w:pPr>
              <w:pStyle w:val="22"/>
              <w:bidi w:val="0"/>
              <w:jc w:val="center"/>
              <w:rPr>
                <w:color w:val="0000FF"/>
              </w:rPr>
            </w:pPr>
            <w:r>
              <w:rPr>
                <w:color w:val="0000FF"/>
              </w:rPr>
              <w:t>隔声减振设施</w:t>
            </w:r>
          </w:p>
        </w:tc>
      </w:tr>
    </w:tbl>
    <w:p>
      <w:pPr>
        <w:bidi w:val="0"/>
        <w:rPr>
          <w:rFonts w:hint="eastAsia"/>
          <w:color w:val="0000FF"/>
          <w:lang w:val="en-US" w:eastAsia="zh-CN"/>
        </w:rPr>
      </w:pPr>
      <w:r>
        <w:rPr>
          <w:rFonts w:hint="eastAsia"/>
          <w:color w:val="0000FF"/>
          <w:lang w:val="en-US" w:eastAsia="zh-CN"/>
        </w:rPr>
        <w:t>（2）平面布置及合理性分析</w:t>
      </w:r>
    </w:p>
    <w:p>
      <w:pPr>
        <w:bidi w:val="0"/>
        <w:rPr>
          <w:color w:val="0000FF"/>
          <w:highlight w:val="none"/>
        </w:rPr>
      </w:pPr>
      <w:r>
        <w:rPr>
          <w:color w:val="0000FF"/>
          <w:highlight w:val="none"/>
        </w:rPr>
        <w:t>本项目位于225团疾病预防控制中心规划的医疗保健用地内，坐北朝南。总平面布置与周边建筑和环境相协调。建筑物主体面向道路，呈“一”</w:t>
      </w:r>
      <w:r>
        <w:rPr>
          <w:rFonts w:hint="eastAsia"/>
          <w:color w:val="0000FF"/>
          <w:highlight w:val="none"/>
          <w:lang w:eastAsia="zh-CN"/>
        </w:rPr>
        <w:t>字形</w:t>
      </w:r>
      <w:r>
        <w:rPr>
          <w:color w:val="0000FF"/>
          <w:highlight w:val="none"/>
        </w:rPr>
        <w:t>，相对独立。在前面空地处设室外停车场及活动设施。建筑物四周均栽种灌木和花卉、室外活动区，并布置有消防通道。</w:t>
      </w:r>
    </w:p>
    <w:p>
      <w:pPr>
        <w:bidi w:val="0"/>
        <w:rPr>
          <w:color w:val="0000FF"/>
          <w:highlight w:val="none"/>
        </w:rPr>
      </w:pPr>
      <w:r>
        <w:rPr>
          <w:color w:val="0000FF"/>
          <w:highlight w:val="none"/>
        </w:rPr>
        <w:t>主体建筑物可满足疾病预防控制中心用房使用需求。结合功能使用要求</w:t>
      </w:r>
      <w:r>
        <w:rPr>
          <w:rFonts w:hint="eastAsia"/>
          <w:color w:val="0000FF"/>
          <w:highlight w:val="none"/>
          <w:lang w:eastAsia="zh-CN"/>
        </w:rPr>
        <w:t>，</w:t>
      </w:r>
      <w:r>
        <w:rPr>
          <w:color w:val="0000FF"/>
          <w:highlight w:val="none"/>
        </w:rPr>
        <w:t>合理分配使用空间，注重动、静分离，减少相互干扰。</w:t>
      </w:r>
    </w:p>
    <w:p>
      <w:pPr>
        <w:bidi w:val="0"/>
        <w:rPr>
          <w:color w:val="0000FF"/>
          <w:highlight w:val="none"/>
        </w:rPr>
      </w:pPr>
      <w:r>
        <w:rPr>
          <w:color w:val="0000FF"/>
          <w:highlight w:val="none"/>
        </w:rPr>
        <w:t>医院场地北面为城镇主干道经一路，在总平面图上，医院大门正对经一路，设主入口，即符合规划要求，又方便人员来往。</w:t>
      </w:r>
    </w:p>
    <w:p>
      <w:pPr>
        <w:bidi w:val="0"/>
        <w:rPr>
          <w:rFonts w:hint="default"/>
          <w:b/>
          <w:bCs/>
          <w:color w:val="0000FF"/>
          <w:highlight w:val="none"/>
          <w:lang w:val="en-US" w:eastAsia="zh-CN"/>
        </w:rPr>
      </w:pPr>
      <w:r>
        <w:rPr>
          <w:color w:val="0000FF"/>
          <w:highlight w:val="none"/>
        </w:rPr>
        <w:t>医院场地西面为城镇次干道军垦路，根据规划靠近军垦路设置的均为医院附属用房，为方便管理，设有对外的单独出入口，为满足人流、车流的要求，在医院场地东面设有出入口。场地内环形车道，并设有停车场，交通流线便捷明确。</w:t>
      </w:r>
    </w:p>
    <w:p>
      <w:pPr>
        <w:pStyle w:val="22"/>
        <w:bidi w:val="0"/>
        <w:rPr>
          <w:b/>
          <w:bCs/>
          <w:color w:val="0000FF"/>
          <w:highlight w:val="none"/>
        </w:rPr>
      </w:pPr>
      <w:r>
        <w:rPr>
          <w:b/>
          <w:bCs/>
          <w:color w:val="0000FF"/>
          <w:highlight w:val="none"/>
        </w:rPr>
        <w:t>表3.1</w:t>
      </w:r>
      <w:r>
        <w:rPr>
          <w:rFonts w:hint="eastAsia"/>
          <w:b/>
          <w:bCs/>
          <w:color w:val="0000FF"/>
          <w:highlight w:val="none"/>
          <w:lang w:val="en-US" w:eastAsia="zh-CN"/>
        </w:rPr>
        <w:t>-</w:t>
      </w:r>
      <w:r>
        <w:rPr>
          <w:b/>
          <w:bCs/>
          <w:color w:val="0000FF"/>
          <w:highlight w:val="none"/>
        </w:rPr>
        <w:t>2项目主要经济技术指标一览表</w:t>
      </w:r>
    </w:p>
    <w:tbl>
      <w:tblPr>
        <w:tblStyle w:val="23"/>
        <w:tblW w:w="85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
        <w:gridCol w:w="1327"/>
        <w:gridCol w:w="4"/>
        <w:gridCol w:w="3192"/>
        <w:gridCol w:w="4"/>
        <w:gridCol w:w="2413"/>
        <w:gridCol w:w="4"/>
        <w:gridCol w:w="1571"/>
        <w:gridCol w:w="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448" w:hRule="atLeast"/>
          <w:jc w:val="center"/>
        </w:trPr>
        <w:tc>
          <w:tcPr>
            <w:tcW w:w="1331" w:type="dxa"/>
            <w:gridSpan w:val="2"/>
            <w:tcBorders>
              <w:tl2br w:val="nil"/>
              <w:tr2bl w:val="nil"/>
            </w:tcBorders>
            <w:vAlign w:val="center"/>
          </w:tcPr>
          <w:p>
            <w:pPr>
              <w:pStyle w:val="22"/>
              <w:bidi w:val="0"/>
              <w:jc w:val="center"/>
              <w:rPr>
                <w:color w:val="0000FF"/>
                <w:highlight w:val="none"/>
              </w:rPr>
            </w:pPr>
            <w:r>
              <w:rPr>
                <w:color w:val="0000FF"/>
                <w:highlight w:val="none"/>
              </w:rPr>
              <w:t>序号</w:t>
            </w:r>
          </w:p>
        </w:tc>
        <w:tc>
          <w:tcPr>
            <w:tcW w:w="3196" w:type="dxa"/>
            <w:gridSpan w:val="2"/>
            <w:tcBorders>
              <w:tl2br w:val="nil"/>
              <w:tr2bl w:val="nil"/>
            </w:tcBorders>
            <w:vAlign w:val="center"/>
          </w:tcPr>
          <w:p>
            <w:pPr>
              <w:pStyle w:val="22"/>
              <w:bidi w:val="0"/>
              <w:jc w:val="center"/>
              <w:rPr>
                <w:color w:val="0000FF"/>
                <w:highlight w:val="none"/>
              </w:rPr>
            </w:pPr>
            <w:r>
              <w:rPr>
                <w:color w:val="0000FF"/>
                <w:highlight w:val="none"/>
              </w:rPr>
              <w:t>项目</w:t>
            </w:r>
          </w:p>
        </w:tc>
        <w:tc>
          <w:tcPr>
            <w:tcW w:w="2417" w:type="dxa"/>
            <w:gridSpan w:val="2"/>
            <w:tcBorders>
              <w:tl2br w:val="nil"/>
              <w:tr2bl w:val="nil"/>
            </w:tcBorders>
            <w:vAlign w:val="center"/>
          </w:tcPr>
          <w:p>
            <w:pPr>
              <w:pStyle w:val="22"/>
              <w:bidi w:val="0"/>
              <w:jc w:val="center"/>
              <w:rPr>
                <w:color w:val="0000FF"/>
                <w:highlight w:val="none"/>
              </w:rPr>
            </w:pPr>
            <w:r>
              <w:rPr>
                <w:color w:val="0000FF"/>
                <w:highlight w:val="none"/>
              </w:rPr>
              <w:t>指标</w:t>
            </w:r>
          </w:p>
        </w:tc>
        <w:tc>
          <w:tcPr>
            <w:tcW w:w="1575" w:type="dxa"/>
            <w:gridSpan w:val="2"/>
            <w:tcBorders>
              <w:tl2br w:val="nil"/>
              <w:tr2bl w:val="nil"/>
            </w:tcBorders>
            <w:vAlign w:val="center"/>
          </w:tcPr>
          <w:p>
            <w:pPr>
              <w:pStyle w:val="22"/>
              <w:bidi w:val="0"/>
              <w:jc w:val="center"/>
              <w:rPr>
                <w:color w:val="0000FF"/>
                <w:highlight w:val="none"/>
              </w:rPr>
            </w:pPr>
            <w:r>
              <w:rPr>
                <w:color w:val="0000FF"/>
                <w:highlight w:val="none"/>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466" w:hRule="atLeast"/>
          <w:jc w:val="center"/>
        </w:trPr>
        <w:tc>
          <w:tcPr>
            <w:tcW w:w="1331" w:type="dxa"/>
            <w:gridSpan w:val="2"/>
            <w:tcBorders>
              <w:tl2br w:val="nil"/>
              <w:tr2bl w:val="nil"/>
            </w:tcBorders>
            <w:vAlign w:val="center"/>
          </w:tcPr>
          <w:p>
            <w:pPr>
              <w:pStyle w:val="22"/>
              <w:bidi w:val="0"/>
              <w:jc w:val="center"/>
              <w:rPr>
                <w:color w:val="0000FF"/>
                <w:highlight w:val="none"/>
              </w:rPr>
            </w:pPr>
            <w:r>
              <w:rPr>
                <w:color w:val="0000FF"/>
                <w:highlight w:val="none"/>
              </w:rPr>
              <w:t>1</w:t>
            </w:r>
          </w:p>
        </w:tc>
        <w:tc>
          <w:tcPr>
            <w:tcW w:w="3196" w:type="dxa"/>
            <w:gridSpan w:val="2"/>
            <w:tcBorders>
              <w:tl2br w:val="nil"/>
              <w:tr2bl w:val="nil"/>
            </w:tcBorders>
            <w:vAlign w:val="center"/>
          </w:tcPr>
          <w:p>
            <w:pPr>
              <w:pStyle w:val="22"/>
              <w:bidi w:val="0"/>
              <w:jc w:val="center"/>
              <w:rPr>
                <w:color w:val="0000FF"/>
                <w:highlight w:val="none"/>
              </w:rPr>
            </w:pPr>
            <w:r>
              <w:rPr>
                <w:color w:val="0000FF"/>
                <w:highlight w:val="none"/>
              </w:rPr>
              <w:t>占地面积</w:t>
            </w:r>
          </w:p>
        </w:tc>
        <w:tc>
          <w:tcPr>
            <w:tcW w:w="2417" w:type="dxa"/>
            <w:gridSpan w:val="2"/>
            <w:tcBorders>
              <w:tl2br w:val="nil"/>
              <w:tr2bl w:val="nil"/>
            </w:tcBorders>
            <w:vAlign w:val="center"/>
          </w:tcPr>
          <w:p>
            <w:pPr>
              <w:pStyle w:val="22"/>
              <w:bidi w:val="0"/>
              <w:jc w:val="center"/>
              <w:rPr>
                <w:rFonts w:hint="default" w:eastAsia="宋体"/>
                <w:color w:val="0000FF"/>
                <w:highlight w:val="none"/>
                <w:lang w:val="en-US" w:eastAsia="zh-CN"/>
              </w:rPr>
            </w:pPr>
            <w:r>
              <w:rPr>
                <w:rFonts w:hint="eastAsia"/>
                <w:color w:val="0000FF"/>
                <w:highlight w:val="none"/>
                <w:lang w:val="en-US" w:eastAsia="zh-CN"/>
              </w:rPr>
              <w:t>400</w:t>
            </w:r>
          </w:p>
        </w:tc>
        <w:tc>
          <w:tcPr>
            <w:tcW w:w="1575" w:type="dxa"/>
            <w:gridSpan w:val="2"/>
            <w:tcBorders>
              <w:tl2br w:val="nil"/>
              <w:tr2bl w:val="nil"/>
            </w:tcBorders>
            <w:vAlign w:val="center"/>
          </w:tcPr>
          <w:p>
            <w:pPr>
              <w:pStyle w:val="22"/>
              <w:bidi w:val="0"/>
              <w:rPr>
                <w:rFonts w:hint="default" w:ascii="Times New Roman" w:hAnsi="Times New Roman" w:cs="Times New Roman"/>
                <w:color w:val="0000FF"/>
                <w:highlight w:val="none"/>
                <w:lang w:val="en-US" w:eastAsia="zh-CN"/>
              </w:rPr>
            </w:pPr>
            <w:r>
              <w:rPr>
                <w:rFonts w:hint="eastAsia" w:ascii="Times New Roman" w:hAnsi="Times New Roman" w:cs="Times New Roman"/>
                <w:color w:val="0000FF"/>
                <w:highlight w:val="none"/>
                <w:lang w:val="en-US" w:eastAsia="zh-CN"/>
              </w:rPr>
              <w:t>m</w:t>
            </w:r>
            <w:r>
              <w:rPr>
                <w:rFonts w:hint="eastAsia" w:ascii="Times New Roman" w:hAnsi="Times New Roman" w:cs="Times New Roman"/>
                <w:color w:val="0000FF"/>
                <w:highlight w:val="none"/>
                <w:vertAlign w:val="superscript"/>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dxa"/>
          <w:trHeight w:val="455" w:hRule="atLeast"/>
          <w:jc w:val="center"/>
        </w:trPr>
        <w:tc>
          <w:tcPr>
            <w:tcW w:w="1331" w:type="dxa"/>
            <w:gridSpan w:val="2"/>
            <w:tcBorders>
              <w:tl2br w:val="nil"/>
              <w:tr2bl w:val="nil"/>
            </w:tcBorders>
            <w:vAlign w:val="center"/>
          </w:tcPr>
          <w:p>
            <w:pPr>
              <w:pStyle w:val="22"/>
              <w:bidi w:val="0"/>
              <w:jc w:val="center"/>
              <w:rPr>
                <w:color w:val="0000FF"/>
                <w:highlight w:val="none"/>
              </w:rPr>
            </w:pPr>
            <w:r>
              <w:rPr>
                <w:color w:val="0000FF"/>
                <w:highlight w:val="none"/>
              </w:rPr>
              <w:t>2</w:t>
            </w:r>
          </w:p>
        </w:tc>
        <w:tc>
          <w:tcPr>
            <w:tcW w:w="3196" w:type="dxa"/>
            <w:gridSpan w:val="2"/>
            <w:tcBorders>
              <w:tl2br w:val="nil"/>
              <w:tr2bl w:val="nil"/>
            </w:tcBorders>
            <w:vAlign w:val="center"/>
          </w:tcPr>
          <w:p>
            <w:pPr>
              <w:pStyle w:val="22"/>
              <w:bidi w:val="0"/>
              <w:jc w:val="center"/>
              <w:rPr>
                <w:color w:val="0000FF"/>
                <w:highlight w:val="none"/>
              </w:rPr>
            </w:pPr>
            <w:r>
              <w:rPr>
                <w:color w:val="0000FF"/>
                <w:highlight w:val="none"/>
              </w:rPr>
              <w:t>建筑面积</w:t>
            </w:r>
          </w:p>
        </w:tc>
        <w:tc>
          <w:tcPr>
            <w:tcW w:w="2417" w:type="dxa"/>
            <w:gridSpan w:val="2"/>
            <w:tcBorders>
              <w:tl2br w:val="nil"/>
              <w:tr2bl w:val="nil"/>
            </w:tcBorders>
            <w:vAlign w:val="center"/>
          </w:tcPr>
          <w:p>
            <w:pPr>
              <w:pStyle w:val="22"/>
              <w:bidi w:val="0"/>
              <w:jc w:val="center"/>
              <w:rPr>
                <w:rFonts w:hint="default" w:eastAsia="宋体"/>
                <w:color w:val="0000FF"/>
                <w:highlight w:val="none"/>
                <w:lang w:val="en-US" w:eastAsia="zh-CN"/>
              </w:rPr>
            </w:pPr>
            <w:r>
              <w:rPr>
                <w:rFonts w:hint="eastAsia"/>
                <w:color w:val="0000FF"/>
                <w:highlight w:val="none"/>
                <w:lang w:val="en-US" w:eastAsia="zh-CN"/>
              </w:rPr>
              <w:t>800</w:t>
            </w:r>
          </w:p>
        </w:tc>
        <w:tc>
          <w:tcPr>
            <w:tcW w:w="1575" w:type="dxa"/>
            <w:gridSpan w:val="2"/>
            <w:tcBorders>
              <w:tl2br w:val="nil"/>
              <w:tr2bl w:val="nil"/>
            </w:tcBorders>
            <w:vAlign w:val="center"/>
          </w:tcPr>
          <w:p>
            <w:pPr>
              <w:pStyle w:val="22"/>
              <w:bidi w:val="0"/>
              <w:rPr>
                <w:rFonts w:hint="default" w:ascii="Times New Roman" w:hAnsi="Times New Roman" w:cs="Times New Roman"/>
                <w:color w:val="0000FF"/>
                <w:highlight w:val="none"/>
                <w:lang w:eastAsia="zh-CN"/>
              </w:rPr>
            </w:pPr>
            <w:r>
              <w:rPr>
                <w:rFonts w:hint="eastAsia" w:ascii="Times New Roman" w:hAnsi="Times New Roman" w:cs="Times New Roman"/>
                <w:color w:val="0000FF"/>
                <w:highlight w:val="none"/>
                <w:lang w:val="en-US" w:eastAsia="zh-CN"/>
              </w:rPr>
              <w:t>m</w:t>
            </w:r>
            <w:r>
              <w:rPr>
                <w:rFonts w:hint="eastAsia" w:ascii="Times New Roman" w:hAnsi="Times New Roman" w:cs="Times New Roman"/>
                <w:color w:val="0000FF"/>
                <w:highlight w:val="none"/>
                <w:vertAlign w:val="superscript"/>
                <w:lang w:val="en-US" w:eastAsia="zh-CN"/>
              </w:rPr>
              <w:t>2</w:t>
            </w:r>
          </w:p>
        </w:tc>
      </w:tr>
    </w:tbl>
    <w:p>
      <w:pPr>
        <w:bidi w:val="0"/>
        <w:rPr>
          <w:color w:val="0000FF"/>
        </w:rPr>
      </w:pPr>
      <w:r>
        <w:rPr>
          <w:color w:val="0000FF"/>
        </w:rPr>
        <w:t>（</w:t>
      </w:r>
      <w:r>
        <w:rPr>
          <w:rFonts w:hint="eastAsia"/>
          <w:color w:val="0000FF"/>
          <w:lang w:val="en-US" w:eastAsia="zh-CN"/>
        </w:rPr>
        <w:t>3</w:t>
      </w:r>
      <w:r>
        <w:rPr>
          <w:color w:val="0000FF"/>
        </w:rPr>
        <w:t>）实验室设置</w:t>
      </w:r>
    </w:p>
    <w:p>
      <w:pPr>
        <w:bidi w:val="0"/>
        <w:rPr>
          <w:color w:val="0000FF"/>
        </w:rPr>
      </w:pPr>
      <w:r>
        <w:rPr>
          <w:rFonts w:hint="eastAsia"/>
          <w:color w:val="0000FF"/>
          <w:lang w:val="en-US" w:eastAsia="zh-CN"/>
        </w:rPr>
        <w:t>1</w:t>
      </w:r>
      <w:r>
        <w:rPr>
          <w:color w:val="0000FF"/>
        </w:rPr>
        <w:t>）微生物实验室，设有无菌室、样品制备间、试剂调配间、培养室、库房、检验室、消毒间，设有生物安全柜，和灭菌消毒设备。</w:t>
      </w:r>
    </w:p>
    <w:p>
      <w:pPr>
        <w:bidi w:val="0"/>
        <w:rPr>
          <w:color w:val="0000FF"/>
        </w:rPr>
      </w:pPr>
      <w:r>
        <w:rPr>
          <w:rFonts w:hint="eastAsia"/>
          <w:color w:val="0000FF"/>
          <w:lang w:val="en-US" w:eastAsia="zh-CN"/>
        </w:rPr>
        <w:t>2</w:t>
      </w:r>
      <w:r>
        <w:rPr>
          <w:color w:val="0000FF"/>
        </w:rPr>
        <w:t>）理化实验室，主要进行公共场所环境卫生、车间空气、生活饮用水、食品等样品的理化项目的检验检测。主要包括：原子吸收室、气相色谱室、天平室、比色室、液相室、试剂室、样品室等。</w:t>
      </w:r>
    </w:p>
    <w:p>
      <w:pPr>
        <w:bidi w:val="0"/>
        <w:rPr>
          <w:color w:val="0000FF"/>
        </w:rPr>
      </w:pPr>
      <w:r>
        <w:rPr>
          <w:color w:val="0000FF"/>
        </w:rPr>
        <w:t>（3）实验室实验内容</w:t>
      </w:r>
    </w:p>
    <w:p>
      <w:pPr>
        <w:bidi w:val="0"/>
        <w:rPr>
          <w:color w:val="0000FF"/>
        </w:rPr>
      </w:pPr>
      <w:r>
        <w:rPr>
          <w:color w:val="0000FF"/>
        </w:rPr>
        <w:t>1）理化试验</w:t>
      </w:r>
    </w:p>
    <w:p>
      <w:pPr>
        <w:bidi w:val="0"/>
        <w:rPr>
          <w:color w:val="0000FF"/>
        </w:rPr>
      </w:pPr>
      <w:r>
        <w:rPr>
          <w:color w:val="0000FF"/>
        </w:rPr>
        <w:t>理化实验室使用试剂都是常见的酸碱性化学试剂及简单有机试剂，主要用于各项实验指标的检测，理化实验室使用试剂都有相应的实验室化学药品存放和管理制度，常规化学品和危险化学品分类管理，其中，重金属检测过程中会产生一些含重金属的废液，收集到废液缸中，同其他实验过程中产生的实验废液</w:t>
      </w:r>
      <w:r>
        <w:rPr>
          <w:rFonts w:hint="eastAsia"/>
          <w:color w:val="0000FF"/>
          <w:lang w:eastAsia="zh-CN"/>
        </w:rPr>
        <w:t>一起</w:t>
      </w:r>
      <w:r>
        <w:rPr>
          <w:color w:val="0000FF"/>
        </w:rPr>
        <w:t>交由当地有危废资质单位处置。</w:t>
      </w:r>
    </w:p>
    <w:p>
      <w:pPr>
        <w:bidi w:val="0"/>
        <w:rPr>
          <w:color w:val="0000FF"/>
        </w:rPr>
      </w:pPr>
      <w:r>
        <w:rPr>
          <w:color w:val="0000FF"/>
        </w:rPr>
        <w:t>2）微生物实验</w:t>
      </w:r>
    </w:p>
    <w:p>
      <w:pPr>
        <w:bidi w:val="0"/>
        <w:rPr>
          <w:color w:val="0000FF"/>
        </w:rPr>
      </w:pPr>
      <w:r>
        <w:rPr>
          <w:color w:val="0000FF"/>
        </w:rPr>
        <w:t>本环评要求项目建成后严格执行《病原微生物实验室生物安全管理条例》，本项目临床实验室应根据实验活动采取相应等级的生物安全防护。</w:t>
      </w:r>
    </w:p>
    <w:p>
      <w:pPr>
        <w:bidi w:val="0"/>
        <w:rPr>
          <w:color w:val="0000FF"/>
        </w:rPr>
      </w:pPr>
      <w:r>
        <w:rPr>
          <w:color w:val="0000FF"/>
        </w:rPr>
        <w:t>项目建成后实验室涉及的病原微生物及其实验类别见表3.1-3，主要实验内容见表3.1-4，微生物实验危害性评估见表3.1-5。</w:t>
      </w:r>
    </w:p>
    <w:p>
      <w:pPr>
        <w:pStyle w:val="22"/>
        <w:bidi w:val="0"/>
        <w:rPr>
          <w:b/>
          <w:bCs/>
          <w:color w:val="0000FF"/>
        </w:rPr>
      </w:pPr>
      <w:r>
        <w:rPr>
          <w:b/>
          <w:bCs/>
          <w:color w:val="0000FF"/>
        </w:rPr>
        <w:t>表3.1-3本项目检测、诊断的病原微生物</w:t>
      </w:r>
    </w:p>
    <w:tbl>
      <w:tblPr>
        <w:tblStyle w:val="17"/>
        <w:tblW w:w="86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164"/>
        <w:gridCol w:w="2164"/>
        <w:gridCol w:w="2164"/>
        <w:gridCol w:w="2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序号</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实验项目</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实验地点</w:t>
            </w:r>
          </w:p>
        </w:tc>
        <w:tc>
          <w:tcPr>
            <w:tcW w:w="2166"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实验类别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5" w:hRule="atLeast"/>
          <w:jc w:val="center"/>
        </w:trPr>
        <w:tc>
          <w:tcPr>
            <w:tcW w:w="2164" w:type="dxa"/>
            <w:tcBorders>
              <w:tl2br w:val="nil"/>
              <w:tr2bl w:val="nil"/>
            </w:tcBorders>
            <w:shd w:val="clear" w:color="auto" w:fill="auto"/>
            <w:vAlign w:val="center"/>
          </w:tcPr>
          <w:p>
            <w:pPr>
              <w:pStyle w:val="22"/>
              <w:bidi w:val="0"/>
              <w:rPr>
                <w:color w:val="0000FF"/>
              </w:rPr>
            </w:pPr>
            <w:r>
              <w:rPr>
                <w:rFonts w:hint="default"/>
                <w:color w:val="0000FF"/>
                <w:lang w:val="en-US" w:eastAsia="zh-CN"/>
              </w:rPr>
              <w:t>1</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结核分枝杆菌</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结核实验室</w:t>
            </w:r>
          </w:p>
        </w:tc>
        <w:tc>
          <w:tcPr>
            <w:tcW w:w="2166"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color w:val="0000FF"/>
              </w:rPr>
            </w:pPr>
            <w:r>
              <w:rPr>
                <w:rFonts w:hint="default"/>
                <w:color w:val="0000FF"/>
                <w:lang w:val="en-US" w:eastAsia="zh-CN"/>
              </w:rPr>
              <w:t>2</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麻疹</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综合实验室</w:t>
            </w:r>
          </w:p>
        </w:tc>
        <w:tc>
          <w:tcPr>
            <w:tcW w:w="2166"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color w:val="0000FF"/>
              </w:rPr>
            </w:pPr>
            <w:r>
              <w:rPr>
                <w:rFonts w:hint="default"/>
                <w:color w:val="0000FF"/>
                <w:lang w:val="en-US" w:eastAsia="zh-CN"/>
              </w:rPr>
              <w:t>3</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风疹</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综合实验室</w:t>
            </w:r>
          </w:p>
        </w:tc>
        <w:tc>
          <w:tcPr>
            <w:tcW w:w="2166"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color w:val="0000FF"/>
              </w:rPr>
            </w:pPr>
            <w:r>
              <w:rPr>
                <w:rFonts w:hint="default"/>
                <w:color w:val="0000FF"/>
                <w:lang w:val="en-US" w:eastAsia="zh-CN"/>
              </w:rPr>
              <w:t>4</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流感检测</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毒理实验室</w:t>
            </w:r>
          </w:p>
        </w:tc>
        <w:tc>
          <w:tcPr>
            <w:tcW w:w="2166"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color w:val="0000FF"/>
              </w:rPr>
            </w:pPr>
            <w:r>
              <w:rPr>
                <w:rFonts w:hint="default"/>
                <w:color w:val="0000FF"/>
                <w:lang w:val="en-US" w:eastAsia="zh-CN"/>
              </w:rPr>
              <w:t>5</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手足口病</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综合实验室</w:t>
            </w:r>
          </w:p>
        </w:tc>
        <w:tc>
          <w:tcPr>
            <w:tcW w:w="2166"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color w:val="0000FF"/>
              </w:rPr>
            </w:pPr>
            <w:r>
              <w:rPr>
                <w:rFonts w:hint="eastAsia"/>
                <w:color w:val="0000FF"/>
                <w:lang w:val="en-US" w:eastAsia="zh-CN"/>
              </w:rPr>
              <w:t>6</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禽流感</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综合实验室</w:t>
            </w:r>
          </w:p>
        </w:tc>
        <w:tc>
          <w:tcPr>
            <w:tcW w:w="2166"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6" w:hRule="atLeast"/>
          <w:jc w:val="center"/>
        </w:trPr>
        <w:tc>
          <w:tcPr>
            <w:tcW w:w="2164" w:type="dxa"/>
            <w:tcBorders>
              <w:tl2br w:val="nil"/>
              <w:tr2bl w:val="nil"/>
            </w:tcBorders>
            <w:shd w:val="clear" w:color="auto" w:fill="auto"/>
            <w:vAlign w:val="center"/>
          </w:tcPr>
          <w:p>
            <w:pPr>
              <w:pStyle w:val="22"/>
              <w:bidi w:val="0"/>
              <w:rPr>
                <w:rFonts w:hint="default"/>
                <w:color w:val="0000FF"/>
              </w:rPr>
            </w:pPr>
            <w:r>
              <w:rPr>
                <w:rFonts w:hint="eastAsia"/>
                <w:color w:val="0000FF"/>
                <w:lang w:val="en-US" w:eastAsia="zh-CN"/>
              </w:rPr>
              <w:t>7</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新冠病毒</w:t>
            </w:r>
          </w:p>
        </w:tc>
        <w:tc>
          <w:tcPr>
            <w:tcW w:w="2164"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新冠筛选室</w:t>
            </w:r>
          </w:p>
        </w:tc>
        <w:tc>
          <w:tcPr>
            <w:tcW w:w="2166" w:type="dxa"/>
            <w:tcBorders>
              <w:tl2br w:val="nil"/>
              <w:tr2bl w:val="nil"/>
            </w:tcBorders>
            <w:shd w:val="clear" w:color="auto" w:fill="auto"/>
            <w:vAlign w:val="center"/>
          </w:tcPr>
          <w:p>
            <w:pPr>
              <w:pStyle w:val="22"/>
              <w:bidi w:val="0"/>
              <w:rPr>
                <w:rFonts w:hint="eastAsia"/>
                <w:color w:val="0000FF"/>
              </w:rPr>
            </w:pPr>
            <w:r>
              <w:rPr>
                <w:rFonts w:hint="eastAsia"/>
                <w:color w:val="0000FF"/>
                <w:lang w:val="en-US" w:eastAsia="zh-CN"/>
              </w:rPr>
              <w:t>检测</w:t>
            </w:r>
          </w:p>
        </w:tc>
      </w:tr>
    </w:tbl>
    <w:p>
      <w:pPr>
        <w:bidi w:val="0"/>
        <w:rPr>
          <w:rFonts w:ascii="宋体" w:hAnsi="宋体" w:eastAsia="宋体" w:cs="宋体"/>
          <w:color w:val="0000FF"/>
          <w:spacing w:val="-1"/>
          <w:sz w:val="24"/>
          <w:szCs w:val="24"/>
        </w:rPr>
      </w:pPr>
      <w:r>
        <w:rPr>
          <w:rFonts w:ascii="宋体" w:hAnsi="宋体" w:eastAsia="宋体" w:cs="宋体"/>
          <w:color w:val="0000FF"/>
          <w:spacing w:val="-1"/>
          <w:sz w:val="24"/>
          <w:szCs w:val="24"/>
        </w:rPr>
        <w:t>本项目涉及的病原微生物实验操作内容见表3.1-4。</w:t>
      </w:r>
    </w:p>
    <w:p>
      <w:pPr>
        <w:pStyle w:val="22"/>
        <w:bidi w:val="0"/>
        <w:rPr>
          <w:b/>
          <w:bCs/>
          <w:color w:val="0000FF"/>
        </w:rPr>
      </w:pPr>
      <w:r>
        <w:rPr>
          <w:b/>
          <w:bCs/>
          <w:color w:val="0000FF"/>
        </w:rPr>
        <w:t>表3.1-4病原微生物涉及的实验内容及实验操作</w:t>
      </w:r>
    </w:p>
    <w:tbl>
      <w:tblPr>
        <w:tblStyle w:val="23"/>
        <w:tblW w:w="8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4"/>
        <w:gridCol w:w="1604"/>
        <w:gridCol w:w="3478"/>
        <w:gridCol w:w="2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874" w:type="dxa"/>
            <w:tcBorders>
              <w:tl2br w:val="nil"/>
              <w:tr2bl w:val="nil"/>
            </w:tcBorders>
            <w:vAlign w:val="center"/>
          </w:tcPr>
          <w:p>
            <w:pPr>
              <w:pStyle w:val="22"/>
              <w:bidi w:val="0"/>
              <w:jc w:val="center"/>
              <w:rPr>
                <w:color w:val="0000FF"/>
              </w:rPr>
            </w:pPr>
            <w:r>
              <w:rPr>
                <w:color w:val="0000FF"/>
              </w:rPr>
              <w:t>序号</w:t>
            </w:r>
          </w:p>
        </w:tc>
        <w:tc>
          <w:tcPr>
            <w:tcW w:w="1604" w:type="dxa"/>
            <w:tcBorders>
              <w:tl2br w:val="nil"/>
              <w:tr2bl w:val="nil"/>
            </w:tcBorders>
            <w:vAlign w:val="center"/>
          </w:tcPr>
          <w:p>
            <w:pPr>
              <w:pStyle w:val="22"/>
              <w:bidi w:val="0"/>
              <w:jc w:val="center"/>
              <w:rPr>
                <w:color w:val="0000FF"/>
              </w:rPr>
            </w:pPr>
            <w:r>
              <w:rPr>
                <w:color w:val="0000FF"/>
              </w:rPr>
              <w:t>实验项目</w:t>
            </w:r>
          </w:p>
        </w:tc>
        <w:tc>
          <w:tcPr>
            <w:tcW w:w="3478" w:type="dxa"/>
            <w:tcBorders>
              <w:tl2br w:val="nil"/>
              <w:tr2bl w:val="nil"/>
            </w:tcBorders>
            <w:vAlign w:val="center"/>
          </w:tcPr>
          <w:p>
            <w:pPr>
              <w:pStyle w:val="22"/>
              <w:bidi w:val="0"/>
              <w:jc w:val="center"/>
              <w:rPr>
                <w:color w:val="0000FF"/>
              </w:rPr>
            </w:pPr>
            <w:r>
              <w:rPr>
                <w:color w:val="0000FF"/>
              </w:rPr>
              <w:t>实验内容</w:t>
            </w:r>
          </w:p>
        </w:tc>
        <w:tc>
          <w:tcPr>
            <w:tcW w:w="2568" w:type="dxa"/>
            <w:tcBorders>
              <w:tl2br w:val="nil"/>
              <w:tr2bl w:val="nil"/>
            </w:tcBorders>
            <w:vAlign w:val="center"/>
          </w:tcPr>
          <w:p>
            <w:pPr>
              <w:pStyle w:val="22"/>
              <w:bidi w:val="0"/>
              <w:jc w:val="center"/>
              <w:rPr>
                <w:color w:val="0000FF"/>
              </w:rPr>
            </w:pPr>
            <w:r>
              <w:rPr>
                <w:color w:val="0000FF"/>
              </w:rPr>
              <w:t>实验操作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874" w:type="dxa"/>
            <w:tcBorders>
              <w:tl2br w:val="nil"/>
              <w:tr2bl w:val="nil"/>
            </w:tcBorders>
            <w:vAlign w:val="center"/>
          </w:tcPr>
          <w:p>
            <w:pPr>
              <w:pStyle w:val="22"/>
              <w:bidi w:val="0"/>
              <w:jc w:val="center"/>
              <w:rPr>
                <w:color w:val="0000FF"/>
              </w:rPr>
            </w:pPr>
            <w:r>
              <w:rPr>
                <w:color w:val="0000FF"/>
              </w:rPr>
              <w:t>1</w:t>
            </w:r>
          </w:p>
        </w:tc>
        <w:tc>
          <w:tcPr>
            <w:tcW w:w="1604" w:type="dxa"/>
            <w:tcBorders>
              <w:tl2br w:val="nil"/>
              <w:tr2bl w:val="nil"/>
            </w:tcBorders>
            <w:vAlign w:val="center"/>
          </w:tcPr>
          <w:p>
            <w:pPr>
              <w:pStyle w:val="22"/>
              <w:bidi w:val="0"/>
              <w:jc w:val="center"/>
              <w:rPr>
                <w:color w:val="0000FF"/>
              </w:rPr>
            </w:pPr>
            <w:r>
              <w:rPr>
                <w:color w:val="0000FF"/>
              </w:rPr>
              <w:t>结核分枝杆菌</w:t>
            </w:r>
          </w:p>
        </w:tc>
        <w:tc>
          <w:tcPr>
            <w:tcW w:w="3478" w:type="dxa"/>
            <w:tcBorders>
              <w:tl2br w:val="nil"/>
              <w:tr2bl w:val="nil"/>
            </w:tcBorders>
            <w:vAlign w:val="center"/>
          </w:tcPr>
          <w:p>
            <w:pPr>
              <w:pStyle w:val="22"/>
              <w:bidi w:val="0"/>
              <w:jc w:val="center"/>
              <w:rPr>
                <w:color w:val="0000FF"/>
              </w:rPr>
            </w:pPr>
            <w:r>
              <w:rPr>
                <w:color w:val="0000FF"/>
              </w:rPr>
              <w:t>样本的病原菌分离纯化、生化鉴定等试验检测活动</w:t>
            </w:r>
          </w:p>
        </w:tc>
        <w:tc>
          <w:tcPr>
            <w:tcW w:w="2568" w:type="dxa"/>
            <w:tcBorders>
              <w:tl2br w:val="nil"/>
              <w:tr2bl w:val="nil"/>
            </w:tcBorders>
            <w:vAlign w:val="center"/>
          </w:tcPr>
          <w:p>
            <w:pPr>
              <w:pStyle w:val="22"/>
              <w:bidi w:val="0"/>
              <w:jc w:val="center"/>
              <w:rPr>
                <w:color w:val="0000FF"/>
              </w:rPr>
            </w:pPr>
            <w:r>
              <w:rPr>
                <w:color w:val="0000FF"/>
              </w:rPr>
              <w:t>痰及其他标本的直接涂片、分离与培养、菌液的制备与稀释；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874" w:type="dxa"/>
            <w:tcBorders>
              <w:tl2br w:val="nil"/>
              <w:tr2bl w:val="nil"/>
            </w:tcBorders>
            <w:vAlign w:val="center"/>
          </w:tcPr>
          <w:p>
            <w:pPr>
              <w:pStyle w:val="22"/>
              <w:bidi w:val="0"/>
              <w:jc w:val="center"/>
              <w:rPr>
                <w:color w:val="0000FF"/>
              </w:rPr>
            </w:pPr>
            <w:r>
              <w:rPr>
                <w:color w:val="0000FF"/>
              </w:rPr>
              <w:t>2</w:t>
            </w:r>
          </w:p>
        </w:tc>
        <w:tc>
          <w:tcPr>
            <w:tcW w:w="1604" w:type="dxa"/>
            <w:tcBorders>
              <w:tl2br w:val="nil"/>
              <w:tr2bl w:val="nil"/>
            </w:tcBorders>
            <w:vAlign w:val="center"/>
          </w:tcPr>
          <w:p>
            <w:pPr>
              <w:pStyle w:val="22"/>
              <w:bidi w:val="0"/>
              <w:jc w:val="center"/>
              <w:rPr>
                <w:color w:val="0000FF"/>
              </w:rPr>
            </w:pPr>
            <w:r>
              <w:rPr>
                <w:color w:val="0000FF"/>
              </w:rPr>
              <w:t>麻疹</w:t>
            </w:r>
          </w:p>
        </w:tc>
        <w:tc>
          <w:tcPr>
            <w:tcW w:w="3478" w:type="dxa"/>
            <w:tcBorders>
              <w:tl2br w:val="nil"/>
              <w:tr2bl w:val="nil"/>
            </w:tcBorders>
            <w:vAlign w:val="center"/>
          </w:tcPr>
          <w:p>
            <w:pPr>
              <w:pStyle w:val="22"/>
              <w:bidi w:val="0"/>
              <w:jc w:val="center"/>
              <w:rPr>
                <w:color w:val="0000FF"/>
              </w:rPr>
            </w:pPr>
            <w:r>
              <w:rPr>
                <w:color w:val="0000FF"/>
              </w:rPr>
              <w:t>样品的采集和处理检测</w:t>
            </w:r>
          </w:p>
        </w:tc>
        <w:tc>
          <w:tcPr>
            <w:tcW w:w="2568" w:type="dxa"/>
            <w:vMerge w:val="restart"/>
            <w:tcBorders>
              <w:tl2br w:val="nil"/>
              <w:tr2bl w:val="nil"/>
            </w:tcBorders>
            <w:vAlign w:val="center"/>
          </w:tcPr>
          <w:p>
            <w:pPr>
              <w:pStyle w:val="22"/>
              <w:bidi w:val="0"/>
              <w:jc w:val="center"/>
              <w:rPr>
                <w:color w:val="0000FF"/>
              </w:rPr>
            </w:pPr>
            <w:r>
              <w:rPr>
                <w:color w:val="0000FF"/>
              </w:rPr>
              <w:t>直接涂片镜检；血清实验。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874" w:type="dxa"/>
            <w:tcBorders>
              <w:tl2br w:val="nil"/>
              <w:tr2bl w:val="nil"/>
            </w:tcBorders>
            <w:vAlign w:val="center"/>
          </w:tcPr>
          <w:p>
            <w:pPr>
              <w:pStyle w:val="22"/>
              <w:bidi w:val="0"/>
              <w:jc w:val="center"/>
              <w:rPr>
                <w:color w:val="0000FF"/>
              </w:rPr>
            </w:pPr>
            <w:r>
              <w:rPr>
                <w:color w:val="0000FF"/>
              </w:rPr>
              <w:t>3</w:t>
            </w:r>
          </w:p>
        </w:tc>
        <w:tc>
          <w:tcPr>
            <w:tcW w:w="1604" w:type="dxa"/>
            <w:tcBorders>
              <w:tl2br w:val="nil"/>
              <w:tr2bl w:val="nil"/>
            </w:tcBorders>
            <w:vAlign w:val="center"/>
          </w:tcPr>
          <w:p>
            <w:pPr>
              <w:pStyle w:val="22"/>
              <w:bidi w:val="0"/>
              <w:jc w:val="center"/>
              <w:rPr>
                <w:color w:val="0000FF"/>
              </w:rPr>
            </w:pPr>
            <w:r>
              <w:rPr>
                <w:color w:val="0000FF"/>
              </w:rPr>
              <w:t>风疹</w:t>
            </w:r>
          </w:p>
        </w:tc>
        <w:tc>
          <w:tcPr>
            <w:tcW w:w="3478" w:type="dxa"/>
            <w:tcBorders>
              <w:tl2br w:val="nil"/>
              <w:tr2bl w:val="nil"/>
            </w:tcBorders>
            <w:vAlign w:val="center"/>
          </w:tcPr>
          <w:p>
            <w:pPr>
              <w:pStyle w:val="22"/>
              <w:bidi w:val="0"/>
              <w:jc w:val="center"/>
              <w:rPr>
                <w:color w:val="0000FF"/>
              </w:rPr>
            </w:pPr>
            <w:r>
              <w:rPr>
                <w:color w:val="0000FF"/>
              </w:rPr>
              <w:t>样品的采集和处理检测</w:t>
            </w:r>
          </w:p>
        </w:tc>
        <w:tc>
          <w:tcPr>
            <w:tcW w:w="256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874" w:type="dxa"/>
            <w:tcBorders>
              <w:tl2br w:val="nil"/>
              <w:tr2bl w:val="nil"/>
            </w:tcBorders>
            <w:vAlign w:val="center"/>
          </w:tcPr>
          <w:p>
            <w:pPr>
              <w:pStyle w:val="22"/>
              <w:bidi w:val="0"/>
              <w:jc w:val="center"/>
              <w:rPr>
                <w:color w:val="0000FF"/>
              </w:rPr>
            </w:pPr>
            <w:r>
              <w:rPr>
                <w:color w:val="0000FF"/>
              </w:rPr>
              <w:t>4</w:t>
            </w:r>
          </w:p>
        </w:tc>
        <w:tc>
          <w:tcPr>
            <w:tcW w:w="1604" w:type="dxa"/>
            <w:tcBorders>
              <w:tl2br w:val="nil"/>
              <w:tr2bl w:val="nil"/>
            </w:tcBorders>
            <w:vAlign w:val="center"/>
          </w:tcPr>
          <w:p>
            <w:pPr>
              <w:pStyle w:val="22"/>
              <w:bidi w:val="0"/>
              <w:jc w:val="center"/>
              <w:rPr>
                <w:color w:val="0000FF"/>
              </w:rPr>
            </w:pPr>
            <w:r>
              <w:rPr>
                <w:color w:val="0000FF"/>
              </w:rPr>
              <w:t>流感检测</w:t>
            </w:r>
          </w:p>
        </w:tc>
        <w:tc>
          <w:tcPr>
            <w:tcW w:w="3478" w:type="dxa"/>
            <w:tcBorders>
              <w:tl2br w:val="nil"/>
              <w:tr2bl w:val="nil"/>
            </w:tcBorders>
            <w:vAlign w:val="center"/>
          </w:tcPr>
          <w:p>
            <w:pPr>
              <w:pStyle w:val="22"/>
              <w:bidi w:val="0"/>
              <w:jc w:val="center"/>
              <w:rPr>
                <w:color w:val="0000FF"/>
              </w:rPr>
            </w:pPr>
            <w:r>
              <w:rPr>
                <w:color w:val="0000FF"/>
              </w:rPr>
              <w:t>样品的采集和处理、病毒抗体检测</w:t>
            </w:r>
          </w:p>
        </w:tc>
        <w:tc>
          <w:tcPr>
            <w:tcW w:w="256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874" w:type="dxa"/>
            <w:tcBorders>
              <w:tl2br w:val="nil"/>
              <w:tr2bl w:val="nil"/>
            </w:tcBorders>
            <w:vAlign w:val="center"/>
          </w:tcPr>
          <w:p>
            <w:pPr>
              <w:pStyle w:val="22"/>
              <w:bidi w:val="0"/>
              <w:jc w:val="center"/>
              <w:rPr>
                <w:color w:val="0000FF"/>
              </w:rPr>
            </w:pPr>
            <w:r>
              <w:rPr>
                <w:color w:val="0000FF"/>
              </w:rPr>
              <w:t>5</w:t>
            </w:r>
          </w:p>
        </w:tc>
        <w:tc>
          <w:tcPr>
            <w:tcW w:w="1604" w:type="dxa"/>
            <w:tcBorders>
              <w:tl2br w:val="nil"/>
              <w:tr2bl w:val="nil"/>
            </w:tcBorders>
            <w:vAlign w:val="center"/>
          </w:tcPr>
          <w:p>
            <w:pPr>
              <w:pStyle w:val="22"/>
              <w:bidi w:val="0"/>
              <w:jc w:val="center"/>
              <w:rPr>
                <w:color w:val="0000FF"/>
              </w:rPr>
            </w:pPr>
            <w:r>
              <w:rPr>
                <w:color w:val="0000FF"/>
              </w:rPr>
              <w:t>手足口病</w:t>
            </w:r>
          </w:p>
        </w:tc>
        <w:tc>
          <w:tcPr>
            <w:tcW w:w="3478" w:type="dxa"/>
            <w:tcBorders>
              <w:tl2br w:val="nil"/>
              <w:tr2bl w:val="nil"/>
            </w:tcBorders>
            <w:vAlign w:val="center"/>
          </w:tcPr>
          <w:p>
            <w:pPr>
              <w:pStyle w:val="22"/>
              <w:bidi w:val="0"/>
              <w:jc w:val="center"/>
              <w:rPr>
                <w:color w:val="0000FF"/>
              </w:rPr>
            </w:pPr>
            <w:r>
              <w:rPr>
                <w:color w:val="0000FF"/>
              </w:rPr>
              <w:t>样品的采集和处理、检测</w:t>
            </w:r>
          </w:p>
        </w:tc>
        <w:tc>
          <w:tcPr>
            <w:tcW w:w="256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jc w:val="center"/>
        </w:trPr>
        <w:tc>
          <w:tcPr>
            <w:tcW w:w="874"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6</w:t>
            </w:r>
          </w:p>
        </w:tc>
        <w:tc>
          <w:tcPr>
            <w:tcW w:w="1604" w:type="dxa"/>
            <w:tcBorders>
              <w:tl2br w:val="nil"/>
              <w:tr2bl w:val="nil"/>
            </w:tcBorders>
            <w:vAlign w:val="center"/>
          </w:tcPr>
          <w:p>
            <w:pPr>
              <w:pStyle w:val="22"/>
              <w:bidi w:val="0"/>
              <w:jc w:val="center"/>
              <w:rPr>
                <w:color w:val="0000FF"/>
              </w:rPr>
            </w:pPr>
            <w:r>
              <w:rPr>
                <w:color w:val="0000FF"/>
              </w:rPr>
              <w:t>禽流感</w:t>
            </w:r>
          </w:p>
        </w:tc>
        <w:tc>
          <w:tcPr>
            <w:tcW w:w="3478" w:type="dxa"/>
            <w:tcBorders>
              <w:tl2br w:val="nil"/>
              <w:tr2bl w:val="nil"/>
            </w:tcBorders>
            <w:vAlign w:val="center"/>
          </w:tcPr>
          <w:p>
            <w:pPr>
              <w:pStyle w:val="22"/>
              <w:bidi w:val="0"/>
              <w:jc w:val="center"/>
              <w:rPr>
                <w:color w:val="0000FF"/>
              </w:rPr>
            </w:pPr>
            <w:r>
              <w:rPr>
                <w:color w:val="0000FF"/>
              </w:rPr>
              <w:t>样品的采集和处理、病毒抗体检测</w:t>
            </w:r>
          </w:p>
        </w:tc>
        <w:tc>
          <w:tcPr>
            <w:tcW w:w="2568"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jc w:val="center"/>
        </w:trPr>
        <w:tc>
          <w:tcPr>
            <w:tcW w:w="874"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7</w:t>
            </w:r>
          </w:p>
        </w:tc>
        <w:tc>
          <w:tcPr>
            <w:tcW w:w="1604" w:type="dxa"/>
            <w:tcBorders>
              <w:tl2br w:val="nil"/>
              <w:tr2bl w:val="nil"/>
            </w:tcBorders>
            <w:vAlign w:val="center"/>
          </w:tcPr>
          <w:p>
            <w:pPr>
              <w:pStyle w:val="22"/>
              <w:bidi w:val="0"/>
              <w:jc w:val="center"/>
              <w:rPr>
                <w:color w:val="0000FF"/>
              </w:rPr>
            </w:pPr>
            <w:r>
              <w:rPr>
                <w:color w:val="0000FF"/>
              </w:rPr>
              <w:t>新冠病毒</w:t>
            </w:r>
          </w:p>
        </w:tc>
        <w:tc>
          <w:tcPr>
            <w:tcW w:w="3478" w:type="dxa"/>
            <w:tcBorders>
              <w:tl2br w:val="nil"/>
              <w:tr2bl w:val="nil"/>
            </w:tcBorders>
            <w:vAlign w:val="center"/>
          </w:tcPr>
          <w:p>
            <w:pPr>
              <w:pStyle w:val="22"/>
              <w:bidi w:val="0"/>
              <w:jc w:val="center"/>
              <w:rPr>
                <w:color w:val="0000FF"/>
              </w:rPr>
            </w:pPr>
            <w:r>
              <w:rPr>
                <w:color w:val="0000FF"/>
              </w:rPr>
              <w:t>样品的采集和处理、抗体检测</w:t>
            </w:r>
          </w:p>
        </w:tc>
        <w:tc>
          <w:tcPr>
            <w:tcW w:w="2568" w:type="dxa"/>
            <w:tcBorders>
              <w:tl2br w:val="nil"/>
              <w:tr2bl w:val="nil"/>
            </w:tcBorders>
            <w:vAlign w:val="center"/>
          </w:tcPr>
          <w:p>
            <w:pPr>
              <w:pStyle w:val="22"/>
              <w:bidi w:val="0"/>
              <w:jc w:val="center"/>
              <w:rPr>
                <w:color w:val="0000FF"/>
              </w:rPr>
            </w:pPr>
            <w:r>
              <w:rPr>
                <w:color w:val="0000FF"/>
              </w:rPr>
              <w:t>直接涂片镜检</w:t>
            </w:r>
          </w:p>
        </w:tc>
      </w:tr>
    </w:tbl>
    <w:p>
      <w:pPr>
        <w:bidi w:val="0"/>
        <w:rPr>
          <w:color w:val="0000FF"/>
        </w:rPr>
      </w:pPr>
      <w:r>
        <w:rPr>
          <w:color w:val="0000FF"/>
        </w:rPr>
        <w:t>按照卫生部颁发的《人间传染的病原微生物名录》中病毒和细菌的分类，本项目所涉及的病原微生物危害程度及其相关特性见表3.1-5。</w:t>
      </w:r>
    </w:p>
    <w:p>
      <w:pPr>
        <w:pStyle w:val="22"/>
        <w:bidi w:val="0"/>
        <w:rPr>
          <w:b/>
          <w:bCs/>
          <w:color w:val="0000FF"/>
        </w:rPr>
      </w:pPr>
      <w:r>
        <w:rPr>
          <w:b/>
          <w:bCs/>
          <w:color w:val="0000FF"/>
        </w:rPr>
        <w:t>表3.1-5本项目涉及的病原微生物危害性评价表</w:t>
      </w:r>
    </w:p>
    <w:tbl>
      <w:tblPr>
        <w:tblStyle w:val="23"/>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533"/>
        <w:gridCol w:w="2"/>
        <w:gridCol w:w="1110"/>
        <w:gridCol w:w="2"/>
        <w:gridCol w:w="1233"/>
        <w:gridCol w:w="3"/>
        <w:gridCol w:w="1059"/>
        <w:gridCol w:w="3"/>
        <w:gridCol w:w="3485"/>
        <w:gridCol w:w="1082"/>
        <w:gridCol w:w="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1246" w:hRule="atLeast"/>
          <w:jc w:val="center"/>
        </w:trPr>
        <w:tc>
          <w:tcPr>
            <w:tcW w:w="535" w:type="dxa"/>
            <w:gridSpan w:val="2"/>
            <w:tcBorders>
              <w:tl2br w:val="nil"/>
              <w:tr2bl w:val="nil"/>
            </w:tcBorders>
            <w:textDirection w:val="tbRlV"/>
            <w:vAlign w:val="center"/>
          </w:tcPr>
          <w:p>
            <w:pPr>
              <w:pStyle w:val="22"/>
              <w:bidi w:val="0"/>
              <w:jc w:val="center"/>
              <w:rPr>
                <w:color w:val="0000FF"/>
              </w:rPr>
            </w:pPr>
            <w:r>
              <w:rPr>
                <w:color w:val="0000FF"/>
              </w:rPr>
              <w:t>序号</w:t>
            </w:r>
          </w:p>
        </w:tc>
        <w:tc>
          <w:tcPr>
            <w:tcW w:w="1112" w:type="dxa"/>
            <w:gridSpan w:val="2"/>
            <w:tcBorders>
              <w:tl2br w:val="nil"/>
              <w:tr2bl w:val="nil"/>
            </w:tcBorders>
            <w:vAlign w:val="center"/>
          </w:tcPr>
          <w:p>
            <w:pPr>
              <w:pStyle w:val="22"/>
              <w:bidi w:val="0"/>
              <w:jc w:val="center"/>
              <w:rPr>
                <w:color w:val="0000FF"/>
              </w:rPr>
            </w:pPr>
            <w:r>
              <w:rPr>
                <w:color w:val="0000FF"/>
              </w:rPr>
              <w:t>名称</w:t>
            </w:r>
          </w:p>
        </w:tc>
        <w:tc>
          <w:tcPr>
            <w:tcW w:w="1236" w:type="dxa"/>
            <w:gridSpan w:val="2"/>
            <w:tcBorders>
              <w:tl2br w:val="nil"/>
              <w:tr2bl w:val="nil"/>
            </w:tcBorders>
            <w:vAlign w:val="center"/>
          </w:tcPr>
          <w:p>
            <w:pPr>
              <w:pStyle w:val="22"/>
              <w:bidi w:val="0"/>
              <w:jc w:val="center"/>
              <w:rPr>
                <w:color w:val="0000FF"/>
              </w:rPr>
            </w:pPr>
            <w:r>
              <w:rPr>
                <w:color w:val="0000FF"/>
              </w:rPr>
              <w:t>致病危害</w:t>
            </w:r>
          </w:p>
        </w:tc>
        <w:tc>
          <w:tcPr>
            <w:tcW w:w="1062" w:type="dxa"/>
            <w:gridSpan w:val="2"/>
            <w:tcBorders>
              <w:tl2br w:val="nil"/>
              <w:tr2bl w:val="nil"/>
            </w:tcBorders>
            <w:vAlign w:val="center"/>
          </w:tcPr>
          <w:p>
            <w:pPr>
              <w:pStyle w:val="22"/>
              <w:bidi w:val="0"/>
              <w:jc w:val="center"/>
              <w:rPr>
                <w:color w:val="0000FF"/>
              </w:rPr>
            </w:pPr>
            <w:r>
              <w:rPr>
                <w:color w:val="0000FF"/>
              </w:rPr>
              <w:t>感染</w:t>
            </w:r>
          </w:p>
          <w:p>
            <w:pPr>
              <w:pStyle w:val="22"/>
              <w:bidi w:val="0"/>
              <w:jc w:val="center"/>
              <w:rPr>
                <w:color w:val="0000FF"/>
              </w:rPr>
            </w:pPr>
            <w:r>
              <w:rPr>
                <w:color w:val="0000FF"/>
              </w:rPr>
              <w:t>宿主</w:t>
            </w:r>
          </w:p>
        </w:tc>
        <w:tc>
          <w:tcPr>
            <w:tcW w:w="3485" w:type="dxa"/>
            <w:tcBorders>
              <w:tl2br w:val="nil"/>
              <w:tr2bl w:val="nil"/>
            </w:tcBorders>
            <w:vAlign w:val="center"/>
          </w:tcPr>
          <w:p>
            <w:pPr>
              <w:pStyle w:val="22"/>
              <w:bidi w:val="0"/>
              <w:jc w:val="center"/>
              <w:rPr>
                <w:color w:val="0000FF"/>
              </w:rPr>
            </w:pPr>
            <w:r>
              <w:rPr>
                <w:color w:val="0000FF"/>
              </w:rPr>
              <w:t>传播途径</w:t>
            </w:r>
          </w:p>
        </w:tc>
        <w:tc>
          <w:tcPr>
            <w:tcW w:w="1085" w:type="dxa"/>
            <w:gridSpan w:val="2"/>
            <w:tcBorders>
              <w:tl2br w:val="nil"/>
              <w:tr2bl w:val="nil"/>
            </w:tcBorders>
            <w:vAlign w:val="center"/>
          </w:tcPr>
          <w:p>
            <w:pPr>
              <w:pStyle w:val="22"/>
              <w:bidi w:val="0"/>
              <w:jc w:val="center"/>
              <w:rPr>
                <w:color w:val="0000FF"/>
              </w:rPr>
            </w:pPr>
            <w:r>
              <w:rPr>
                <w:color w:val="0000FF"/>
              </w:rPr>
              <w:t>实验活动</w:t>
            </w:r>
          </w:p>
          <w:p>
            <w:pPr>
              <w:pStyle w:val="22"/>
              <w:bidi w:val="0"/>
              <w:jc w:val="center"/>
              <w:rPr>
                <w:color w:val="0000FF"/>
              </w:rPr>
            </w:pPr>
            <w:r>
              <w:rPr>
                <w:color w:val="0000FF"/>
              </w:rPr>
              <w:t>所需生物</w:t>
            </w:r>
          </w:p>
          <w:p>
            <w:pPr>
              <w:pStyle w:val="22"/>
              <w:bidi w:val="0"/>
              <w:jc w:val="center"/>
              <w:rPr>
                <w:color w:val="0000FF"/>
              </w:rPr>
            </w:pPr>
            <w:r>
              <w:rPr>
                <w:color w:val="0000FF"/>
              </w:rPr>
              <w:t>安全实验</w:t>
            </w:r>
          </w:p>
          <w:p>
            <w:pPr>
              <w:pStyle w:val="22"/>
              <w:bidi w:val="0"/>
              <w:jc w:val="center"/>
              <w:rPr>
                <w:color w:val="0000FF"/>
              </w:rPr>
            </w:pPr>
            <w:r>
              <w:rPr>
                <w:color w:val="0000FF"/>
              </w:rPr>
              <w:t>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933" w:hRule="atLeast"/>
          <w:jc w:val="center"/>
        </w:trPr>
        <w:tc>
          <w:tcPr>
            <w:tcW w:w="535" w:type="dxa"/>
            <w:gridSpan w:val="2"/>
            <w:tcBorders>
              <w:tl2br w:val="nil"/>
              <w:tr2bl w:val="nil"/>
            </w:tcBorders>
            <w:vAlign w:val="center"/>
          </w:tcPr>
          <w:p>
            <w:pPr>
              <w:pStyle w:val="22"/>
              <w:bidi w:val="0"/>
              <w:jc w:val="center"/>
              <w:rPr>
                <w:color w:val="0000FF"/>
              </w:rPr>
            </w:pPr>
            <w:r>
              <w:rPr>
                <w:color w:val="0000FF"/>
              </w:rPr>
              <w:t>1</w:t>
            </w:r>
          </w:p>
        </w:tc>
        <w:tc>
          <w:tcPr>
            <w:tcW w:w="1112" w:type="dxa"/>
            <w:gridSpan w:val="2"/>
            <w:tcBorders>
              <w:tl2br w:val="nil"/>
              <w:tr2bl w:val="nil"/>
            </w:tcBorders>
            <w:vAlign w:val="center"/>
          </w:tcPr>
          <w:p>
            <w:pPr>
              <w:pStyle w:val="22"/>
              <w:bidi w:val="0"/>
              <w:jc w:val="center"/>
              <w:rPr>
                <w:color w:val="0000FF"/>
              </w:rPr>
            </w:pPr>
            <w:r>
              <w:rPr>
                <w:color w:val="0000FF"/>
              </w:rPr>
              <w:t>结核分枝杆菌</w:t>
            </w:r>
          </w:p>
        </w:tc>
        <w:tc>
          <w:tcPr>
            <w:tcW w:w="1236" w:type="dxa"/>
            <w:gridSpan w:val="2"/>
            <w:tcBorders>
              <w:tl2br w:val="nil"/>
              <w:tr2bl w:val="nil"/>
            </w:tcBorders>
            <w:vAlign w:val="center"/>
          </w:tcPr>
          <w:p>
            <w:pPr>
              <w:pStyle w:val="22"/>
              <w:bidi w:val="0"/>
              <w:jc w:val="center"/>
              <w:rPr>
                <w:color w:val="0000FF"/>
              </w:rPr>
            </w:pPr>
            <w:r>
              <w:rPr>
                <w:color w:val="0000FF"/>
              </w:rPr>
              <w:t>第二类</w:t>
            </w:r>
          </w:p>
        </w:tc>
        <w:tc>
          <w:tcPr>
            <w:tcW w:w="1062" w:type="dxa"/>
            <w:gridSpan w:val="2"/>
            <w:tcBorders>
              <w:tl2br w:val="nil"/>
              <w:tr2bl w:val="nil"/>
            </w:tcBorders>
            <w:vAlign w:val="center"/>
          </w:tcPr>
          <w:p>
            <w:pPr>
              <w:pStyle w:val="22"/>
              <w:bidi w:val="0"/>
              <w:jc w:val="center"/>
              <w:rPr>
                <w:color w:val="0000FF"/>
              </w:rPr>
            </w:pPr>
            <w:r>
              <w:rPr>
                <w:color w:val="0000FF"/>
              </w:rPr>
              <w:t>人、动物</w:t>
            </w:r>
          </w:p>
        </w:tc>
        <w:tc>
          <w:tcPr>
            <w:tcW w:w="3485" w:type="dxa"/>
            <w:tcBorders>
              <w:tl2br w:val="nil"/>
              <w:tr2bl w:val="nil"/>
            </w:tcBorders>
            <w:vAlign w:val="center"/>
          </w:tcPr>
          <w:p>
            <w:pPr>
              <w:pStyle w:val="22"/>
              <w:bidi w:val="0"/>
              <w:jc w:val="center"/>
              <w:rPr>
                <w:color w:val="0000FF"/>
              </w:rPr>
            </w:pPr>
            <w:r>
              <w:rPr>
                <w:color w:val="0000FF"/>
              </w:rPr>
              <w:t>呼吸道、消化道和受损皮肤侵入易感</w:t>
            </w:r>
          </w:p>
          <w:p>
            <w:pPr>
              <w:pStyle w:val="22"/>
              <w:bidi w:val="0"/>
              <w:jc w:val="center"/>
              <w:rPr>
                <w:color w:val="0000FF"/>
              </w:rPr>
            </w:pPr>
            <w:r>
              <w:rPr>
                <w:color w:val="0000FF"/>
              </w:rPr>
              <w:t>机体，引起各种组织和器官的结核</w:t>
            </w:r>
            <w:r>
              <w:rPr>
                <w:rFonts w:hint="eastAsia"/>
                <w:color w:val="0000FF"/>
                <w:lang w:val="en-US" w:eastAsia="zh-CN"/>
              </w:rPr>
              <w:t>病</w:t>
            </w:r>
          </w:p>
        </w:tc>
        <w:tc>
          <w:tcPr>
            <w:tcW w:w="1085" w:type="dxa"/>
            <w:gridSpan w:val="2"/>
            <w:tcBorders>
              <w:tl2br w:val="nil"/>
              <w:tr2bl w:val="nil"/>
            </w:tcBorders>
            <w:vAlign w:val="center"/>
          </w:tcPr>
          <w:p>
            <w:pPr>
              <w:pStyle w:val="22"/>
              <w:bidi w:val="0"/>
              <w:jc w:val="center"/>
              <w:rPr>
                <w:color w:val="0000FF"/>
              </w:rPr>
            </w:pPr>
            <w:r>
              <w:rPr>
                <w:color w:val="0000FF"/>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336" w:hRule="atLeast"/>
          <w:jc w:val="center"/>
        </w:trPr>
        <w:tc>
          <w:tcPr>
            <w:tcW w:w="535" w:type="dxa"/>
            <w:gridSpan w:val="2"/>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2</w:t>
            </w:r>
          </w:p>
        </w:tc>
        <w:tc>
          <w:tcPr>
            <w:tcW w:w="1112" w:type="dxa"/>
            <w:gridSpan w:val="2"/>
            <w:tcBorders>
              <w:tl2br w:val="nil"/>
              <w:tr2bl w:val="nil"/>
            </w:tcBorders>
            <w:vAlign w:val="center"/>
          </w:tcPr>
          <w:p>
            <w:pPr>
              <w:pStyle w:val="22"/>
              <w:bidi w:val="0"/>
              <w:jc w:val="center"/>
              <w:rPr>
                <w:color w:val="0000FF"/>
              </w:rPr>
            </w:pPr>
            <w:r>
              <w:rPr>
                <w:color w:val="0000FF"/>
              </w:rPr>
              <w:t>新冠病毒</w:t>
            </w:r>
          </w:p>
        </w:tc>
        <w:tc>
          <w:tcPr>
            <w:tcW w:w="1236" w:type="dxa"/>
            <w:gridSpan w:val="2"/>
            <w:tcBorders>
              <w:tl2br w:val="nil"/>
              <w:tr2bl w:val="nil"/>
            </w:tcBorders>
            <w:vAlign w:val="center"/>
          </w:tcPr>
          <w:p>
            <w:pPr>
              <w:pStyle w:val="22"/>
              <w:bidi w:val="0"/>
              <w:jc w:val="center"/>
              <w:rPr>
                <w:color w:val="0000FF"/>
              </w:rPr>
            </w:pPr>
            <w:r>
              <w:rPr>
                <w:color w:val="0000FF"/>
              </w:rPr>
              <w:t>第二类</w:t>
            </w:r>
          </w:p>
        </w:tc>
        <w:tc>
          <w:tcPr>
            <w:tcW w:w="1062" w:type="dxa"/>
            <w:gridSpan w:val="2"/>
            <w:tcBorders>
              <w:tl2br w:val="nil"/>
              <w:tr2bl w:val="nil"/>
            </w:tcBorders>
            <w:vAlign w:val="center"/>
          </w:tcPr>
          <w:p>
            <w:pPr>
              <w:pStyle w:val="22"/>
              <w:bidi w:val="0"/>
              <w:jc w:val="center"/>
              <w:rPr>
                <w:color w:val="0000FF"/>
              </w:rPr>
            </w:pPr>
            <w:r>
              <w:rPr>
                <w:color w:val="0000FF"/>
              </w:rPr>
              <w:t>人</w:t>
            </w:r>
          </w:p>
        </w:tc>
        <w:tc>
          <w:tcPr>
            <w:tcW w:w="3485" w:type="dxa"/>
            <w:tcBorders>
              <w:tl2br w:val="nil"/>
              <w:tr2bl w:val="nil"/>
            </w:tcBorders>
            <w:vAlign w:val="center"/>
          </w:tcPr>
          <w:p>
            <w:pPr>
              <w:pStyle w:val="22"/>
              <w:bidi w:val="0"/>
              <w:jc w:val="center"/>
              <w:rPr>
                <w:color w:val="0000FF"/>
              </w:rPr>
            </w:pPr>
            <w:r>
              <w:rPr>
                <w:color w:val="0000FF"/>
              </w:rPr>
              <w:t>呼吸道飞沫传播和接触传播</w:t>
            </w:r>
          </w:p>
        </w:tc>
        <w:tc>
          <w:tcPr>
            <w:tcW w:w="1085" w:type="dxa"/>
            <w:gridSpan w:val="2"/>
            <w:tcBorders>
              <w:tl2br w:val="nil"/>
              <w:tr2bl w:val="nil"/>
            </w:tcBorders>
            <w:vAlign w:val="center"/>
          </w:tcPr>
          <w:p>
            <w:pPr>
              <w:pStyle w:val="22"/>
              <w:bidi w:val="0"/>
              <w:jc w:val="center"/>
              <w:rPr>
                <w:color w:val="0000FF"/>
              </w:rPr>
            </w:pPr>
            <w:r>
              <w:rPr>
                <w:color w:val="0000FF"/>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20" w:hRule="atLeast"/>
          <w:jc w:val="center"/>
        </w:trPr>
        <w:tc>
          <w:tcPr>
            <w:tcW w:w="535" w:type="dxa"/>
            <w:gridSpan w:val="2"/>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3</w:t>
            </w:r>
          </w:p>
        </w:tc>
        <w:tc>
          <w:tcPr>
            <w:tcW w:w="1112" w:type="dxa"/>
            <w:gridSpan w:val="2"/>
            <w:tcBorders>
              <w:tl2br w:val="nil"/>
              <w:tr2bl w:val="nil"/>
            </w:tcBorders>
            <w:vAlign w:val="center"/>
          </w:tcPr>
          <w:p>
            <w:pPr>
              <w:pStyle w:val="22"/>
              <w:bidi w:val="0"/>
              <w:jc w:val="center"/>
              <w:rPr>
                <w:color w:val="0000FF"/>
              </w:rPr>
            </w:pPr>
            <w:r>
              <w:rPr>
                <w:color w:val="0000FF"/>
              </w:rPr>
              <w:t>麻疹</w:t>
            </w:r>
          </w:p>
        </w:tc>
        <w:tc>
          <w:tcPr>
            <w:tcW w:w="1235" w:type="dxa"/>
            <w:gridSpan w:val="2"/>
            <w:tcBorders>
              <w:tl2br w:val="nil"/>
              <w:tr2bl w:val="nil"/>
            </w:tcBorders>
            <w:vAlign w:val="center"/>
          </w:tcPr>
          <w:p>
            <w:pPr>
              <w:pStyle w:val="22"/>
              <w:bidi w:val="0"/>
              <w:jc w:val="center"/>
              <w:rPr>
                <w:color w:val="0000FF"/>
              </w:rPr>
            </w:pPr>
            <w:r>
              <w:rPr>
                <w:color w:val="0000FF"/>
              </w:rPr>
              <w:t>第三类</w:t>
            </w:r>
          </w:p>
        </w:tc>
        <w:tc>
          <w:tcPr>
            <w:tcW w:w="1062" w:type="dxa"/>
            <w:gridSpan w:val="2"/>
            <w:tcBorders>
              <w:tl2br w:val="nil"/>
              <w:tr2bl w:val="nil"/>
            </w:tcBorders>
            <w:vAlign w:val="center"/>
          </w:tcPr>
          <w:p>
            <w:pPr>
              <w:pStyle w:val="22"/>
              <w:bidi w:val="0"/>
              <w:jc w:val="center"/>
              <w:rPr>
                <w:color w:val="0000FF"/>
              </w:rPr>
            </w:pPr>
            <w:r>
              <w:rPr>
                <w:color w:val="0000FF"/>
              </w:rPr>
              <w:t>人</w:t>
            </w:r>
          </w:p>
        </w:tc>
        <w:tc>
          <w:tcPr>
            <w:tcW w:w="3488" w:type="dxa"/>
            <w:gridSpan w:val="2"/>
            <w:tcBorders>
              <w:tl2br w:val="nil"/>
              <w:tr2bl w:val="nil"/>
            </w:tcBorders>
            <w:vAlign w:val="center"/>
          </w:tcPr>
          <w:p>
            <w:pPr>
              <w:pStyle w:val="22"/>
              <w:bidi w:val="0"/>
              <w:jc w:val="center"/>
              <w:rPr>
                <w:color w:val="0000FF"/>
              </w:rPr>
            </w:pPr>
            <w:r>
              <w:rPr>
                <w:color w:val="0000FF"/>
              </w:rPr>
              <w:t>飞沫直接传播</w:t>
            </w:r>
          </w:p>
        </w:tc>
        <w:tc>
          <w:tcPr>
            <w:tcW w:w="1082" w:type="dxa"/>
            <w:tcBorders>
              <w:tl2br w:val="nil"/>
              <w:tr2bl w:val="nil"/>
            </w:tcBorders>
            <w:vAlign w:val="center"/>
          </w:tcPr>
          <w:p>
            <w:pPr>
              <w:pStyle w:val="22"/>
              <w:bidi w:val="0"/>
              <w:jc w:val="center"/>
              <w:rPr>
                <w:color w:val="0000FF"/>
              </w:rPr>
            </w:pPr>
            <w:r>
              <w:rPr>
                <w:color w:val="0000FF"/>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6" w:hRule="atLeast"/>
          <w:jc w:val="center"/>
        </w:trPr>
        <w:tc>
          <w:tcPr>
            <w:tcW w:w="535" w:type="dxa"/>
            <w:gridSpan w:val="2"/>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4</w:t>
            </w:r>
          </w:p>
        </w:tc>
        <w:tc>
          <w:tcPr>
            <w:tcW w:w="1112" w:type="dxa"/>
            <w:gridSpan w:val="2"/>
            <w:tcBorders>
              <w:tl2br w:val="nil"/>
              <w:tr2bl w:val="nil"/>
            </w:tcBorders>
            <w:vAlign w:val="center"/>
          </w:tcPr>
          <w:p>
            <w:pPr>
              <w:pStyle w:val="22"/>
              <w:bidi w:val="0"/>
              <w:jc w:val="center"/>
              <w:rPr>
                <w:color w:val="0000FF"/>
              </w:rPr>
            </w:pPr>
            <w:r>
              <w:rPr>
                <w:color w:val="0000FF"/>
              </w:rPr>
              <w:t>风疹</w:t>
            </w:r>
          </w:p>
        </w:tc>
        <w:tc>
          <w:tcPr>
            <w:tcW w:w="1235" w:type="dxa"/>
            <w:gridSpan w:val="2"/>
            <w:tcBorders>
              <w:tl2br w:val="nil"/>
              <w:tr2bl w:val="nil"/>
            </w:tcBorders>
            <w:vAlign w:val="center"/>
          </w:tcPr>
          <w:p>
            <w:pPr>
              <w:pStyle w:val="22"/>
              <w:bidi w:val="0"/>
              <w:jc w:val="center"/>
              <w:rPr>
                <w:color w:val="0000FF"/>
              </w:rPr>
            </w:pPr>
            <w:r>
              <w:rPr>
                <w:color w:val="0000FF"/>
              </w:rPr>
              <w:t>第三类</w:t>
            </w:r>
          </w:p>
        </w:tc>
        <w:tc>
          <w:tcPr>
            <w:tcW w:w="1062" w:type="dxa"/>
            <w:gridSpan w:val="2"/>
            <w:tcBorders>
              <w:tl2br w:val="nil"/>
              <w:tr2bl w:val="nil"/>
            </w:tcBorders>
            <w:vAlign w:val="center"/>
          </w:tcPr>
          <w:p>
            <w:pPr>
              <w:pStyle w:val="22"/>
              <w:bidi w:val="0"/>
              <w:jc w:val="center"/>
              <w:rPr>
                <w:color w:val="0000FF"/>
              </w:rPr>
            </w:pPr>
            <w:r>
              <w:rPr>
                <w:color w:val="0000FF"/>
              </w:rPr>
              <w:t>人</w:t>
            </w:r>
          </w:p>
        </w:tc>
        <w:tc>
          <w:tcPr>
            <w:tcW w:w="3488" w:type="dxa"/>
            <w:gridSpan w:val="2"/>
            <w:tcBorders>
              <w:tl2br w:val="nil"/>
              <w:tr2bl w:val="nil"/>
            </w:tcBorders>
            <w:vAlign w:val="center"/>
          </w:tcPr>
          <w:p>
            <w:pPr>
              <w:pStyle w:val="22"/>
              <w:bidi w:val="0"/>
              <w:jc w:val="center"/>
              <w:rPr>
                <w:color w:val="0000FF"/>
              </w:rPr>
            </w:pPr>
            <w:r>
              <w:rPr>
                <w:color w:val="0000FF"/>
              </w:rPr>
              <w:t>飞沫直接传播</w:t>
            </w:r>
          </w:p>
        </w:tc>
        <w:tc>
          <w:tcPr>
            <w:tcW w:w="1082" w:type="dxa"/>
            <w:tcBorders>
              <w:tl2br w:val="nil"/>
              <w:tr2bl w:val="nil"/>
            </w:tcBorders>
            <w:vAlign w:val="center"/>
          </w:tcPr>
          <w:p>
            <w:pPr>
              <w:pStyle w:val="22"/>
              <w:bidi w:val="0"/>
              <w:jc w:val="center"/>
              <w:rPr>
                <w:color w:val="0000FF"/>
              </w:rPr>
            </w:pPr>
            <w:r>
              <w:rPr>
                <w:color w:val="0000FF"/>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6" w:hRule="atLeast"/>
          <w:jc w:val="center"/>
        </w:trPr>
        <w:tc>
          <w:tcPr>
            <w:tcW w:w="535" w:type="dxa"/>
            <w:gridSpan w:val="2"/>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5</w:t>
            </w:r>
          </w:p>
        </w:tc>
        <w:tc>
          <w:tcPr>
            <w:tcW w:w="1112" w:type="dxa"/>
            <w:gridSpan w:val="2"/>
            <w:tcBorders>
              <w:tl2br w:val="nil"/>
              <w:tr2bl w:val="nil"/>
            </w:tcBorders>
            <w:vAlign w:val="center"/>
          </w:tcPr>
          <w:p>
            <w:pPr>
              <w:pStyle w:val="22"/>
              <w:bidi w:val="0"/>
              <w:jc w:val="center"/>
              <w:rPr>
                <w:color w:val="0000FF"/>
              </w:rPr>
            </w:pPr>
            <w:r>
              <w:rPr>
                <w:color w:val="0000FF"/>
              </w:rPr>
              <w:t>流感检测</w:t>
            </w:r>
          </w:p>
        </w:tc>
        <w:tc>
          <w:tcPr>
            <w:tcW w:w="1235" w:type="dxa"/>
            <w:gridSpan w:val="2"/>
            <w:tcBorders>
              <w:tl2br w:val="nil"/>
              <w:tr2bl w:val="nil"/>
            </w:tcBorders>
            <w:vAlign w:val="center"/>
          </w:tcPr>
          <w:p>
            <w:pPr>
              <w:pStyle w:val="22"/>
              <w:bidi w:val="0"/>
              <w:jc w:val="center"/>
              <w:rPr>
                <w:color w:val="0000FF"/>
              </w:rPr>
            </w:pPr>
            <w:r>
              <w:rPr>
                <w:color w:val="0000FF"/>
              </w:rPr>
              <w:t>第三类</w:t>
            </w:r>
          </w:p>
        </w:tc>
        <w:tc>
          <w:tcPr>
            <w:tcW w:w="1062" w:type="dxa"/>
            <w:gridSpan w:val="2"/>
            <w:tcBorders>
              <w:tl2br w:val="nil"/>
              <w:tr2bl w:val="nil"/>
            </w:tcBorders>
            <w:vAlign w:val="center"/>
          </w:tcPr>
          <w:p>
            <w:pPr>
              <w:pStyle w:val="22"/>
              <w:bidi w:val="0"/>
              <w:jc w:val="center"/>
              <w:rPr>
                <w:color w:val="0000FF"/>
              </w:rPr>
            </w:pPr>
            <w:r>
              <w:rPr>
                <w:color w:val="0000FF"/>
              </w:rPr>
              <w:t>人、动物</w:t>
            </w:r>
          </w:p>
        </w:tc>
        <w:tc>
          <w:tcPr>
            <w:tcW w:w="3488" w:type="dxa"/>
            <w:gridSpan w:val="2"/>
            <w:tcBorders>
              <w:tl2br w:val="nil"/>
              <w:tr2bl w:val="nil"/>
            </w:tcBorders>
            <w:vAlign w:val="center"/>
          </w:tcPr>
          <w:p>
            <w:pPr>
              <w:pStyle w:val="22"/>
              <w:bidi w:val="0"/>
              <w:jc w:val="center"/>
              <w:rPr>
                <w:color w:val="0000FF"/>
              </w:rPr>
            </w:pPr>
            <w:r>
              <w:rPr>
                <w:color w:val="0000FF"/>
              </w:rPr>
              <w:t>呼吸道</w:t>
            </w:r>
          </w:p>
        </w:tc>
        <w:tc>
          <w:tcPr>
            <w:tcW w:w="1082" w:type="dxa"/>
            <w:tcBorders>
              <w:tl2br w:val="nil"/>
              <w:tr2bl w:val="nil"/>
            </w:tcBorders>
            <w:vAlign w:val="center"/>
          </w:tcPr>
          <w:p>
            <w:pPr>
              <w:pStyle w:val="22"/>
              <w:bidi w:val="0"/>
              <w:jc w:val="center"/>
              <w:rPr>
                <w:color w:val="0000FF"/>
              </w:rPr>
            </w:pPr>
            <w:r>
              <w:rPr>
                <w:color w:val="0000FF"/>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6" w:hRule="atLeast"/>
          <w:jc w:val="center"/>
        </w:trPr>
        <w:tc>
          <w:tcPr>
            <w:tcW w:w="535" w:type="dxa"/>
            <w:gridSpan w:val="2"/>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6</w:t>
            </w:r>
          </w:p>
        </w:tc>
        <w:tc>
          <w:tcPr>
            <w:tcW w:w="1112" w:type="dxa"/>
            <w:gridSpan w:val="2"/>
            <w:tcBorders>
              <w:tl2br w:val="nil"/>
              <w:tr2bl w:val="nil"/>
            </w:tcBorders>
            <w:vAlign w:val="center"/>
          </w:tcPr>
          <w:p>
            <w:pPr>
              <w:pStyle w:val="22"/>
              <w:bidi w:val="0"/>
              <w:jc w:val="center"/>
              <w:rPr>
                <w:color w:val="0000FF"/>
              </w:rPr>
            </w:pPr>
            <w:r>
              <w:rPr>
                <w:color w:val="0000FF"/>
              </w:rPr>
              <w:t>禽流感</w:t>
            </w:r>
          </w:p>
        </w:tc>
        <w:tc>
          <w:tcPr>
            <w:tcW w:w="1235" w:type="dxa"/>
            <w:gridSpan w:val="2"/>
            <w:tcBorders>
              <w:tl2br w:val="nil"/>
              <w:tr2bl w:val="nil"/>
            </w:tcBorders>
            <w:vAlign w:val="center"/>
          </w:tcPr>
          <w:p>
            <w:pPr>
              <w:pStyle w:val="22"/>
              <w:bidi w:val="0"/>
              <w:jc w:val="center"/>
              <w:rPr>
                <w:color w:val="0000FF"/>
              </w:rPr>
            </w:pPr>
            <w:r>
              <w:rPr>
                <w:color w:val="0000FF"/>
              </w:rPr>
              <w:t>第三类</w:t>
            </w:r>
          </w:p>
        </w:tc>
        <w:tc>
          <w:tcPr>
            <w:tcW w:w="1062" w:type="dxa"/>
            <w:gridSpan w:val="2"/>
            <w:tcBorders>
              <w:tl2br w:val="nil"/>
              <w:tr2bl w:val="nil"/>
            </w:tcBorders>
            <w:vAlign w:val="center"/>
          </w:tcPr>
          <w:p>
            <w:pPr>
              <w:pStyle w:val="22"/>
              <w:bidi w:val="0"/>
              <w:jc w:val="center"/>
              <w:rPr>
                <w:color w:val="0000FF"/>
              </w:rPr>
            </w:pPr>
            <w:r>
              <w:rPr>
                <w:color w:val="0000FF"/>
              </w:rPr>
              <w:t>人、动物</w:t>
            </w:r>
          </w:p>
        </w:tc>
        <w:tc>
          <w:tcPr>
            <w:tcW w:w="3488" w:type="dxa"/>
            <w:gridSpan w:val="2"/>
            <w:tcBorders>
              <w:tl2br w:val="nil"/>
              <w:tr2bl w:val="nil"/>
            </w:tcBorders>
            <w:vAlign w:val="center"/>
          </w:tcPr>
          <w:p>
            <w:pPr>
              <w:pStyle w:val="22"/>
              <w:bidi w:val="0"/>
              <w:jc w:val="center"/>
              <w:rPr>
                <w:color w:val="0000FF"/>
              </w:rPr>
            </w:pPr>
            <w:r>
              <w:rPr>
                <w:color w:val="0000FF"/>
              </w:rPr>
              <w:t>呼吸道，消化系统</w:t>
            </w:r>
          </w:p>
        </w:tc>
        <w:tc>
          <w:tcPr>
            <w:tcW w:w="1082" w:type="dxa"/>
            <w:tcBorders>
              <w:tl2br w:val="nil"/>
              <w:tr2bl w:val="nil"/>
            </w:tcBorders>
            <w:vAlign w:val="center"/>
          </w:tcPr>
          <w:p>
            <w:pPr>
              <w:pStyle w:val="22"/>
              <w:bidi w:val="0"/>
              <w:jc w:val="center"/>
              <w:rPr>
                <w:color w:val="0000FF"/>
              </w:rPr>
            </w:pPr>
            <w:r>
              <w:rPr>
                <w:color w:val="0000FF"/>
              </w:rPr>
              <w:t>BSL-2</w:t>
            </w:r>
          </w:p>
        </w:tc>
      </w:tr>
    </w:tbl>
    <w:p>
      <w:pPr>
        <w:bidi w:val="0"/>
        <w:rPr>
          <w:color w:val="0000FF"/>
        </w:rPr>
      </w:pPr>
      <w:r>
        <w:rPr>
          <w:color w:val="0000FF"/>
        </w:rPr>
        <w:t>由表3.1-5可知，项目涉及的各项病原微生物危害程度多为二类和三类，实验室采用消毒剂、高温高压消毒措施可满足实验要求，实验过程中产生的实验废水经处理站处理后排入城镇管网，理化实验室</w:t>
      </w:r>
      <w:r>
        <w:rPr>
          <w:rFonts w:hint="eastAsia"/>
          <w:color w:val="0000FF"/>
          <w:lang w:val="en-US" w:eastAsia="zh-CN"/>
        </w:rPr>
        <w:t>经</w:t>
      </w:r>
      <w:r>
        <w:rPr>
          <w:color w:val="0000FF"/>
        </w:rPr>
        <w:t>集气罩收集，活性炭吸附后</w:t>
      </w:r>
      <w:r>
        <w:rPr>
          <w:rFonts w:hint="eastAsia"/>
          <w:color w:val="0000FF"/>
          <w:lang w:val="en-US" w:eastAsia="zh-CN"/>
        </w:rPr>
        <w:t>经管道引至位于屋顶排放，生物实验经生物安全柜安装负压高效空气过滤器，经管道引至位于屋顶的排放</w:t>
      </w:r>
      <w:r>
        <w:rPr>
          <w:rFonts w:hint="eastAsia"/>
          <w:color w:val="0000FF"/>
          <w:lang w:eastAsia="zh-CN"/>
        </w:rPr>
        <w:t>。</w:t>
      </w:r>
      <w:r>
        <w:rPr>
          <w:color w:val="0000FF"/>
        </w:rPr>
        <w:t>并且由于本项目不涉及动物感染实验及活菌操作实验，实验活动所需实验室安全级别二级即可，因此，项目建设危害性一般。</w:t>
      </w:r>
    </w:p>
    <w:p>
      <w:pPr>
        <w:pStyle w:val="6"/>
        <w:bidi w:val="0"/>
        <w:rPr>
          <w:rFonts w:hint="eastAsia"/>
          <w:color w:val="0000FF"/>
          <w:lang w:val="en-US" w:eastAsia="zh-CN"/>
        </w:rPr>
      </w:pPr>
      <w:bookmarkStart w:id="52" w:name="_Toc7882"/>
      <w:r>
        <w:rPr>
          <w:rFonts w:hint="eastAsia"/>
          <w:color w:val="0000FF"/>
          <w:lang w:val="en-US" w:eastAsia="zh-CN"/>
        </w:rPr>
        <w:t>3.1.2主要设备</w:t>
      </w:r>
      <w:bookmarkEnd w:id="52"/>
    </w:p>
    <w:p>
      <w:pPr>
        <w:pStyle w:val="22"/>
        <w:bidi w:val="0"/>
        <w:rPr>
          <w:b/>
          <w:bCs/>
          <w:color w:val="0000FF"/>
        </w:rPr>
      </w:pPr>
      <w:r>
        <w:rPr>
          <w:b/>
          <w:bCs/>
          <w:color w:val="0000FF"/>
        </w:rPr>
        <w:t>表3.1-6主要设备清单一览表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864"/>
        <w:gridCol w:w="2209"/>
        <w:gridCol w:w="1049"/>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序号</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设备名称</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型号</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数量</w:t>
            </w:r>
          </w:p>
        </w:tc>
        <w:tc>
          <w:tcPr>
            <w:tcW w:w="170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核酸提取仪</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lang w:val="en-US" w:eastAsia="zh-CN"/>
              </w:rPr>
              <w:t>BK-HS32</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2</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rPr>
              <w:t>生物安全柜</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lang w:val="en-US" w:eastAsia="zh-CN"/>
              </w:rPr>
              <w:t>BSC-3FB2</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3</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全自动医用</w:t>
            </w:r>
            <w:r>
              <w:rPr>
                <w:rFonts w:hint="default"/>
                <w:color w:val="0000FF"/>
                <w:lang w:val="en-US" w:eastAsia="zh-CN"/>
              </w:rPr>
              <w:t>PCR</w:t>
            </w:r>
            <w:r>
              <w:rPr>
                <w:rFonts w:hint="eastAsia"/>
                <w:color w:val="0000FF"/>
                <w:lang w:val="en-US" w:eastAsia="zh-CN"/>
              </w:rPr>
              <w:t>分析系统</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lang w:val="en-US" w:eastAsia="zh-CN"/>
              </w:rPr>
              <w:t>Lepgen-96</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4</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洁净工作台</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lang w:val="en-US" w:eastAsia="zh-CN"/>
              </w:rPr>
              <w:t>JBCJ-V1500U</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5</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rPr>
              <w:t>医用冷藏箱</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rPr>
              <w:t>BYC-310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6</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医用低温箱</w:t>
            </w:r>
            <w:r>
              <w:rPr>
                <w:rFonts w:hint="eastAsia"/>
                <w:color w:val="0000FF"/>
                <w:lang w:eastAsia="zh-CN"/>
              </w:rPr>
              <w:t>－</w:t>
            </w:r>
            <w:r>
              <w:rPr>
                <w:rFonts w:hint="default"/>
                <w:color w:val="0000FF"/>
              </w:rPr>
              <w:t>25℃</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DW-YL270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7</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rPr>
              <w:t>移动式紫外杀菌车</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rPr>
              <w:t>FY-30DC</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2</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8</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rPr>
              <w:t>移液器</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default"/>
                <w:color w:val="0000FF"/>
              </w:rPr>
              <w:t>(0.5-10ul，5-50ul，50-300ul)</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4</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9</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迷你离心机</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Mini-12</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10</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生物安全柜</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NU-437-400E</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11</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电热恒温培养箱</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DHP-420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2</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12</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生化培养箱</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rPr>
              <w:t>SPX-250B-Z</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13</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无菌均质器</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SCIENTZ-04</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14</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低速离心机</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TDZ5-WS</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15</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无菌均质器</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SCIENTZ-04</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16</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电热恒温鼓风干燥箱</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GZX-9070MBE</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17</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原子吸收分光光度计</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TAS-990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18</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气相色谱仪</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SP-3420A</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19</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浊度仪</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YZD-1B</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20</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紫外可见分光光度计</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TU-1810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21</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大气采样器</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XQC-15ET</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22</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eastAsia"/>
                <w:color w:val="0000FF"/>
                <w:lang w:val="en-US" w:eastAsia="zh-CN"/>
              </w:rPr>
              <w:t>便携式</w:t>
            </w:r>
            <w:r>
              <w:rPr>
                <w:rFonts w:hint="default"/>
                <w:color w:val="0000FF"/>
                <w:lang w:val="en-US" w:eastAsia="zh-CN"/>
              </w:rPr>
              <w:t>CO</w:t>
            </w:r>
            <w:r>
              <w:rPr>
                <w:rFonts w:hint="default"/>
                <w:color w:val="0000FF"/>
                <w:vertAlign w:val="subscript"/>
                <w:lang w:val="en-US" w:eastAsia="zh-CN"/>
              </w:rPr>
              <w:t>2</w:t>
            </w:r>
            <w:r>
              <w:rPr>
                <w:rFonts w:hint="eastAsia"/>
                <w:color w:val="0000FF"/>
                <w:lang w:val="en-US" w:eastAsia="zh-CN"/>
              </w:rPr>
              <w:t>检测仪</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color w:val="0000FF"/>
                <w:lang w:val="en-US" w:eastAsia="zh-CN"/>
              </w:rPr>
              <w:t>DEM-3</w:t>
            </w:r>
            <w:r>
              <w:rPr>
                <w:rFonts w:hint="eastAsia"/>
                <w:color w:val="0000FF"/>
                <w:lang w:val="en-US" w:eastAsia="zh-CN"/>
              </w:rPr>
              <w:t>型</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0000FF"/>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23</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ascii="宋体" w:hAnsi="宋体" w:eastAsia="宋体" w:cs="宋体"/>
                <w:color w:val="0000FF"/>
                <w:spacing w:val="-3"/>
                <w:sz w:val="21"/>
                <w:szCs w:val="21"/>
              </w:rPr>
              <w:t>超纯水机</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0000FF"/>
              </w:rPr>
            </w:pPr>
            <w:r>
              <w:rPr>
                <w:rFonts w:hint="default" w:ascii="Times New Roman" w:hAnsi="Times New Roman" w:eastAsia="Times New Roman" w:cs="Times New Roman"/>
                <w:color w:val="0000FF"/>
                <w:spacing w:val="-2"/>
                <w:sz w:val="21"/>
                <w:szCs w:val="21"/>
              </w:rPr>
              <w:t>CR-20NT+</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default"/>
                <w:color w:val="0000FF"/>
                <w:lang w:val="en-US" w:eastAsia="zh-CN"/>
              </w:rPr>
            </w:pPr>
            <w:r>
              <w:rPr>
                <w:rFonts w:hint="eastAsia"/>
                <w:color w:val="0000FF"/>
                <w:lang w:val="en-US" w:eastAsia="zh-CN"/>
              </w:rPr>
              <w:t>/</w:t>
            </w:r>
          </w:p>
        </w:tc>
      </w:tr>
    </w:tbl>
    <w:p>
      <w:pPr>
        <w:pStyle w:val="6"/>
        <w:bidi w:val="0"/>
        <w:rPr>
          <w:rFonts w:hint="eastAsia"/>
          <w:color w:val="0000FF"/>
          <w:lang w:val="en-US" w:eastAsia="zh-CN"/>
        </w:rPr>
      </w:pPr>
      <w:bookmarkStart w:id="53" w:name="_Toc230"/>
      <w:r>
        <w:rPr>
          <w:rFonts w:hint="eastAsia"/>
          <w:color w:val="0000FF"/>
          <w:lang w:val="en-US" w:eastAsia="zh-CN"/>
        </w:rPr>
        <w:t>3.1.3原辅材料及能源消耗</w:t>
      </w:r>
      <w:bookmarkEnd w:id="53"/>
    </w:p>
    <w:p>
      <w:pPr>
        <w:bidi w:val="0"/>
        <w:rPr>
          <w:color w:val="0000FF"/>
        </w:rPr>
      </w:pPr>
      <w:r>
        <w:rPr>
          <w:color w:val="0000FF"/>
        </w:rPr>
        <w:t>主要原辅材料及能源消耗件表3.1-7。</w:t>
      </w:r>
    </w:p>
    <w:p>
      <w:pPr>
        <w:pStyle w:val="22"/>
        <w:bidi w:val="0"/>
        <w:rPr>
          <w:b/>
          <w:bCs/>
          <w:color w:val="0000FF"/>
        </w:rPr>
      </w:pPr>
      <w:r>
        <w:rPr>
          <w:b/>
          <w:bCs/>
          <w:color w:val="0000FF"/>
        </w:rPr>
        <w:t>表3.1-7主要原辅材料及用量一览表</w:t>
      </w:r>
    </w:p>
    <w:tbl>
      <w:tblPr>
        <w:tblStyle w:val="23"/>
        <w:tblW w:w="85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6"/>
        <w:gridCol w:w="1154"/>
        <w:gridCol w:w="1312"/>
        <w:gridCol w:w="1275"/>
        <w:gridCol w:w="1238"/>
        <w:gridCol w:w="1450"/>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946" w:type="dxa"/>
            <w:tcBorders>
              <w:tl2br w:val="nil"/>
              <w:tr2bl w:val="nil"/>
            </w:tcBorders>
            <w:vAlign w:val="center"/>
          </w:tcPr>
          <w:p>
            <w:pPr>
              <w:pStyle w:val="22"/>
              <w:bidi w:val="0"/>
              <w:jc w:val="center"/>
              <w:rPr>
                <w:color w:val="0000FF"/>
              </w:rPr>
            </w:pPr>
            <w:r>
              <w:rPr>
                <w:color w:val="0000FF"/>
              </w:rPr>
              <w:t>类别</w:t>
            </w:r>
          </w:p>
        </w:tc>
        <w:tc>
          <w:tcPr>
            <w:tcW w:w="1154" w:type="dxa"/>
            <w:tcBorders>
              <w:tl2br w:val="nil"/>
              <w:tr2bl w:val="nil"/>
            </w:tcBorders>
            <w:vAlign w:val="center"/>
          </w:tcPr>
          <w:p>
            <w:pPr>
              <w:pStyle w:val="22"/>
              <w:bidi w:val="0"/>
              <w:jc w:val="center"/>
              <w:rPr>
                <w:color w:val="0000FF"/>
              </w:rPr>
            </w:pPr>
            <w:r>
              <w:rPr>
                <w:color w:val="0000FF"/>
              </w:rPr>
              <w:t>序号</w:t>
            </w:r>
          </w:p>
        </w:tc>
        <w:tc>
          <w:tcPr>
            <w:tcW w:w="1312" w:type="dxa"/>
            <w:tcBorders>
              <w:tl2br w:val="nil"/>
              <w:tr2bl w:val="nil"/>
            </w:tcBorders>
            <w:vAlign w:val="center"/>
          </w:tcPr>
          <w:p>
            <w:pPr>
              <w:pStyle w:val="22"/>
              <w:bidi w:val="0"/>
              <w:jc w:val="center"/>
              <w:rPr>
                <w:color w:val="0000FF"/>
              </w:rPr>
            </w:pPr>
            <w:r>
              <w:rPr>
                <w:color w:val="0000FF"/>
              </w:rPr>
              <w:t>名称</w:t>
            </w:r>
          </w:p>
        </w:tc>
        <w:tc>
          <w:tcPr>
            <w:tcW w:w="1275" w:type="dxa"/>
            <w:tcBorders>
              <w:tl2br w:val="nil"/>
              <w:tr2bl w:val="nil"/>
            </w:tcBorders>
            <w:vAlign w:val="center"/>
          </w:tcPr>
          <w:p>
            <w:pPr>
              <w:pStyle w:val="22"/>
              <w:bidi w:val="0"/>
              <w:jc w:val="center"/>
              <w:rPr>
                <w:color w:val="0000FF"/>
              </w:rPr>
            </w:pPr>
            <w:r>
              <w:rPr>
                <w:color w:val="0000FF"/>
              </w:rPr>
              <w:t>单位</w:t>
            </w:r>
          </w:p>
        </w:tc>
        <w:tc>
          <w:tcPr>
            <w:tcW w:w="1238" w:type="dxa"/>
            <w:tcBorders>
              <w:tl2br w:val="nil"/>
              <w:tr2bl w:val="nil"/>
            </w:tcBorders>
            <w:vAlign w:val="center"/>
          </w:tcPr>
          <w:p>
            <w:pPr>
              <w:pStyle w:val="22"/>
              <w:bidi w:val="0"/>
              <w:jc w:val="center"/>
              <w:rPr>
                <w:color w:val="0000FF"/>
              </w:rPr>
            </w:pPr>
            <w:r>
              <w:rPr>
                <w:color w:val="0000FF"/>
              </w:rPr>
              <w:t>年耗量</w:t>
            </w:r>
          </w:p>
        </w:tc>
        <w:tc>
          <w:tcPr>
            <w:tcW w:w="1450" w:type="dxa"/>
            <w:tcBorders>
              <w:tl2br w:val="nil"/>
              <w:tr2bl w:val="nil"/>
            </w:tcBorders>
            <w:vAlign w:val="center"/>
          </w:tcPr>
          <w:p>
            <w:pPr>
              <w:pStyle w:val="22"/>
              <w:bidi w:val="0"/>
              <w:jc w:val="center"/>
              <w:rPr>
                <w:color w:val="0000FF"/>
              </w:rPr>
            </w:pPr>
            <w:r>
              <w:rPr>
                <w:color w:val="0000FF"/>
              </w:rPr>
              <w:t>规格</w:t>
            </w:r>
          </w:p>
        </w:tc>
        <w:tc>
          <w:tcPr>
            <w:tcW w:w="1160" w:type="dxa"/>
            <w:tcBorders>
              <w:tl2br w:val="nil"/>
              <w:tr2bl w:val="nil"/>
            </w:tcBorders>
            <w:vAlign w:val="center"/>
          </w:tcPr>
          <w:p>
            <w:pPr>
              <w:pStyle w:val="22"/>
              <w:bidi w:val="0"/>
              <w:jc w:val="center"/>
              <w:rPr>
                <w:color w:val="0000FF"/>
              </w:rPr>
            </w:pPr>
            <w:r>
              <w:rPr>
                <w:color w:val="0000FF"/>
              </w:rPr>
              <w:t>危险化学品最大储量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restart"/>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医疗器械</w:t>
            </w:r>
          </w:p>
        </w:tc>
        <w:tc>
          <w:tcPr>
            <w:tcW w:w="1154" w:type="dxa"/>
            <w:tcBorders>
              <w:tl2br w:val="nil"/>
              <w:tr2bl w:val="nil"/>
            </w:tcBorders>
            <w:vAlign w:val="center"/>
          </w:tcPr>
          <w:p>
            <w:pPr>
              <w:pStyle w:val="22"/>
              <w:bidi w:val="0"/>
              <w:jc w:val="center"/>
              <w:rPr>
                <w:color w:val="0000FF"/>
              </w:rPr>
            </w:pPr>
            <w:r>
              <w:rPr>
                <w:color w:val="0000FF"/>
              </w:rPr>
              <w:t>1</w:t>
            </w:r>
          </w:p>
        </w:tc>
        <w:tc>
          <w:tcPr>
            <w:tcW w:w="1312" w:type="dxa"/>
            <w:tcBorders>
              <w:tl2br w:val="nil"/>
              <w:tr2bl w:val="nil"/>
            </w:tcBorders>
            <w:vAlign w:val="center"/>
          </w:tcPr>
          <w:p>
            <w:pPr>
              <w:pStyle w:val="22"/>
              <w:bidi w:val="0"/>
              <w:jc w:val="center"/>
              <w:rPr>
                <w:color w:val="0000FF"/>
              </w:rPr>
            </w:pPr>
            <w:r>
              <w:rPr>
                <w:color w:val="0000FF"/>
              </w:rPr>
              <w:t>PE手套</w:t>
            </w:r>
          </w:p>
        </w:tc>
        <w:tc>
          <w:tcPr>
            <w:tcW w:w="1275" w:type="dxa"/>
            <w:tcBorders>
              <w:tl2br w:val="nil"/>
              <w:tr2bl w:val="nil"/>
            </w:tcBorders>
            <w:vAlign w:val="center"/>
          </w:tcPr>
          <w:p>
            <w:pPr>
              <w:pStyle w:val="22"/>
              <w:bidi w:val="0"/>
              <w:jc w:val="center"/>
              <w:rPr>
                <w:color w:val="0000FF"/>
              </w:rPr>
            </w:pPr>
            <w:r>
              <w:rPr>
                <w:color w:val="0000FF"/>
              </w:rPr>
              <w:t>支</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200</w:t>
            </w:r>
          </w:p>
        </w:tc>
        <w:tc>
          <w:tcPr>
            <w:tcW w:w="1450" w:type="dxa"/>
            <w:tcBorders>
              <w:tl2br w:val="nil"/>
              <w:tr2bl w:val="nil"/>
            </w:tcBorders>
            <w:vAlign w:val="center"/>
          </w:tcPr>
          <w:p>
            <w:pPr>
              <w:pStyle w:val="22"/>
              <w:bidi w:val="0"/>
              <w:jc w:val="center"/>
              <w:rPr>
                <w:color w:val="0000FF"/>
              </w:rPr>
            </w:pPr>
            <w:r>
              <w:rPr>
                <w:color w:val="0000FF"/>
              </w:rPr>
              <w:t>100支/盒</w:t>
            </w: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color w:val="0000FF"/>
              </w:rPr>
            </w:pPr>
            <w:r>
              <w:rPr>
                <w:color w:val="0000FF"/>
              </w:rPr>
              <w:t>2</w:t>
            </w:r>
          </w:p>
        </w:tc>
        <w:tc>
          <w:tcPr>
            <w:tcW w:w="1312" w:type="dxa"/>
            <w:tcBorders>
              <w:tl2br w:val="nil"/>
              <w:tr2bl w:val="nil"/>
            </w:tcBorders>
            <w:vAlign w:val="center"/>
          </w:tcPr>
          <w:p>
            <w:pPr>
              <w:pStyle w:val="22"/>
              <w:bidi w:val="0"/>
              <w:jc w:val="center"/>
              <w:rPr>
                <w:color w:val="0000FF"/>
              </w:rPr>
            </w:pPr>
            <w:r>
              <w:rPr>
                <w:color w:val="0000FF"/>
              </w:rPr>
              <w:t>医用胶贴</w:t>
            </w:r>
          </w:p>
        </w:tc>
        <w:tc>
          <w:tcPr>
            <w:tcW w:w="1275" w:type="dxa"/>
            <w:tcBorders>
              <w:tl2br w:val="nil"/>
              <w:tr2bl w:val="nil"/>
            </w:tcBorders>
            <w:vAlign w:val="center"/>
          </w:tcPr>
          <w:p>
            <w:pPr>
              <w:pStyle w:val="22"/>
              <w:bidi w:val="0"/>
              <w:jc w:val="center"/>
              <w:rPr>
                <w:color w:val="0000FF"/>
              </w:rPr>
            </w:pPr>
            <w:r>
              <w:rPr>
                <w:color w:val="0000FF"/>
              </w:rPr>
              <w:t>片</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130</w:t>
            </w:r>
          </w:p>
        </w:tc>
        <w:tc>
          <w:tcPr>
            <w:tcW w:w="1450" w:type="dxa"/>
            <w:tcBorders>
              <w:tl2br w:val="nil"/>
              <w:tr2bl w:val="nil"/>
            </w:tcBorders>
            <w:vAlign w:val="center"/>
          </w:tcPr>
          <w:p>
            <w:pPr>
              <w:pStyle w:val="22"/>
              <w:bidi w:val="0"/>
              <w:jc w:val="center"/>
              <w:rPr>
                <w:color w:val="0000FF"/>
              </w:rPr>
            </w:pPr>
            <w:r>
              <w:rPr>
                <w:color w:val="0000FF"/>
              </w:rPr>
              <w:t>100贴/盒</w:t>
            </w: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3</w:t>
            </w:r>
          </w:p>
        </w:tc>
        <w:tc>
          <w:tcPr>
            <w:tcW w:w="1312" w:type="dxa"/>
            <w:tcBorders>
              <w:tl2br w:val="nil"/>
              <w:tr2bl w:val="nil"/>
            </w:tcBorders>
            <w:vAlign w:val="center"/>
          </w:tcPr>
          <w:p>
            <w:pPr>
              <w:pStyle w:val="22"/>
              <w:bidi w:val="0"/>
              <w:jc w:val="center"/>
              <w:rPr>
                <w:color w:val="0000FF"/>
              </w:rPr>
            </w:pPr>
            <w:r>
              <w:rPr>
                <w:color w:val="0000FF"/>
              </w:rPr>
              <w:t>注射器</w:t>
            </w:r>
          </w:p>
        </w:tc>
        <w:tc>
          <w:tcPr>
            <w:tcW w:w="1275" w:type="dxa"/>
            <w:tcBorders>
              <w:tl2br w:val="nil"/>
              <w:tr2bl w:val="nil"/>
            </w:tcBorders>
            <w:vAlign w:val="center"/>
          </w:tcPr>
          <w:p>
            <w:pPr>
              <w:pStyle w:val="22"/>
              <w:bidi w:val="0"/>
              <w:jc w:val="center"/>
              <w:rPr>
                <w:color w:val="0000FF"/>
              </w:rPr>
            </w:pPr>
            <w:r>
              <w:rPr>
                <w:color w:val="0000FF"/>
              </w:rPr>
              <w:t>支</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150</w:t>
            </w:r>
          </w:p>
        </w:tc>
        <w:tc>
          <w:tcPr>
            <w:tcW w:w="1450" w:type="dxa"/>
            <w:tcBorders>
              <w:tl2br w:val="nil"/>
              <w:tr2bl w:val="nil"/>
            </w:tcBorders>
            <w:vAlign w:val="center"/>
          </w:tcPr>
          <w:p>
            <w:pPr>
              <w:pStyle w:val="22"/>
              <w:bidi w:val="0"/>
              <w:jc w:val="center"/>
              <w:rPr>
                <w:color w:val="0000FF"/>
              </w:rPr>
            </w:pPr>
            <w:r>
              <w:rPr>
                <w:color w:val="0000FF"/>
              </w:rPr>
              <w:t>150支/盒</w:t>
            </w: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top"/>
          </w:tcPr>
          <w:p>
            <w:pPr>
              <w:pStyle w:val="22"/>
              <w:bidi w:val="0"/>
              <w:rPr>
                <w:rFonts w:hint="eastAsia" w:eastAsia="宋体"/>
                <w:color w:val="0000FF"/>
                <w:lang w:eastAsia="zh-CN"/>
              </w:rPr>
            </w:pPr>
            <w:r>
              <w:rPr>
                <w:rFonts w:hint="eastAsia"/>
                <w:color w:val="0000FF"/>
                <w:lang w:val="en-US" w:eastAsia="zh-CN"/>
              </w:rPr>
              <w:t>4</w:t>
            </w:r>
          </w:p>
        </w:tc>
        <w:tc>
          <w:tcPr>
            <w:tcW w:w="1312" w:type="dxa"/>
            <w:tcBorders>
              <w:tl2br w:val="nil"/>
              <w:tr2bl w:val="nil"/>
            </w:tcBorders>
            <w:vAlign w:val="top"/>
          </w:tcPr>
          <w:p>
            <w:pPr>
              <w:pStyle w:val="22"/>
              <w:bidi w:val="0"/>
              <w:rPr>
                <w:color w:val="0000FF"/>
              </w:rPr>
            </w:pPr>
            <w:r>
              <w:rPr>
                <w:color w:val="0000FF"/>
              </w:rPr>
              <w:t>采血管</w:t>
            </w:r>
          </w:p>
        </w:tc>
        <w:tc>
          <w:tcPr>
            <w:tcW w:w="1275" w:type="dxa"/>
            <w:tcBorders>
              <w:tl2br w:val="nil"/>
              <w:tr2bl w:val="nil"/>
            </w:tcBorders>
            <w:vAlign w:val="top"/>
          </w:tcPr>
          <w:p>
            <w:pPr>
              <w:pStyle w:val="22"/>
              <w:bidi w:val="0"/>
              <w:rPr>
                <w:color w:val="0000FF"/>
              </w:rPr>
            </w:pPr>
            <w:r>
              <w:rPr>
                <w:color w:val="0000FF"/>
              </w:rPr>
              <w:t>支</w:t>
            </w:r>
          </w:p>
        </w:tc>
        <w:tc>
          <w:tcPr>
            <w:tcW w:w="1238" w:type="dxa"/>
            <w:tcBorders>
              <w:tl2br w:val="nil"/>
              <w:tr2bl w:val="nil"/>
            </w:tcBorders>
            <w:vAlign w:val="top"/>
          </w:tcPr>
          <w:p>
            <w:pPr>
              <w:pStyle w:val="22"/>
              <w:bidi w:val="0"/>
              <w:rPr>
                <w:rFonts w:hint="default" w:eastAsia="宋体"/>
                <w:color w:val="0000FF"/>
                <w:lang w:val="en-US" w:eastAsia="zh-CN"/>
              </w:rPr>
            </w:pPr>
            <w:r>
              <w:rPr>
                <w:rFonts w:hint="eastAsia"/>
                <w:color w:val="0000FF"/>
                <w:lang w:val="en-US" w:eastAsia="zh-CN"/>
              </w:rPr>
              <w:t>50</w:t>
            </w:r>
          </w:p>
        </w:tc>
        <w:tc>
          <w:tcPr>
            <w:tcW w:w="1450" w:type="dxa"/>
            <w:tcBorders>
              <w:tl2br w:val="nil"/>
              <w:tr2bl w:val="nil"/>
            </w:tcBorders>
            <w:vAlign w:val="top"/>
          </w:tcPr>
          <w:p>
            <w:pPr>
              <w:pStyle w:val="22"/>
              <w:bidi w:val="0"/>
              <w:rPr>
                <w:color w:val="0000FF"/>
              </w:rPr>
            </w:pPr>
            <w:r>
              <w:rPr>
                <w:color w:val="0000FF"/>
              </w:rPr>
              <w:t>100支/盒</w:t>
            </w:r>
          </w:p>
        </w:tc>
        <w:tc>
          <w:tcPr>
            <w:tcW w:w="1160" w:type="dxa"/>
            <w:tcBorders>
              <w:tl2br w:val="nil"/>
              <w:tr2bl w:val="nil"/>
            </w:tcBorders>
            <w:vAlign w:val="top"/>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top"/>
          </w:tcPr>
          <w:p>
            <w:pPr>
              <w:pStyle w:val="22"/>
              <w:bidi w:val="0"/>
              <w:rPr>
                <w:rFonts w:hint="eastAsia" w:eastAsia="宋体"/>
                <w:color w:val="0000FF"/>
                <w:lang w:eastAsia="zh-CN"/>
              </w:rPr>
            </w:pPr>
            <w:r>
              <w:rPr>
                <w:rFonts w:hint="eastAsia"/>
                <w:color w:val="0000FF"/>
                <w:lang w:val="en-US" w:eastAsia="zh-CN"/>
              </w:rPr>
              <w:t>5</w:t>
            </w:r>
          </w:p>
        </w:tc>
        <w:tc>
          <w:tcPr>
            <w:tcW w:w="1312" w:type="dxa"/>
            <w:tcBorders>
              <w:tl2br w:val="nil"/>
              <w:tr2bl w:val="nil"/>
            </w:tcBorders>
            <w:vAlign w:val="top"/>
          </w:tcPr>
          <w:p>
            <w:pPr>
              <w:pStyle w:val="22"/>
              <w:bidi w:val="0"/>
              <w:rPr>
                <w:color w:val="0000FF"/>
              </w:rPr>
            </w:pPr>
            <w:r>
              <w:rPr>
                <w:color w:val="0000FF"/>
              </w:rPr>
              <w:t>采血针</w:t>
            </w:r>
          </w:p>
        </w:tc>
        <w:tc>
          <w:tcPr>
            <w:tcW w:w="1275" w:type="dxa"/>
            <w:tcBorders>
              <w:tl2br w:val="nil"/>
              <w:tr2bl w:val="nil"/>
            </w:tcBorders>
            <w:vAlign w:val="top"/>
          </w:tcPr>
          <w:p>
            <w:pPr>
              <w:pStyle w:val="22"/>
              <w:bidi w:val="0"/>
              <w:rPr>
                <w:color w:val="0000FF"/>
              </w:rPr>
            </w:pPr>
            <w:r>
              <w:rPr>
                <w:color w:val="0000FF"/>
              </w:rPr>
              <w:t>支</w:t>
            </w:r>
          </w:p>
        </w:tc>
        <w:tc>
          <w:tcPr>
            <w:tcW w:w="1238" w:type="dxa"/>
            <w:tcBorders>
              <w:tl2br w:val="nil"/>
              <w:tr2bl w:val="nil"/>
            </w:tcBorders>
            <w:vAlign w:val="top"/>
          </w:tcPr>
          <w:p>
            <w:pPr>
              <w:pStyle w:val="22"/>
              <w:bidi w:val="0"/>
              <w:rPr>
                <w:rFonts w:hint="default" w:eastAsia="宋体"/>
                <w:color w:val="0000FF"/>
                <w:lang w:val="en-US" w:eastAsia="zh-CN"/>
              </w:rPr>
            </w:pPr>
            <w:r>
              <w:rPr>
                <w:rFonts w:hint="eastAsia"/>
                <w:color w:val="0000FF"/>
                <w:lang w:val="en-US" w:eastAsia="zh-CN"/>
              </w:rPr>
              <w:t>50</w:t>
            </w:r>
          </w:p>
        </w:tc>
        <w:tc>
          <w:tcPr>
            <w:tcW w:w="1450" w:type="dxa"/>
            <w:tcBorders>
              <w:tl2br w:val="nil"/>
              <w:tr2bl w:val="nil"/>
            </w:tcBorders>
            <w:vAlign w:val="top"/>
          </w:tcPr>
          <w:p>
            <w:pPr>
              <w:pStyle w:val="22"/>
              <w:bidi w:val="0"/>
              <w:rPr>
                <w:color w:val="0000FF"/>
              </w:rPr>
            </w:pPr>
            <w:r>
              <w:rPr>
                <w:color w:val="0000FF"/>
              </w:rPr>
              <w:t>100支/盒</w:t>
            </w:r>
          </w:p>
        </w:tc>
        <w:tc>
          <w:tcPr>
            <w:tcW w:w="1160" w:type="dxa"/>
            <w:tcBorders>
              <w:tl2br w:val="nil"/>
              <w:tr2bl w:val="nil"/>
            </w:tcBorders>
            <w:vAlign w:val="top"/>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top"/>
          </w:tcPr>
          <w:p>
            <w:pPr>
              <w:pStyle w:val="22"/>
              <w:bidi w:val="0"/>
              <w:rPr>
                <w:rFonts w:hint="eastAsia" w:eastAsia="宋体"/>
                <w:color w:val="0000FF"/>
                <w:lang w:eastAsia="zh-CN"/>
              </w:rPr>
            </w:pPr>
            <w:r>
              <w:rPr>
                <w:rFonts w:hint="eastAsia"/>
                <w:color w:val="0000FF"/>
                <w:lang w:val="en-US" w:eastAsia="zh-CN"/>
              </w:rPr>
              <w:t>6</w:t>
            </w:r>
          </w:p>
        </w:tc>
        <w:tc>
          <w:tcPr>
            <w:tcW w:w="1312" w:type="dxa"/>
            <w:tcBorders>
              <w:tl2br w:val="nil"/>
              <w:tr2bl w:val="nil"/>
            </w:tcBorders>
            <w:vAlign w:val="top"/>
          </w:tcPr>
          <w:p>
            <w:pPr>
              <w:pStyle w:val="22"/>
              <w:bidi w:val="0"/>
              <w:rPr>
                <w:color w:val="0000FF"/>
              </w:rPr>
            </w:pPr>
            <w:r>
              <w:rPr>
                <w:color w:val="0000FF"/>
              </w:rPr>
              <w:t>采血组件</w:t>
            </w:r>
          </w:p>
        </w:tc>
        <w:tc>
          <w:tcPr>
            <w:tcW w:w="1275" w:type="dxa"/>
            <w:tcBorders>
              <w:tl2br w:val="nil"/>
              <w:tr2bl w:val="nil"/>
            </w:tcBorders>
            <w:vAlign w:val="top"/>
          </w:tcPr>
          <w:p>
            <w:pPr>
              <w:pStyle w:val="22"/>
              <w:bidi w:val="0"/>
              <w:rPr>
                <w:color w:val="0000FF"/>
              </w:rPr>
            </w:pPr>
            <w:r>
              <w:rPr>
                <w:color w:val="0000FF"/>
              </w:rPr>
              <w:t>支</w:t>
            </w:r>
          </w:p>
        </w:tc>
        <w:tc>
          <w:tcPr>
            <w:tcW w:w="1238" w:type="dxa"/>
            <w:tcBorders>
              <w:tl2br w:val="nil"/>
              <w:tr2bl w:val="nil"/>
            </w:tcBorders>
            <w:vAlign w:val="top"/>
          </w:tcPr>
          <w:p>
            <w:pPr>
              <w:pStyle w:val="22"/>
              <w:bidi w:val="0"/>
              <w:rPr>
                <w:rFonts w:hint="default" w:eastAsia="宋体"/>
                <w:color w:val="0000FF"/>
                <w:lang w:val="en-US" w:eastAsia="zh-CN"/>
              </w:rPr>
            </w:pPr>
            <w:r>
              <w:rPr>
                <w:rFonts w:hint="eastAsia"/>
                <w:color w:val="0000FF"/>
                <w:lang w:val="en-US" w:eastAsia="zh-CN"/>
              </w:rPr>
              <w:t>50</w:t>
            </w:r>
          </w:p>
        </w:tc>
        <w:tc>
          <w:tcPr>
            <w:tcW w:w="1450" w:type="dxa"/>
            <w:tcBorders>
              <w:tl2br w:val="nil"/>
              <w:tr2bl w:val="nil"/>
            </w:tcBorders>
            <w:vAlign w:val="top"/>
          </w:tcPr>
          <w:p>
            <w:pPr>
              <w:pStyle w:val="22"/>
              <w:bidi w:val="0"/>
              <w:rPr>
                <w:color w:val="0000FF"/>
              </w:rPr>
            </w:pPr>
            <w:r>
              <w:rPr>
                <w:color w:val="0000FF"/>
              </w:rPr>
              <w:t>100支/盒</w:t>
            </w:r>
          </w:p>
        </w:tc>
        <w:tc>
          <w:tcPr>
            <w:tcW w:w="1160" w:type="dxa"/>
            <w:tcBorders>
              <w:tl2br w:val="nil"/>
              <w:tr2bl w:val="nil"/>
            </w:tcBorders>
            <w:vAlign w:val="top"/>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7</w:t>
            </w:r>
          </w:p>
        </w:tc>
        <w:tc>
          <w:tcPr>
            <w:tcW w:w="1312" w:type="dxa"/>
            <w:tcBorders>
              <w:tl2br w:val="nil"/>
              <w:tr2bl w:val="nil"/>
            </w:tcBorders>
            <w:vAlign w:val="center"/>
          </w:tcPr>
          <w:p>
            <w:pPr>
              <w:pStyle w:val="22"/>
              <w:bidi w:val="0"/>
              <w:jc w:val="center"/>
              <w:rPr>
                <w:color w:val="0000FF"/>
              </w:rPr>
            </w:pPr>
            <w:r>
              <w:rPr>
                <w:color w:val="0000FF"/>
              </w:rPr>
              <w:t>一次性口罩</w:t>
            </w:r>
          </w:p>
        </w:tc>
        <w:tc>
          <w:tcPr>
            <w:tcW w:w="1275" w:type="dxa"/>
            <w:tcBorders>
              <w:tl2br w:val="nil"/>
              <w:tr2bl w:val="nil"/>
            </w:tcBorders>
            <w:vAlign w:val="center"/>
          </w:tcPr>
          <w:p>
            <w:pPr>
              <w:pStyle w:val="22"/>
              <w:bidi w:val="0"/>
              <w:jc w:val="center"/>
              <w:rPr>
                <w:color w:val="0000FF"/>
              </w:rPr>
            </w:pPr>
            <w:r>
              <w:rPr>
                <w:color w:val="0000FF"/>
              </w:rPr>
              <w:t>个</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500</w:t>
            </w:r>
          </w:p>
        </w:tc>
        <w:tc>
          <w:tcPr>
            <w:tcW w:w="1450" w:type="dxa"/>
            <w:tcBorders>
              <w:tl2br w:val="nil"/>
              <w:tr2bl w:val="nil"/>
            </w:tcBorders>
            <w:vAlign w:val="center"/>
          </w:tcPr>
          <w:p>
            <w:pPr>
              <w:pStyle w:val="22"/>
              <w:bidi w:val="0"/>
              <w:jc w:val="center"/>
              <w:rPr>
                <w:color w:val="0000FF"/>
              </w:rPr>
            </w:pPr>
            <w:r>
              <w:rPr>
                <w:color w:val="0000FF"/>
              </w:rPr>
              <w:t>100个/盒</w:t>
            </w: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8</w:t>
            </w:r>
          </w:p>
        </w:tc>
        <w:tc>
          <w:tcPr>
            <w:tcW w:w="1312" w:type="dxa"/>
            <w:tcBorders>
              <w:tl2br w:val="nil"/>
              <w:tr2bl w:val="nil"/>
            </w:tcBorders>
            <w:vAlign w:val="center"/>
          </w:tcPr>
          <w:p>
            <w:pPr>
              <w:pStyle w:val="22"/>
              <w:bidi w:val="0"/>
              <w:jc w:val="center"/>
              <w:rPr>
                <w:color w:val="0000FF"/>
              </w:rPr>
            </w:pPr>
            <w:r>
              <w:rPr>
                <w:color w:val="0000FF"/>
              </w:rPr>
              <w:t>棉签</w:t>
            </w:r>
          </w:p>
        </w:tc>
        <w:tc>
          <w:tcPr>
            <w:tcW w:w="1275" w:type="dxa"/>
            <w:tcBorders>
              <w:tl2br w:val="nil"/>
              <w:tr2bl w:val="nil"/>
            </w:tcBorders>
            <w:vAlign w:val="center"/>
          </w:tcPr>
          <w:p>
            <w:pPr>
              <w:pStyle w:val="22"/>
              <w:bidi w:val="0"/>
              <w:jc w:val="center"/>
              <w:rPr>
                <w:color w:val="0000FF"/>
              </w:rPr>
            </w:pPr>
            <w:r>
              <w:rPr>
                <w:color w:val="0000FF"/>
              </w:rPr>
              <w:t>支</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350</w:t>
            </w:r>
          </w:p>
        </w:tc>
        <w:tc>
          <w:tcPr>
            <w:tcW w:w="1450" w:type="dxa"/>
            <w:tcBorders>
              <w:tl2br w:val="nil"/>
              <w:tr2bl w:val="nil"/>
            </w:tcBorders>
            <w:vAlign w:val="center"/>
          </w:tcPr>
          <w:p>
            <w:pPr>
              <w:pStyle w:val="22"/>
              <w:bidi w:val="0"/>
              <w:jc w:val="center"/>
              <w:rPr>
                <w:color w:val="0000FF"/>
              </w:rPr>
            </w:pPr>
            <w:r>
              <w:rPr>
                <w:color w:val="0000FF"/>
              </w:rPr>
              <w:t>100支/盒</w:t>
            </w: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7"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9</w:t>
            </w:r>
          </w:p>
        </w:tc>
        <w:tc>
          <w:tcPr>
            <w:tcW w:w="1312" w:type="dxa"/>
            <w:tcBorders>
              <w:tl2br w:val="nil"/>
              <w:tr2bl w:val="nil"/>
            </w:tcBorders>
            <w:vAlign w:val="center"/>
          </w:tcPr>
          <w:p>
            <w:pPr>
              <w:pStyle w:val="22"/>
              <w:bidi w:val="0"/>
              <w:jc w:val="center"/>
              <w:rPr>
                <w:color w:val="0000FF"/>
              </w:rPr>
            </w:pPr>
            <w:r>
              <w:rPr>
                <w:color w:val="0000FF"/>
              </w:rPr>
              <w:t>压舌板</w:t>
            </w:r>
          </w:p>
        </w:tc>
        <w:tc>
          <w:tcPr>
            <w:tcW w:w="1275" w:type="dxa"/>
            <w:tcBorders>
              <w:tl2br w:val="nil"/>
              <w:tr2bl w:val="nil"/>
            </w:tcBorders>
            <w:vAlign w:val="center"/>
          </w:tcPr>
          <w:p>
            <w:pPr>
              <w:pStyle w:val="22"/>
              <w:bidi w:val="0"/>
              <w:jc w:val="center"/>
              <w:rPr>
                <w:color w:val="0000FF"/>
              </w:rPr>
            </w:pPr>
            <w:r>
              <w:rPr>
                <w:color w:val="0000FF"/>
              </w:rPr>
              <w:t>支</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50</w:t>
            </w:r>
          </w:p>
        </w:tc>
        <w:tc>
          <w:tcPr>
            <w:tcW w:w="1450" w:type="dxa"/>
            <w:tcBorders>
              <w:tl2br w:val="nil"/>
              <w:tr2bl w:val="nil"/>
            </w:tcBorders>
            <w:vAlign w:val="center"/>
          </w:tcPr>
          <w:p>
            <w:pPr>
              <w:pStyle w:val="22"/>
              <w:bidi w:val="0"/>
              <w:jc w:val="center"/>
              <w:rPr>
                <w:color w:val="0000FF"/>
              </w:rPr>
            </w:pPr>
            <w:r>
              <w:rPr>
                <w:color w:val="0000FF"/>
              </w:rPr>
              <w:t>100支/盒</w:t>
            </w: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10</w:t>
            </w:r>
          </w:p>
        </w:tc>
        <w:tc>
          <w:tcPr>
            <w:tcW w:w="1312" w:type="dxa"/>
            <w:tcBorders>
              <w:tl2br w:val="nil"/>
              <w:tr2bl w:val="nil"/>
            </w:tcBorders>
            <w:vAlign w:val="center"/>
          </w:tcPr>
          <w:p>
            <w:pPr>
              <w:pStyle w:val="22"/>
              <w:bidi w:val="0"/>
              <w:jc w:val="center"/>
              <w:rPr>
                <w:color w:val="0000FF"/>
              </w:rPr>
            </w:pPr>
            <w:r>
              <w:rPr>
                <w:color w:val="0000FF"/>
              </w:rPr>
              <w:t>乳胶手套</w:t>
            </w:r>
          </w:p>
        </w:tc>
        <w:tc>
          <w:tcPr>
            <w:tcW w:w="1275" w:type="dxa"/>
            <w:tcBorders>
              <w:tl2br w:val="nil"/>
              <w:tr2bl w:val="nil"/>
            </w:tcBorders>
            <w:vAlign w:val="center"/>
          </w:tcPr>
          <w:p>
            <w:pPr>
              <w:pStyle w:val="22"/>
              <w:bidi w:val="0"/>
              <w:jc w:val="center"/>
              <w:rPr>
                <w:color w:val="0000FF"/>
              </w:rPr>
            </w:pPr>
            <w:r>
              <w:rPr>
                <w:color w:val="0000FF"/>
              </w:rPr>
              <w:t>支</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100</w:t>
            </w:r>
          </w:p>
        </w:tc>
        <w:tc>
          <w:tcPr>
            <w:tcW w:w="1450" w:type="dxa"/>
            <w:tcBorders>
              <w:tl2br w:val="nil"/>
              <w:tr2bl w:val="nil"/>
            </w:tcBorders>
            <w:vAlign w:val="center"/>
          </w:tcPr>
          <w:p>
            <w:pPr>
              <w:pStyle w:val="22"/>
              <w:bidi w:val="0"/>
              <w:jc w:val="center"/>
              <w:rPr>
                <w:color w:val="0000FF"/>
              </w:rPr>
            </w:pPr>
            <w:r>
              <w:rPr>
                <w:color w:val="0000FF"/>
              </w:rPr>
              <w:t>100支/盒</w:t>
            </w: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7"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11</w:t>
            </w:r>
          </w:p>
        </w:tc>
        <w:tc>
          <w:tcPr>
            <w:tcW w:w="1312" w:type="dxa"/>
            <w:tcBorders>
              <w:tl2br w:val="nil"/>
              <w:tr2bl w:val="nil"/>
            </w:tcBorders>
            <w:vAlign w:val="center"/>
          </w:tcPr>
          <w:p>
            <w:pPr>
              <w:pStyle w:val="22"/>
              <w:bidi w:val="0"/>
              <w:jc w:val="center"/>
              <w:rPr>
                <w:color w:val="0000FF"/>
              </w:rPr>
            </w:pPr>
            <w:r>
              <w:rPr>
                <w:color w:val="0000FF"/>
              </w:rPr>
              <w:t>防护服</w:t>
            </w:r>
          </w:p>
        </w:tc>
        <w:tc>
          <w:tcPr>
            <w:tcW w:w="1275" w:type="dxa"/>
            <w:tcBorders>
              <w:tl2br w:val="nil"/>
              <w:tr2bl w:val="nil"/>
            </w:tcBorders>
            <w:vAlign w:val="center"/>
          </w:tcPr>
          <w:p>
            <w:pPr>
              <w:pStyle w:val="22"/>
              <w:bidi w:val="0"/>
              <w:jc w:val="center"/>
              <w:rPr>
                <w:color w:val="0000FF"/>
              </w:rPr>
            </w:pPr>
            <w:r>
              <w:rPr>
                <w:color w:val="0000FF"/>
              </w:rPr>
              <w:t>套</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500</w:t>
            </w:r>
          </w:p>
        </w:tc>
        <w:tc>
          <w:tcPr>
            <w:tcW w:w="1450" w:type="dxa"/>
            <w:tcBorders>
              <w:tl2br w:val="nil"/>
              <w:tr2bl w:val="nil"/>
            </w:tcBorders>
            <w:vAlign w:val="center"/>
          </w:tcPr>
          <w:p>
            <w:pPr>
              <w:pStyle w:val="22"/>
              <w:bidi w:val="0"/>
              <w:jc w:val="center"/>
              <w:rPr>
                <w:color w:val="0000FF"/>
              </w:rPr>
            </w:pPr>
            <w:r>
              <w:rPr>
                <w:color w:val="0000FF"/>
              </w:rPr>
              <w:t>/</w:t>
            </w: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46" w:type="dxa"/>
            <w:vMerge w:val="restart"/>
            <w:tcBorders>
              <w:tl2br w:val="nil"/>
              <w:tr2bl w:val="nil"/>
            </w:tcBorders>
            <w:vAlign w:val="center"/>
          </w:tcPr>
          <w:p>
            <w:pPr>
              <w:pStyle w:val="22"/>
              <w:bidi w:val="0"/>
              <w:jc w:val="center"/>
              <w:rPr>
                <w:color w:val="0000FF"/>
              </w:rPr>
            </w:pPr>
            <w:r>
              <w:rPr>
                <w:color w:val="0000FF"/>
              </w:rPr>
              <w:t>药剂</w:t>
            </w: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12</w:t>
            </w:r>
          </w:p>
        </w:tc>
        <w:tc>
          <w:tcPr>
            <w:tcW w:w="1312" w:type="dxa"/>
            <w:tcBorders>
              <w:tl2br w:val="nil"/>
              <w:tr2bl w:val="nil"/>
            </w:tcBorders>
            <w:vAlign w:val="center"/>
          </w:tcPr>
          <w:p>
            <w:pPr>
              <w:pStyle w:val="22"/>
              <w:bidi w:val="0"/>
              <w:jc w:val="center"/>
              <w:rPr>
                <w:color w:val="0000FF"/>
              </w:rPr>
            </w:pPr>
            <w:r>
              <w:rPr>
                <w:color w:val="0000FF"/>
              </w:rPr>
              <w:t>酒精</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20</w:t>
            </w:r>
          </w:p>
        </w:tc>
        <w:tc>
          <w:tcPr>
            <w:tcW w:w="1450" w:type="dxa"/>
            <w:tcBorders>
              <w:tl2br w:val="nil"/>
              <w:tr2bl w:val="nil"/>
            </w:tcBorders>
            <w:vAlign w:val="center"/>
          </w:tcPr>
          <w:p>
            <w:pPr>
              <w:pStyle w:val="22"/>
              <w:bidi w:val="0"/>
              <w:jc w:val="center"/>
              <w:rPr>
                <w:color w:val="0000FF"/>
              </w:rPr>
            </w:pPr>
            <w:r>
              <w:rPr>
                <w:color w:val="0000FF"/>
              </w:rPr>
              <w:t>500mL/瓶，液体</w:t>
            </w:r>
          </w:p>
        </w:tc>
        <w:tc>
          <w:tcPr>
            <w:tcW w:w="1160" w:type="dxa"/>
            <w:tcBorders>
              <w:tl2br w:val="nil"/>
              <w:tr2bl w:val="nil"/>
            </w:tcBorders>
            <w:vAlign w:val="center"/>
          </w:tcPr>
          <w:p>
            <w:pPr>
              <w:pStyle w:val="22"/>
              <w:bidi w:val="0"/>
              <w:jc w:val="center"/>
              <w:rPr>
                <w:color w:val="0000FF"/>
              </w:rPr>
            </w:pPr>
            <w:r>
              <w:rPr>
                <w:rFonts w:hint="eastAsia"/>
                <w:color w:val="0000FF"/>
                <w:lang w:val="en-US" w:eastAsia="zh-CN"/>
              </w:rPr>
              <w:t>20</w:t>
            </w:r>
            <w:r>
              <w:rPr>
                <w:color w:val="0000FF"/>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eastAsia" w:eastAsia="宋体"/>
                <w:color w:val="0000FF"/>
                <w:lang w:eastAsia="zh-CN"/>
              </w:rPr>
            </w:pPr>
            <w:r>
              <w:rPr>
                <w:color w:val="0000FF"/>
              </w:rPr>
              <w:t>1</w:t>
            </w:r>
            <w:r>
              <w:rPr>
                <w:rFonts w:hint="eastAsia"/>
                <w:color w:val="0000FF"/>
                <w:lang w:val="en-US" w:eastAsia="zh-CN"/>
              </w:rPr>
              <w:t>2</w:t>
            </w:r>
          </w:p>
        </w:tc>
        <w:tc>
          <w:tcPr>
            <w:tcW w:w="1312" w:type="dxa"/>
            <w:tcBorders>
              <w:tl2br w:val="nil"/>
              <w:tr2bl w:val="nil"/>
            </w:tcBorders>
            <w:vAlign w:val="center"/>
          </w:tcPr>
          <w:p>
            <w:pPr>
              <w:pStyle w:val="22"/>
              <w:bidi w:val="0"/>
              <w:jc w:val="center"/>
              <w:rPr>
                <w:color w:val="0000FF"/>
              </w:rPr>
            </w:pPr>
            <w:r>
              <w:rPr>
                <w:color w:val="0000FF"/>
              </w:rPr>
              <w:t>乙醚</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5</w:t>
            </w:r>
          </w:p>
        </w:tc>
        <w:tc>
          <w:tcPr>
            <w:tcW w:w="1450" w:type="dxa"/>
            <w:tcBorders>
              <w:tl2br w:val="nil"/>
              <w:tr2bl w:val="nil"/>
            </w:tcBorders>
            <w:vAlign w:val="center"/>
          </w:tcPr>
          <w:p>
            <w:pPr>
              <w:pStyle w:val="22"/>
              <w:bidi w:val="0"/>
              <w:jc w:val="center"/>
              <w:rPr>
                <w:color w:val="0000FF"/>
              </w:rPr>
            </w:pPr>
            <w:r>
              <w:rPr>
                <w:color w:val="0000FF"/>
              </w:rPr>
              <w:t>500mL/瓶，液体</w:t>
            </w:r>
          </w:p>
        </w:tc>
        <w:tc>
          <w:tcPr>
            <w:tcW w:w="1160" w:type="dxa"/>
            <w:tcBorders>
              <w:tl2br w:val="nil"/>
              <w:tr2bl w:val="nil"/>
            </w:tcBorders>
            <w:vAlign w:val="center"/>
          </w:tcPr>
          <w:p>
            <w:pPr>
              <w:pStyle w:val="22"/>
              <w:bidi w:val="0"/>
              <w:jc w:val="center"/>
              <w:rPr>
                <w:color w:val="0000FF"/>
              </w:rPr>
            </w:pPr>
            <w:r>
              <w:rPr>
                <w:rFonts w:hint="eastAsia"/>
                <w:color w:val="0000FF"/>
                <w:lang w:val="en-US" w:eastAsia="zh-CN"/>
              </w:rPr>
              <w:t>5</w:t>
            </w:r>
            <w:r>
              <w:rPr>
                <w:color w:val="0000FF"/>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eastAsia" w:eastAsia="宋体"/>
                <w:color w:val="0000FF"/>
                <w:lang w:eastAsia="zh-CN"/>
              </w:rPr>
            </w:pPr>
            <w:r>
              <w:rPr>
                <w:color w:val="0000FF"/>
              </w:rPr>
              <w:t>1</w:t>
            </w:r>
            <w:r>
              <w:rPr>
                <w:rFonts w:hint="eastAsia"/>
                <w:color w:val="0000FF"/>
                <w:lang w:val="en-US" w:eastAsia="zh-CN"/>
              </w:rPr>
              <w:t>4</w:t>
            </w:r>
          </w:p>
        </w:tc>
        <w:tc>
          <w:tcPr>
            <w:tcW w:w="1312" w:type="dxa"/>
            <w:tcBorders>
              <w:tl2br w:val="nil"/>
              <w:tr2bl w:val="nil"/>
            </w:tcBorders>
            <w:vAlign w:val="center"/>
          </w:tcPr>
          <w:p>
            <w:pPr>
              <w:pStyle w:val="22"/>
              <w:bidi w:val="0"/>
              <w:jc w:val="center"/>
              <w:rPr>
                <w:color w:val="0000FF"/>
              </w:rPr>
            </w:pPr>
            <w:r>
              <w:rPr>
                <w:color w:val="0000FF"/>
              </w:rPr>
              <w:t>三氯甲烷</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w:t>
            </w:r>
          </w:p>
        </w:tc>
        <w:tc>
          <w:tcPr>
            <w:tcW w:w="1450" w:type="dxa"/>
            <w:tcBorders>
              <w:tl2br w:val="nil"/>
              <w:tr2bl w:val="nil"/>
            </w:tcBorders>
            <w:vAlign w:val="center"/>
          </w:tcPr>
          <w:p>
            <w:pPr>
              <w:pStyle w:val="22"/>
              <w:bidi w:val="0"/>
              <w:jc w:val="center"/>
              <w:rPr>
                <w:color w:val="0000FF"/>
              </w:rPr>
            </w:pPr>
            <w:r>
              <w:rPr>
                <w:color w:val="0000FF"/>
              </w:rPr>
              <w:t>500mL/瓶，液体</w:t>
            </w:r>
          </w:p>
        </w:tc>
        <w:tc>
          <w:tcPr>
            <w:tcW w:w="1160" w:type="dxa"/>
            <w:tcBorders>
              <w:tl2br w:val="nil"/>
              <w:tr2bl w:val="nil"/>
            </w:tcBorders>
            <w:vAlign w:val="center"/>
          </w:tcPr>
          <w:p>
            <w:pPr>
              <w:pStyle w:val="22"/>
              <w:bidi w:val="0"/>
              <w:jc w:val="center"/>
              <w:rPr>
                <w:color w:val="0000FF"/>
              </w:rPr>
            </w:pPr>
            <w:r>
              <w:rPr>
                <w:rFonts w:hint="eastAsia"/>
                <w:color w:val="0000FF"/>
                <w:lang w:val="en-US" w:eastAsia="zh-CN"/>
              </w:rPr>
              <w:t>1</w:t>
            </w:r>
            <w:r>
              <w:rPr>
                <w:color w:val="0000FF"/>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eastAsia" w:eastAsia="宋体"/>
                <w:color w:val="0000FF"/>
                <w:lang w:eastAsia="zh-CN"/>
              </w:rPr>
            </w:pPr>
            <w:r>
              <w:rPr>
                <w:color w:val="0000FF"/>
              </w:rPr>
              <w:t>1</w:t>
            </w:r>
            <w:r>
              <w:rPr>
                <w:rFonts w:hint="eastAsia"/>
                <w:color w:val="0000FF"/>
                <w:lang w:val="en-US" w:eastAsia="zh-CN"/>
              </w:rPr>
              <w:t>5</w:t>
            </w:r>
          </w:p>
        </w:tc>
        <w:tc>
          <w:tcPr>
            <w:tcW w:w="1312" w:type="dxa"/>
            <w:tcBorders>
              <w:tl2br w:val="nil"/>
              <w:tr2bl w:val="nil"/>
            </w:tcBorders>
            <w:vAlign w:val="center"/>
          </w:tcPr>
          <w:p>
            <w:pPr>
              <w:pStyle w:val="22"/>
              <w:bidi w:val="0"/>
              <w:jc w:val="center"/>
              <w:rPr>
                <w:color w:val="0000FF"/>
              </w:rPr>
            </w:pPr>
            <w:r>
              <w:rPr>
                <w:color w:val="0000FF"/>
              </w:rPr>
              <w:t>无水乙醇</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3</w:t>
            </w:r>
          </w:p>
        </w:tc>
        <w:tc>
          <w:tcPr>
            <w:tcW w:w="1450" w:type="dxa"/>
            <w:tcBorders>
              <w:tl2br w:val="nil"/>
              <w:tr2bl w:val="nil"/>
            </w:tcBorders>
            <w:vAlign w:val="center"/>
          </w:tcPr>
          <w:p>
            <w:pPr>
              <w:pStyle w:val="22"/>
              <w:bidi w:val="0"/>
              <w:jc w:val="center"/>
              <w:rPr>
                <w:color w:val="0000FF"/>
              </w:rPr>
            </w:pPr>
            <w:r>
              <w:rPr>
                <w:color w:val="0000FF"/>
              </w:rPr>
              <w:t>500mL/瓶，液体</w:t>
            </w:r>
          </w:p>
        </w:tc>
        <w:tc>
          <w:tcPr>
            <w:tcW w:w="116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eastAsia" w:eastAsia="宋体"/>
                <w:color w:val="0000FF"/>
                <w:lang w:eastAsia="zh-CN"/>
              </w:rPr>
            </w:pPr>
            <w:r>
              <w:rPr>
                <w:color w:val="0000FF"/>
              </w:rPr>
              <w:t>1</w:t>
            </w:r>
            <w:r>
              <w:rPr>
                <w:rFonts w:hint="eastAsia"/>
                <w:color w:val="0000FF"/>
                <w:lang w:val="en-US" w:eastAsia="zh-CN"/>
              </w:rPr>
              <w:t>6</w:t>
            </w:r>
          </w:p>
        </w:tc>
        <w:tc>
          <w:tcPr>
            <w:tcW w:w="1312" w:type="dxa"/>
            <w:tcBorders>
              <w:tl2br w:val="nil"/>
              <w:tr2bl w:val="nil"/>
            </w:tcBorders>
            <w:vAlign w:val="center"/>
          </w:tcPr>
          <w:p>
            <w:pPr>
              <w:pStyle w:val="22"/>
              <w:bidi w:val="0"/>
              <w:jc w:val="center"/>
              <w:rPr>
                <w:color w:val="0000FF"/>
              </w:rPr>
            </w:pPr>
            <w:r>
              <w:rPr>
                <w:color w:val="0000FF"/>
              </w:rPr>
              <w:t>异丙醇</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2</w:t>
            </w:r>
          </w:p>
        </w:tc>
        <w:tc>
          <w:tcPr>
            <w:tcW w:w="1450" w:type="dxa"/>
            <w:tcBorders>
              <w:tl2br w:val="nil"/>
              <w:tr2bl w:val="nil"/>
            </w:tcBorders>
            <w:vAlign w:val="center"/>
          </w:tcPr>
          <w:p>
            <w:pPr>
              <w:pStyle w:val="22"/>
              <w:bidi w:val="0"/>
              <w:jc w:val="center"/>
              <w:rPr>
                <w:color w:val="0000FF"/>
              </w:rPr>
            </w:pPr>
            <w:r>
              <w:rPr>
                <w:color w:val="0000FF"/>
              </w:rPr>
              <w:t>500mL/瓶，液体</w:t>
            </w:r>
          </w:p>
        </w:tc>
        <w:tc>
          <w:tcPr>
            <w:tcW w:w="1160" w:type="dxa"/>
            <w:tcBorders>
              <w:tl2br w:val="nil"/>
              <w:tr2bl w:val="nil"/>
            </w:tcBorders>
            <w:vAlign w:val="center"/>
          </w:tcPr>
          <w:p>
            <w:pPr>
              <w:pStyle w:val="22"/>
              <w:bidi w:val="0"/>
              <w:jc w:val="center"/>
              <w:rPr>
                <w:color w:val="0000FF"/>
              </w:rPr>
            </w:pPr>
            <w:r>
              <w:rPr>
                <w:rFonts w:hint="eastAsia"/>
                <w:color w:val="0000FF"/>
                <w:lang w:val="en-US" w:eastAsia="zh-CN"/>
              </w:rPr>
              <w:t>2</w:t>
            </w:r>
            <w:r>
              <w:rPr>
                <w:color w:val="0000FF"/>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17</w:t>
            </w:r>
          </w:p>
        </w:tc>
        <w:tc>
          <w:tcPr>
            <w:tcW w:w="1312" w:type="dxa"/>
            <w:tcBorders>
              <w:tl2br w:val="nil"/>
              <w:tr2bl w:val="nil"/>
            </w:tcBorders>
            <w:vAlign w:val="center"/>
          </w:tcPr>
          <w:p>
            <w:pPr>
              <w:pStyle w:val="22"/>
              <w:bidi w:val="0"/>
              <w:jc w:val="center"/>
              <w:rPr>
                <w:color w:val="0000FF"/>
              </w:rPr>
            </w:pPr>
            <w:r>
              <w:rPr>
                <w:rFonts w:ascii="宋体" w:hAnsi="宋体" w:eastAsia="宋体" w:cs="宋体"/>
                <w:color w:val="0000FF"/>
                <w:spacing w:val="-6"/>
                <w:sz w:val="21"/>
                <w:szCs w:val="21"/>
              </w:rPr>
              <w:t>盐酸</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eastAsia" w:eastAsia="宋体"/>
                <w:color w:val="0000FF"/>
                <w:lang w:val="en-US" w:eastAsia="zh-CN"/>
              </w:rPr>
            </w:pPr>
            <w:r>
              <w:rPr>
                <w:rFonts w:hint="eastAsia"/>
                <w:color w:val="0000FF"/>
                <w:lang w:val="en-US" w:eastAsia="zh-CN"/>
              </w:rPr>
              <w:t>3</w:t>
            </w:r>
          </w:p>
        </w:tc>
        <w:tc>
          <w:tcPr>
            <w:tcW w:w="1450" w:type="dxa"/>
            <w:tcBorders>
              <w:tl2br w:val="nil"/>
              <w:tr2bl w:val="nil"/>
            </w:tcBorders>
            <w:vAlign w:val="center"/>
          </w:tcPr>
          <w:p>
            <w:pPr>
              <w:pStyle w:val="22"/>
              <w:bidi w:val="0"/>
              <w:jc w:val="center"/>
              <w:rPr>
                <w:color w:val="0000FF"/>
              </w:rPr>
            </w:pPr>
            <w:r>
              <w:rPr>
                <w:rFonts w:hint="eastAsia"/>
                <w:color w:val="0000FF"/>
                <w:lang w:val="en-US" w:eastAsia="zh-CN"/>
              </w:rPr>
              <w:t>200</w:t>
            </w:r>
            <w:r>
              <w:rPr>
                <w:color w:val="0000FF"/>
              </w:rPr>
              <w:t>mL/瓶，液体</w:t>
            </w:r>
          </w:p>
        </w:tc>
        <w:tc>
          <w:tcPr>
            <w:tcW w:w="1160" w:type="dxa"/>
            <w:tcBorders>
              <w:tl2br w:val="nil"/>
              <w:tr2bl w:val="nil"/>
            </w:tcBorders>
            <w:vAlign w:val="center"/>
          </w:tcPr>
          <w:p>
            <w:pPr>
              <w:pStyle w:val="22"/>
              <w:bidi w:val="0"/>
              <w:jc w:val="center"/>
              <w:rPr>
                <w:rFonts w:hint="eastAsia" w:eastAsia="宋体"/>
                <w:color w:val="0000FF"/>
                <w:lang w:val="en-US" w:eastAsia="zh-CN"/>
              </w:rPr>
            </w:pPr>
            <w:r>
              <w:rPr>
                <w:rFonts w:hint="eastAsia"/>
                <w:color w:val="0000FF"/>
                <w:lang w:val="en-US" w:eastAsia="zh-CN"/>
              </w:rPr>
              <w:t>3</w:t>
            </w:r>
            <w:r>
              <w:rPr>
                <w:color w:val="0000FF"/>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18</w:t>
            </w:r>
          </w:p>
        </w:tc>
        <w:tc>
          <w:tcPr>
            <w:tcW w:w="1312" w:type="dxa"/>
            <w:tcBorders>
              <w:tl2br w:val="nil"/>
              <w:tr2bl w:val="nil"/>
            </w:tcBorders>
            <w:vAlign w:val="center"/>
          </w:tcPr>
          <w:p>
            <w:pPr>
              <w:pStyle w:val="22"/>
              <w:bidi w:val="0"/>
              <w:jc w:val="center"/>
              <w:rPr>
                <w:color w:val="0000FF"/>
              </w:rPr>
            </w:pPr>
            <w:r>
              <w:rPr>
                <w:rFonts w:ascii="宋体" w:hAnsi="宋体" w:eastAsia="宋体" w:cs="宋体"/>
                <w:color w:val="0000FF"/>
                <w:spacing w:val="-6"/>
                <w:sz w:val="21"/>
                <w:szCs w:val="21"/>
              </w:rPr>
              <w:t>硝酸</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4</w:t>
            </w:r>
          </w:p>
        </w:tc>
        <w:tc>
          <w:tcPr>
            <w:tcW w:w="1450" w:type="dxa"/>
            <w:tcBorders>
              <w:tl2br w:val="nil"/>
              <w:tr2bl w:val="nil"/>
            </w:tcBorders>
            <w:vAlign w:val="center"/>
          </w:tcPr>
          <w:p>
            <w:pPr>
              <w:pStyle w:val="22"/>
              <w:bidi w:val="0"/>
              <w:jc w:val="center"/>
              <w:rPr>
                <w:color w:val="0000FF"/>
              </w:rPr>
            </w:pPr>
            <w:r>
              <w:rPr>
                <w:rFonts w:hint="eastAsia"/>
                <w:color w:val="0000FF"/>
                <w:lang w:val="en-US" w:eastAsia="zh-CN"/>
              </w:rPr>
              <w:t>500</w:t>
            </w:r>
            <w:r>
              <w:rPr>
                <w:color w:val="0000FF"/>
              </w:rPr>
              <w:t>mL/瓶，液体</w:t>
            </w:r>
          </w:p>
        </w:tc>
        <w:tc>
          <w:tcPr>
            <w:tcW w:w="1160" w:type="dxa"/>
            <w:tcBorders>
              <w:tl2br w:val="nil"/>
              <w:tr2bl w:val="nil"/>
            </w:tcBorders>
            <w:vAlign w:val="center"/>
          </w:tcPr>
          <w:p>
            <w:pPr>
              <w:pStyle w:val="22"/>
              <w:bidi w:val="0"/>
              <w:jc w:val="center"/>
              <w:rPr>
                <w:rFonts w:hint="eastAsia" w:eastAsia="宋体"/>
                <w:color w:val="0000FF"/>
                <w:lang w:val="en-US" w:eastAsia="zh-CN"/>
              </w:rPr>
            </w:pPr>
            <w:r>
              <w:rPr>
                <w:rFonts w:hint="eastAsia"/>
                <w:color w:val="0000FF"/>
                <w:lang w:val="en-US" w:eastAsia="zh-CN"/>
              </w:rPr>
              <w:t>4</w:t>
            </w:r>
            <w:r>
              <w:rPr>
                <w:color w:val="0000FF"/>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19</w:t>
            </w:r>
          </w:p>
        </w:tc>
        <w:tc>
          <w:tcPr>
            <w:tcW w:w="1312" w:type="dxa"/>
            <w:tcBorders>
              <w:tl2br w:val="nil"/>
              <w:tr2bl w:val="nil"/>
            </w:tcBorders>
            <w:vAlign w:val="center"/>
          </w:tcPr>
          <w:p>
            <w:pPr>
              <w:pStyle w:val="22"/>
              <w:bidi w:val="0"/>
              <w:jc w:val="center"/>
              <w:rPr>
                <w:rFonts w:ascii="宋体" w:hAnsi="宋体" w:eastAsia="宋体" w:cs="宋体"/>
                <w:color w:val="0000FF"/>
                <w:spacing w:val="-6"/>
                <w:sz w:val="21"/>
                <w:szCs w:val="21"/>
              </w:rPr>
            </w:pPr>
            <w:r>
              <w:rPr>
                <w:rFonts w:ascii="宋体" w:hAnsi="宋体" w:eastAsia="宋体" w:cs="宋体"/>
                <w:color w:val="0000FF"/>
                <w:spacing w:val="-5"/>
                <w:sz w:val="21"/>
                <w:szCs w:val="21"/>
              </w:rPr>
              <w:t>硫酸</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eastAsia" w:eastAsia="宋体"/>
                <w:color w:val="0000FF"/>
                <w:lang w:val="en-US" w:eastAsia="zh-CN"/>
              </w:rPr>
            </w:pPr>
            <w:r>
              <w:rPr>
                <w:rFonts w:hint="eastAsia"/>
                <w:color w:val="0000FF"/>
                <w:lang w:val="en-US" w:eastAsia="zh-CN"/>
              </w:rPr>
              <w:t>2</w:t>
            </w:r>
          </w:p>
        </w:tc>
        <w:tc>
          <w:tcPr>
            <w:tcW w:w="1450" w:type="dxa"/>
            <w:tcBorders>
              <w:tl2br w:val="nil"/>
              <w:tr2bl w:val="nil"/>
            </w:tcBorders>
            <w:vAlign w:val="center"/>
          </w:tcPr>
          <w:p>
            <w:pPr>
              <w:pStyle w:val="22"/>
              <w:bidi w:val="0"/>
              <w:jc w:val="center"/>
              <w:rPr>
                <w:color w:val="0000FF"/>
              </w:rPr>
            </w:pPr>
            <w:r>
              <w:rPr>
                <w:rFonts w:hint="eastAsia"/>
                <w:color w:val="0000FF"/>
                <w:lang w:val="en-US" w:eastAsia="zh-CN"/>
              </w:rPr>
              <w:t>100</w:t>
            </w:r>
            <w:r>
              <w:rPr>
                <w:color w:val="0000FF"/>
              </w:rPr>
              <w:t>mL/瓶，液体</w:t>
            </w:r>
          </w:p>
        </w:tc>
        <w:tc>
          <w:tcPr>
            <w:tcW w:w="1160" w:type="dxa"/>
            <w:tcBorders>
              <w:tl2br w:val="nil"/>
              <w:tr2bl w:val="nil"/>
            </w:tcBorders>
            <w:vAlign w:val="center"/>
          </w:tcPr>
          <w:p>
            <w:pPr>
              <w:pStyle w:val="22"/>
              <w:bidi w:val="0"/>
              <w:jc w:val="center"/>
              <w:rPr>
                <w:rFonts w:hint="eastAsia" w:eastAsia="宋体"/>
                <w:color w:val="0000FF"/>
                <w:lang w:val="en-US" w:eastAsia="zh-CN"/>
              </w:rPr>
            </w:pPr>
            <w:r>
              <w:rPr>
                <w:rFonts w:hint="eastAsia"/>
                <w:color w:val="0000FF"/>
                <w:lang w:val="en-US" w:eastAsia="zh-CN"/>
              </w:rPr>
              <w:t>2</w:t>
            </w:r>
            <w:r>
              <w:rPr>
                <w:color w:val="0000FF"/>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restart"/>
            <w:tcBorders>
              <w:tl2br w:val="nil"/>
              <w:tr2bl w:val="nil"/>
            </w:tcBorders>
            <w:vAlign w:val="center"/>
          </w:tcPr>
          <w:p>
            <w:pPr>
              <w:pStyle w:val="22"/>
              <w:bidi w:val="0"/>
              <w:jc w:val="center"/>
              <w:rPr>
                <w:color w:val="0000FF"/>
              </w:rPr>
            </w:pPr>
            <w:r>
              <w:rPr>
                <w:color w:val="0000FF"/>
              </w:rPr>
              <w:t>消毒剂</w:t>
            </w: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20</w:t>
            </w:r>
          </w:p>
        </w:tc>
        <w:tc>
          <w:tcPr>
            <w:tcW w:w="1312" w:type="dxa"/>
            <w:tcBorders>
              <w:tl2br w:val="nil"/>
              <w:tr2bl w:val="nil"/>
            </w:tcBorders>
            <w:vAlign w:val="center"/>
          </w:tcPr>
          <w:p>
            <w:pPr>
              <w:pStyle w:val="22"/>
              <w:bidi w:val="0"/>
              <w:jc w:val="center"/>
              <w:rPr>
                <w:color w:val="0000FF"/>
              </w:rPr>
            </w:pPr>
            <w:r>
              <w:rPr>
                <w:color w:val="0000FF"/>
              </w:rPr>
              <w:t>84消毒液</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20</w:t>
            </w:r>
          </w:p>
        </w:tc>
        <w:tc>
          <w:tcPr>
            <w:tcW w:w="1450" w:type="dxa"/>
            <w:tcBorders>
              <w:tl2br w:val="nil"/>
              <w:tr2bl w:val="nil"/>
            </w:tcBorders>
            <w:vAlign w:val="center"/>
          </w:tcPr>
          <w:p>
            <w:pPr>
              <w:pStyle w:val="22"/>
              <w:bidi w:val="0"/>
              <w:jc w:val="center"/>
              <w:rPr>
                <w:color w:val="0000FF"/>
              </w:rPr>
            </w:pPr>
            <w:r>
              <w:rPr>
                <w:color w:val="0000FF"/>
              </w:rPr>
              <w:t>470mL/瓶，液体</w:t>
            </w:r>
          </w:p>
        </w:tc>
        <w:tc>
          <w:tcPr>
            <w:tcW w:w="1160" w:type="dxa"/>
            <w:tcBorders>
              <w:tl2br w:val="nil"/>
              <w:tr2bl w:val="nil"/>
            </w:tcBorders>
            <w:vAlign w:val="center"/>
          </w:tcPr>
          <w:p>
            <w:pPr>
              <w:pStyle w:val="22"/>
              <w:bidi w:val="0"/>
              <w:jc w:val="center"/>
              <w:rPr>
                <w:color w:val="0000FF"/>
              </w:rPr>
            </w:pPr>
            <w:r>
              <w:rPr>
                <w:rFonts w:hint="eastAsia"/>
                <w:color w:val="0000FF"/>
                <w:lang w:val="en-US" w:eastAsia="zh-CN"/>
              </w:rPr>
              <w:t>20</w:t>
            </w:r>
            <w:r>
              <w:rPr>
                <w:color w:val="0000FF"/>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21</w:t>
            </w:r>
          </w:p>
        </w:tc>
        <w:tc>
          <w:tcPr>
            <w:tcW w:w="1312" w:type="dxa"/>
            <w:tcBorders>
              <w:tl2br w:val="nil"/>
              <w:tr2bl w:val="nil"/>
            </w:tcBorders>
            <w:vAlign w:val="center"/>
          </w:tcPr>
          <w:p>
            <w:pPr>
              <w:pStyle w:val="22"/>
              <w:bidi w:val="0"/>
              <w:jc w:val="center"/>
              <w:rPr>
                <w:color w:val="0000FF"/>
              </w:rPr>
            </w:pPr>
            <w:r>
              <w:rPr>
                <w:color w:val="0000FF"/>
              </w:rPr>
              <w:t>消毒剂</w:t>
            </w:r>
          </w:p>
        </w:tc>
        <w:tc>
          <w:tcPr>
            <w:tcW w:w="1275" w:type="dxa"/>
            <w:tcBorders>
              <w:tl2br w:val="nil"/>
              <w:tr2bl w:val="nil"/>
            </w:tcBorders>
            <w:vAlign w:val="center"/>
          </w:tcPr>
          <w:p>
            <w:pPr>
              <w:pStyle w:val="22"/>
              <w:bidi w:val="0"/>
              <w:jc w:val="center"/>
              <w:rPr>
                <w:color w:val="0000FF"/>
              </w:rPr>
            </w:pPr>
            <w:r>
              <w:rPr>
                <w:color w:val="0000FF"/>
              </w:rPr>
              <w:t>支</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10</w:t>
            </w:r>
          </w:p>
        </w:tc>
        <w:tc>
          <w:tcPr>
            <w:tcW w:w="1450" w:type="dxa"/>
            <w:tcBorders>
              <w:tl2br w:val="nil"/>
              <w:tr2bl w:val="nil"/>
            </w:tcBorders>
            <w:vAlign w:val="center"/>
          </w:tcPr>
          <w:p>
            <w:pPr>
              <w:pStyle w:val="22"/>
              <w:bidi w:val="0"/>
              <w:jc w:val="center"/>
              <w:rPr>
                <w:color w:val="0000FF"/>
              </w:rPr>
            </w:pPr>
          </w:p>
        </w:tc>
        <w:tc>
          <w:tcPr>
            <w:tcW w:w="1160" w:type="dxa"/>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946" w:type="dxa"/>
            <w:vMerge w:val="continue"/>
            <w:tcBorders>
              <w:tl2br w:val="nil"/>
              <w:tr2bl w:val="nil"/>
            </w:tcBorders>
            <w:vAlign w:val="center"/>
          </w:tcPr>
          <w:p>
            <w:pPr>
              <w:pStyle w:val="22"/>
              <w:bidi w:val="0"/>
              <w:jc w:val="center"/>
              <w:rPr>
                <w:color w:val="0000FF"/>
              </w:rPr>
            </w:pPr>
          </w:p>
        </w:tc>
        <w:tc>
          <w:tcPr>
            <w:tcW w:w="115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22</w:t>
            </w:r>
          </w:p>
        </w:tc>
        <w:tc>
          <w:tcPr>
            <w:tcW w:w="1312" w:type="dxa"/>
            <w:tcBorders>
              <w:tl2br w:val="nil"/>
              <w:tr2bl w:val="nil"/>
            </w:tcBorders>
            <w:vAlign w:val="center"/>
          </w:tcPr>
          <w:p>
            <w:pPr>
              <w:pStyle w:val="22"/>
              <w:bidi w:val="0"/>
              <w:jc w:val="center"/>
              <w:rPr>
                <w:color w:val="0000FF"/>
              </w:rPr>
            </w:pPr>
            <w:r>
              <w:rPr>
                <w:color w:val="0000FF"/>
              </w:rPr>
              <w:t>手消毒液</w:t>
            </w:r>
          </w:p>
        </w:tc>
        <w:tc>
          <w:tcPr>
            <w:tcW w:w="1275" w:type="dxa"/>
            <w:tcBorders>
              <w:tl2br w:val="nil"/>
              <w:tr2bl w:val="nil"/>
            </w:tcBorders>
            <w:vAlign w:val="center"/>
          </w:tcPr>
          <w:p>
            <w:pPr>
              <w:pStyle w:val="22"/>
              <w:bidi w:val="0"/>
              <w:jc w:val="center"/>
              <w:rPr>
                <w:color w:val="0000FF"/>
              </w:rPr>
            </w:pPr>
            <w:r>
              <w:rPr>
                <w:color w:val="0000FF"/>
              </w:rPr>
              <w:t>瓶</w:t>
            </w:r>
          </w:p>
        </w:tc>
        <w:tc>
          <w:tcPr>
            <w:tcW w:w="1238"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20</w:t>
            </w:r>
          </w:p>
        </w:tc>
        <w:tc>
          <w:tcPr>
            <w:tcW w:w="1450" w:type="dxa"/>
            <w:tcBorders>
              <w:tl2br w:val="nil"/>
              <w:tr2bl w:val="nil"/>
            </w:tcBorders>
            <w:vAlign w:val="center"/>
          </w:tcPr>
          <w:p>
            <w:pPr>
              <w:pStyle w:val="22"/>
              <w:bidi w:val="0"/>
              <w:jc w:val="center"/>
              <w:rPr>
                <w:color w:val="0000FF"/>
              </w:rPr>
            </w:pPr>
            <w:r>
              <w:rPr>
                <w:color w:val="0000FF"/>
              </w:rPr>
              <w:t>500mL/瓶，液体</w:t>
            </w:r>
          </w:p>
        </w:tc>
        <w:tc>
          <w:tcPr>
            <w:tcW w:w="1160" w:type="dxa"/>
            <w:tcBorders>
              <w:tl2br w:val="nil"/>
              <w:tr2bl w:val="nil"/>
            </w:tcBorders>
            <w:vAlign w:val="center"/>
          </w:tcPr>
          <w:p>
            <w:pPr>
              <w:pStyle w:val="22"/>
              <w:bidi w:val="0"/>
              <w:jc w:val="center"/>
              <w:rPr>
                <w:color w:val="0000FF"/>
              </w:rPr>
            </w:pPr>
            <w:r>
              <w:rPr>
                <w:rFonts w:hint="eastAsia"/>
                <w:color w:val="0000FF"/>
                <w:lang w:val="en-US" w:eastAsia="zh-CN"/>
              </w:rPr>
              <w:t>20</w:t>
            </w:r>
            <w:r>
              <w:rPr>
                <w:color w:val="0000FF"/>
              </w:rPr>
              <w:t>瓶</w:t>
            </w:r>
          </w:p>
        </w:tc>
      </w:tr>
    </w:tbl>
    <w:p>
      <w:pPr>
        <w:pStyle w:val="6"/>
        <w:bidi w:val="0"/>
        <w:rPr>
          <w:rFonts w:hint="eastAsia"/>
          <w:color w:val="0000FF"/>
          <w:lang w:val="en-US" w:eastAsia="zh-CN"/>
        </w:rPr>
      </w:pPr>
      <w:bookmarkStart w:id="54" w:name="_Toc20539"/>
      <w:r>
        <w:rPr>
          <w:rFonts w:hint="eastAsia"/>
          <w:color w:val="0000FF"/>
          <w:lang w:val="en-US" w:eastAsia="zh-CN"/>
        </w:rPr>
        <w:t>3.1.4公用配套工程</w:t>
      </w:r>
      <w:bookmarkEnd w:id="54"/>
    </w:p>
    <w:p>
      <w:pPr>
        <w:bidi w:val="0"/>
        <w:rPr>
          <w:color w:val="0000FF"/>
        </w:rPr>
      </w:pPr>
      <w:r>
        <w:rPr>
          <w:color w:val="0000FF"/>
        </w:rPr>
        <w:t>（1）给水</w:t>
      </w:r>
    </w:p>
    <w:p>
      <w:pPr>
        <w:bidi w:val="0"/>
        <w:rPr>
          <w:color w:val="0000FF"/>
        </w:rPr>
      </w:pPr>
      <w:r>
        <w:rPr>
          <w:color w:val="0000FF"/>
        </w:rPr>
        <w:t>本项目用水主要为办公生活用水及实验室用水，由周边市政给水管网引入，室内给水管道选用PP-R管，室外给水管选用HDPE高密度聚乙烯塑料给水管，能够满足本项目用水需求。</w:t>
      </w:r>
    </w:p>
    <w:p>
      <w:pPr>
        <w:bidi w:val="0"/>
        <w:rPr>
          <w:color w:val="0000FF"/>
        </w:rPr>
      </w:pPr>
      <w:r>
        <w:rPr>
          <w:color w:val="0000FF"/>
        </w:rPr>
        <w:t>（2）排水</w:t>
      </w:r>
    </w:p>
    <w:p>
      <w:pPr>
        <w:bidi w:val="0"/>
        <w:rPr>
          <w:color w:val="0000FF"/>
        </w:rPr>
      </w:pPr>
      <w:r>
        <w:rPr>
          <w:color w:val="0000FF"/>
        </w:rPr>
        <w:t>本项目采用雨污分流制，雨水汇集后通过雨水管道排入市政雨水管网。生活污水进入化粪池进行处理，实验室废水进入自建污水站进行处理，经处理后的生活污水与实验室废水经总排口一同由市政污水管网排入</w:t>
      </w:r>
      <w:r>
        <w:rPr>
          <w:rFonts w:hint="eastAsia"/>
          <w:color w:val="0000FF"/>
          <w:lang w:val="en-US" w:eastAsia="zh-CN"/>
        </w:rPr>
        <w:t>225团</w:t>
      </w:r>
      <w:r>
        <w:rPr>
          <w:color w:val="0000FF"/>
        </w:rPr>
        <w:t>污水处理厂进一步处理。</w:t>
      </w:r>
    </w:p>
    <w:p>
      <w:pPr>
        <w:bidi w:val="0"/>
        <w:rPr>
          <w:color w:val="0000FF"/>
        </w:rPr>
      </w:pPr>
      <w:r>
        <w:rPr>
          <w:color w:val="0000FF"/>
        </w:rPr>
        <w:t>（3）供电</w:t>
      </w:r>
    </w:p>
    <w:p>
      <w:pPr>
        <w:bidi w:val="0"/>
        <w:rPr>
          <w:color w:val="0000FF"/>
        </w:rPr>
      </w:pPr>
      <w:r>
        <w:rPr>
          <w:color w:val="0000FF"/>
        </w:rPr>
        <w:t>225团现有水电站1座，装机容量1×50千瓦；柴油发电装机容量700千瓦。场内输变电线路自成体系，并与于田县供电局变电站联网，35千伏变电站距医疗保健约150米，容量2000千伏安，电源由疆南电力公司所属的于田10千伏变电所供电。</w:t>
      </w:r>
    </w:p>
    <w:p>
      <w:pPr>
        <w:bidi w:val="0"/>
        <w:rPr>
          <w:color w:val="0000FF"/>
        </w:rPr>
      </w:pPr>
      <w:r>
        <w:rPr>
          <w:color w:val="0000FF"/>
        </w:rPr>
        <w:t>（4）供热</w:t>
      </w:r>
    </w:p>
    <w:p>
      <w:pPr>
        <w:bidi w:val="0"/>
        <w:rPr>
          <w:color w:val="0000FF"/>
        </w:rPr>
      </w:pPr>
      <w:r>
        <w:rPr>
          <w:color w:val="0000FF"/>
        </w:rPr>
        <w:t>农场现已实现集中供热方式，供热管网呈树枝状直埋布设，供热锅炉位于场部医院东侧，总供热面积为16万平方米，现负荷只达到60%，完全</w:t>
      </w:r>
      <w:r>
        <w:rPr>
          <w:rFonts w:hint="eastAsia"/>
          <w:color w:val="0000FF"/>
          <w:lang w:eastAsia="zh-CN"/>
        </w:rPr>
        <w:t>可以</w:t>
      </w:r>
      <w:r>
        <w:rPr>
          <w:color w:val="0000FF"/>
        </w:rPr>
        <w:t>满足本项目采暖需要。本项目建设地点距最近的管网约200米。</w:t>
      </w:r>
    </w:p>
    <w:p>
      <w:pPr>
        <w:bidi w:val="0"/>
        <w:rPr>
          <w:color w:val="0000FF"/>
        </w:rPr>
      </w:pPr>
      <w:r>
        <w:rPr>
          <w:color w:val="0000FF"/>
        </w:rPr>
        <w:t>（5）室内通风系统</w:t>
      </w:r>
    </w:p>
    <w:p>
      <w:pPr>
        <w:bidi w:val="0"/>
        <w:rPr>
          <w:color w:val="0000FF"/>
        </w:rPr>
      </w:pPr>
      <w:r>
        <w:rPr>
          <w:color w:val="0000FF"/>
        </w:rPr>
        <w:t>a</w:t>
      </w:r>
      <w:r>
        <w:rPr>
          <w:rFonts w:hint="eastAsia"/>
          <w:color w:val="0000FF"/>
          <w:lang w:eastAsia="zh-CN"/>
        </w:rPr>
        <w:t>.</w:t>
      </w:r>
      <w:r>
        <w:rPr>
          <w:color w:val="0000FF"/>
        </w:rPr>
        <w:t>公共卫生间设排气扇强制排风，换气次数大于10次/h。</w:t>
      </w:r>
    </w:p>
    <w:p>
      <w:pPr>
        <w:bidi w:val="0"/>
        <w:rPr>
          <w:color w:val="0000FF"/>
        </w:rPr>
      </w:pPr>
      <w:r>
        <w:rPr>
          <w:color w:val="0000FF"/>
        </w:rPr>
        <w:t>b</w:t>
      </w:r>
      <w:r>
        <w:rPr>
          <w:rFonts w:hint="eastAsia"/>
          <w:color w:val="0000FF"/>
          <w:lang w:eastAsia="zh-CN"/>
        </w:rPr>
        <w:t>.</w:t>
      </w:r>
      <w:r>
        <w:rPr>
          <w:color w:val="0000FF"/>
        </w:rPr>
        <w:t>实验室设置独立的送排风系统，每层实验室都设有风井，排风机与送风机组联锁，排风先于送风开启、后于送风关闭。</w:t>
      </w:r>
    </w:p>
    <w:p>
      <w:pPr>
        <w:pStyle w:val="5"/>
        <w:bidi w:val="0"/>
        <w:rPr>
          <w:rFonts w:hint="eastAsia"/>
          <w:lang w:val="en-US" w:eastAsia="zh-CN"/>
        </w:rPr>
      </w:pPr>
      <w:bookmarkStart w:id="55" w:name="_Toc31923"/>
      <w:r>
        <w:rPr>
          <w:rFonts w:hint="eastAsia"/>
          <w:lang w:val="en-US" w:eastAsia="zh-CN"/>
        </w:rPr>
        <w:t>3.2工程分析</w:t>
      </w:r>
      <w:bookmarkEnd w:id="55"/>
    </w:p>
    <w:p>
      <w:pPr>
        <w:pStyle w:val="6"/>
        <w:bidi w:val="0"/>
        <w:rPr>
          <w:color w:val="0000FF"/>
        </w:rPr>
      </w:pPr>
      <w:bookmarkStart w:id="56" w:name="_Toc30098"/>
      <w:r>
        <w:rPr>
          <w:color w:val="0000FF"/>
        </w:rPr>
        <w:t>3.2.1施工期工艺流程及产物环节</w:t>
      </w:r>
      <w:bookmarkEnd w:id="56"/>
    </w:p>
    <w:p>
      <w:pPr>
        <w:bidi w:val="0"/>
        <w:rPr>
          <w:color w:val="0000FF"/>
        </w:rPr>
      </w:pPr>
      <w:r>
        <w:rPr>
          <w:color w:val="0000FF"/>
        </w:rPr>
        <w:t>项目工程施工期涉及基础工程、主体工程、装饰工程、安装工程、工程验收等工序，建设过程中将产生噪声、扬尘、废气、固体废弃物、施工废水和生活污水，其排放量随工期和施工强度不同而有所变化。其施工期间主要施工流程及污染物产生环节如图3.2-1。</w:t>
      </w:r>
    </w:p>
    <w:p>
      <w:pPr>
        <w:pStyle w:val="2"/>
        <w:rPr>
          <w:color w:val="0000FF"/>
        </w:rPr>
      </w:pPr>
      <w:r>
        <w:rPr>
          <w:color w:val="0000FF"/>
        </w:rPr>
        <w:drawing>
          <wp:inline distT="0" distB="0" distL="114300" distR="114300">
            <wp:extent cx="4839335" cy="2461260"/>
            <wp:effectExtent l="0" t="0" r="18415"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4839335" cy="2461260"/>
                    </a:xfrm>
                    <a:prstGeom prst="rect">
                      <a:avLst/>
                    </a:prstGeom>
                    <a:noFill/>
                    <a:ln>
                      <a:noFill/>
                    </a:ln>
                  </pic:spPr>
                </pic:pic>
              </a:graphicData>
            </a:graphic>
          </wp:inline>
        </w:drawing>
      </w:r>
    </w:p>
    <w:p>
      <w:pPr>
        <w:pStyle w:val="22"/>
        <w:bidi w:val="0"/>
        <w:rPr>
          <w:b/>
          <w:bCs/>
          <w:color w:val="0000FF"/>
        </w:rPr>
      </w:pPr>
      <w:r>
        <w:rPr>
          <w:b/>
          <w:bCs/>
          <w:color w:val="0000FF"/>
        </w:rPr>
        <w:t>图3.2-1项目施工期工艺流程及产污节点图</w:t>
      </w:r>
    </w:p>
    <w:p>
      <w:pPr>
        <w:pStyle w:val="6"/>
        <w:bidi w:val="0"/>
        <w:rPr>
          <w:color w:val="0000FF"/>
        </w:rPr>
      </w:pPr>
      <w:bookmarkStart w:id="57" w:name="_Toc26378"/>
      <w:r>
        <w:rPr>
          <w:color w:val="0000FF"/>
        </w:rPr>
        <w:t>3.2.2运营期工艺流程及产物环节</w:t>
      </w:r>
      <w:bookmarkEnd w:id="57"/>
    </w:p>
    <w:p>
      <w:pPr>
        <w:bidi w:val="0"/>
        <w:rPr>
          <w:rFonts w:hint="default"/>
          <w:color w:val="0000FF"/>
          <w:lang w:val="en-US" w:eastAsia="zh-CN"/>
        </w:rPr>
      </w:pPr>
      <w:r>
        <w:rPr>
          <w:color w:val="0000FF"/>
        </w:rPr>
        <w:t>本项目为疾控中心建设项目，项目运营后主要工艺流程图见图3.2-2。</w:t>
      </w:r>
    </w:p>
    <w:p>
      <w:pPr>
        <w:pStyle w:val="22"/>
        <w:bidi w:val="0"/>
        <w:rPr>
          <w:color w:val="0000FF"/>
        </w:rPr>
      </w:pPr>
      <w:r>
        <w:rPr>
          <w:color w:val="0000FF"/>
        </w:rPr>
        <w:drawing>
          <wp:inline distT="0" distB="0" distL="114300" distR="114300">
            <wp:extent cx="5260340" cy="2987675"/>
            <wp:effectExtent l="0" t="0" r="16510" b="3175"/>
            <wp:docPr id="11" name="图片 11"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命名文件(1)"/>
                    <pic:cNvPicPr>
                      <a:picLocks noChangeAspect="1"/>
                    </pic:cNvPicPr>
                  </pic:nvPicPr>
                  <pic:blipFill>
                    <a:blip r:embed="rId20"/>
                    <a:stretch>
                      <a:fillRect/>
                    </a:stretch>
                  </pic:blipFill>
                  <pic:spPr>
                    <a:xfrm>
                      <a:off x="0" y="0"/>
                      <a:ext cx="5260340" cy="2987675"/>
                    </a:xfrm>
                    <a:prstGeom prst="rect">
                      <a:avLst/>
                    </a:prstGeom>
                  </pic:spPr>
                </pic:pic>
              </a:graphicData>
            </a:graphic>
          </wp:inline>
        </w:drawing>
      </w:r>
      <w:r>
        <w:rPr>
          <w:b/>
          <w:bCs/>
          <w:color w:val="0000FF"/>
        </w:rPr>
        <w:t>图3.2-2主要工作流程及产污环节图</w:t>
      </w:r>
    </w:p>
    <w:p>
      <w:pPr>
        <w:bidi w:val="0"/>
        <w:rPr>
          <w:color w:val="0000FF"/>
        </w:rPr>
      </w:pPr>
      <w:r>
        <w:rPr>
          <w:rFonts w:hint="eastAsia"/>
          <w:color w:val="0000FF"/>
          <w:lang w:eastAsia="zh-CN"/>
        </w:rPr>
        <w:t>（</w:t>
      </w:r>
      <w:r>
        <w:rPr>
          <w:rFonts w:hint="eastAsia"/>
          <w:color w:val="0000FF"/>
          <w:lang w:val="en-US" w:eastAsia="zh-CN"/>
        </w:rPr>
        <w:t>1</w:t>
      </w:r>
      <w:r>
        <w:rPr>
          <w:rFonts w:hint="eastAsia"/>
          <w:color w:val="0000FF"/>
          <w:lang w:eastAsia="zh-CN"/>
        </w:rPr>
        <w:t>）</w:t>
      </w:r>
      <w:r>
        <w:rPr>
          <w:color w:val="0000FF"/>
        </w:rPr>
        <w:t>工艺流程说明：</w:t>
      </w:r>
    </w:p>
    <w:p>
      <w:pPr>
        <w:bidi w:val="0"/>
        <w:rPr>
          <w:color w:val="0000FF"/>
        </w:rPr>
      </w:pPr>
      <w:r>
        <w:rPr>
          <w:color w:val="0000FF"/>
        </w:rPr>
        <w:t>业务科室将采集的样品送至各相应实验室，实验室购置了各种微生物实验、理化试验设备，对各科室送检样品按规范进行检验。根据检验的流程可分为微生物实验、理化试验。微生物实验流程是将样品经相应的培养基培养后，采用仪器或快速诊断/鉴别试剂观察检测出细菌的种类及数量等指标，实验过程中会产生试剂挥发废气、废样品及仪器设备清洁废水；理化试验过程是将样品经相应的试剂消解培养后，再采用仪器或试剂观察检测出送检样品的理化性质指标，实验过程会产生试剂挥发废气、样品废液及仪器设备清洁废水。</w:t>
      </w:r>
    </w:p>
    <w:p>
      <w:pPr>
        <w:bidi w:val="0"/>
        <w:rPr>
          <w:color w:val="0000FF"/>
        </w:rPr>
      </w:pPr>
      <w:r>
        <w:rPr>
          <w:color w:val="0000FF"/>
        </w:rPr>
        <w:t>公共卫生科为儿童预防接种、从业人员健康检查，体检</w:t>
      </w:r>
      <w:r>
        <w:rPr>
          <w:rFonts w:hint="eastAsia"/>
          <w:color w:val="0000FF"/>
          <w:lang w:eastAsia="zh-CN"/>
        </w:rPr>
        <w:t>、</w:t>
      </w:r>
      <w:r>
        <w:rPr>
          <w:rFonts w:hint="eastAsia"/>
          <w:color w:val="0000FF"/>
          <w:lang w:val="en-US" w:eastAsia="zh-CN"/>
        </w:rPr>
        <w:t>接种</w:t>
      </w:r>
      <w:r>
        <w:rPr>
          <w:color w:val="0000FF"/>
        </w:rPr>
        <w:t>过程会产生一定量的医疗废物、药品及消杀剂包装物及体检人员的如厕废水。</w:t>
      </w:r>
    </w:p>
    <w:p>
      <w:pPr>
        <w:bidi w:val="0"/>
        <w:rPr>
          <w:rFonts w:hint="eastAsia"/>
          <w:color w:val="0000FF"/>
          <w:lang w:eastAsia="zh-CN"/>
        </w:rPr>
      </w:pPr>
      <w:r>
        <w:rPr>
          <w:rFonts w:hint="eastAsia"/>
          <w:color w:val="0000FF"/>
          <w:lang w:eastAsia="zh-CN"/>
        </w:rPr>
        <w:t>（</w:t>
      </w:r>
      <w:r>
        <w:rPr>
          <w:rFonts w:hint="eastAsia"/>
          <w:color w:val="0000FF"/>
          <w:lang w:val="en-US" w:eastAsia="zh-CN"/>
        </w:rPr>
        <w:t>2</w:t>
      </w:r>
      <w:r>
        <w:rPr>
          <w:rFonts w:hint="eastAsia"/>
          <w:color w:val="0000FF"/>
          <w:lang w:eastAsia="zh-CN"/>
        </w:rPr>
        <w:t>）</w:t>
      </w:r>
      <w:r>
        <w:rPr>
          <w:color w:val="0000FF"/>
        </w:rPr>
        <w:t>项目污染因素分析</w:t>
      </w:r>
    </w:p>
    <w:p>
      <w:pPr>
        <w:bidi w:val="0"/>
        <w:rPr>
          <w:color w:val="0000FF"/>
        </w:rPr>
      </w:pPr>
      <w:r>
        <w:rPr>
          <w:color w:val="0000FF"/>
        </w:rPr>
        <w:t>本项目污染因素分析见表3</w:t>
      </w:r>
      <w:r>
        <w:rPr>
          <w:rFonts w:hint="eastAsia"/>
          <w:color w:val="0000FF"/>
          <w:lang w:val="en-US" w:eastAsia="zh-CN"/>
        </w:rPr>
        <w:t>.2-1</w:t>
      </w:r>
      <w:r>
        <w:rPr>
          <w:color w:val="0000FF"/>
        </w:rPr>
        <w:t>。</w:t>
      </w:r>
    </w:p>
    <w:p>
      <w:pPr>
        <w:pStyle w:val="22"/>
        <w:bidi w:val="0"/>
        <w:rPr>
          <w:b/>
          <w:bCs/>
          <w:color w:val="0000FF"/>
        </w:rPr>
      </w:pPr>
      <w:r>
        <w:rPr>
          <w:b/>
          <w:bCs/>
          <w:color w:val="0000FF"/>
        </w:rPr>
        <w:t>表3</w:t>
      </w:r>
      <w:r>
        <w:rPr>
          <w:rFonts w:hint="eastAsia"/>
          <w:b/>
          <w:bCs/>
          <w:color w:val="0000FF"/>
          <w:lang w:val="en-US" w:eastAsia="zh-CN"/>
        </w:rPr>
        <w:t>.2-1</w:t>
      </w:r>
      <w:r>
        <w:rPr>
          <w:b/>
          <w:bCs/>
          <w:color w:val="0000FF"/>
        </w:rPr>
        <w:t>本项目污染因素分析一览表</w:t>
      </w:r>
    </w:p>
    <w:p>
      <w:pPr>
        <w:spacing w:line="35" w:lineRule="exact"/>
        <w:rPr>
          <w:color w:val="0000FF"/>
        </w:rPr>
      </w:pPr>
    </w:p>
    <w:tbl>
      <w:tblPr>
        <w:tblStyle w:val="23"/>
        <w:tblW w:w="85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4"/>
        <w:gridCol w:w="3111"/>
        <w:gridCol w:w="16"/>
        <w:gridCol w:w="4290"/>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 w:type="dxa"/>
          <w:trHeight w:val="320" w:hRule="atLeast"/>
          <w:jc w:val="center"/>
        </w:trPr>
        <w:tc>
          <w:tcPr>
            <w:tcW w:w="1105" w:type="dxa"/>
            <w:vAlign w:val="center"/>
          </w:tcPr>
          <w:p>
            <w:pPr>
              <w:pStyle w:val="22"/>
              <w:bidi w:val="0"/>
              <w:rPr>
                <w:color w:val="0000FF"/>
              </w:rPr>
            </w:pPr>
            <w:r>
              <w:rPr>
                <w:color w:val="0000FF"/>
              </w:rPr>
              <w:t>污染因素</w:t>
            </w:r>
          </w:p>
        </w:tc>
        <w:tc>
          <w:tcPr>
            <w:tcW w:w="3115" w:type="dxa"/>
            <w:gridSpan w:val="2"/>
            <w:vAlign w:val="center"/>
          </w:tcPr>
          <w:p>
            <w:pPr>
              <w:pStyle w:val="22"/>
              <w:bidi w:val="0"/>
              <w:rPr>
                <w:color w:val="0000FF"/>
              </w:rPr>
            </w:pPr>
            <w:r>
              <w:rPr>
                <w:color w:val="0000FF"/>
              </w:rPr>
              <w:t>污染源</w:t>
            </w:r>
          </w:p>
        </w:tc>
        <w:tc>
          <w:tcPr>
            <w:tcW w:w="4306" w:type="dxa"/>
            <w:gridSpan w:val="2"/>
            <w:vAlign w:val="center"/>
          </w:tcPr>
          <w:p>
            <w:pPr>
              <w:pStyle w:val="22"/>
              <w:bidi w:val="0"/>
              <w:rPr>
                <w:color w:val="0000FF"/>
              </w:rPr>
            </w:pPr>
            <w:r>
              <w:rPr>
                <w:color w:val="0000FF"/>
              </w:rPr>
              <w:t>污染因子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 w:type="dxa"/>
          <w:trHeight w:val="316" w:hRule="atLeast"/>
          <w:jc w:val="center"/>
        </w:trPr>
        <w:tc>
          <w:tcPr>
            <w:tcW w:w="1105" w:type="dxa"/>
            <w:vMerge w:val="restart"/>
            <w:tcBorders>
              <w:bottom w:val="nil"/>
            </w:tcBorders>
            <w:vAlign w:val="center"/>
          </w:tcPr>
          <w:p>
            <w:pPr>
              <w:pStyle w:val="22"/>
              <w:bidi w:val="0"/>
              <w:rPr>
                <w:color w:val="0000FF"/>
              </w:rPr>
            </w:pPr>
          </w:p>
          <w:p>
            <w:pPr>
              <w:pStyle w:val="22"/>
              <w:bidi w:val="0"/>
              <w:rPr>
                <w:color w:val="0000FF"/>
              </w:rPr>
            </w:pPr>
            <w:r>
              <w:rPr>
                <w:color w:val="0000FF"/>
              </w:rPr>
              <w:t>废气</w:t>
            </w:r>
          </w:p>
        </w:tc>
        <w:tc>
          <w:tcPr>
            <w:tcW w:w="3115" w:type="dxa"/>
            <w:gridSpan w:val="2"/>
            <w:vAlign w:val="center"/>
          </w:tcPr>
          <w:p>
            <w:pPr>
              <w:pStyle w:val="22"/>
              <w:bidi w:val="0"/>
              <w:rPr>
                <w:color w:val="0000FF"/>
              </w:rPr>
            </w:pPr>
            <w:r>
              <w:rPr>
                <w:color w:val="0000FF"/>
              </w:rPr>
              <w:t>污水处理站废气</w:t>
            </w:r>
          </w:p>
        </w:tc>
        <w:tc>
          <w:tcPr>
            <w:tcW w:w="4306" w:type="dxa"/>
            <w:gridSpan w:val="2"/>
            <w:vAlign w:val="center"/>
          </w:tcPr>
          <w:p>
            <w:pPr>
              <w:pStyle w:val="22"/>
              <w:bidi w:val="0"/>
              <w:rPr>
                <w:color w:val="0000FF"/>
              </w:rPr>
            </w:pPr>
            <w:r>
              <w:rPr>
                <w:color w:val="0000FF"/>
              </w:rPr>
              <w:t>NH</w:t>
            </w:r>
            <w:r>
              <w:rPr>
                <w:color w:val="0000FF"/>
                <w:vertAlign w:val="subscript"/>
              </w:rPr>
              <w:t>3</w:t>
            </w:r>
            <w:r>
              <w:rPr>
                <w:color w:val="0000FF"/>
              </w:rPr>
              <w:t>、H</w:t>
            </w:r>
            <w:r>
              <w:rPr>
                <w:color w:val="0000FF"/>
                <w:vertAlign w:val="subscript"/>
              </w:rPr>
              <w:t>2</w:t>
            </w:r>
            <w:r>
              <w:rPr>
                <w:color w:val="0000FF"/>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 w:type="dxa"/>
          <w:trHeight w:val="316" w:hRule="atLeast"/>
          <w:jc w:val="center"/>
        </w:trPr>
        <w:tc>
          <w:tcPr>
            <w:tcW w:w="1105" w:type="dxa"/>
            <w:vMerge w:val="continue"/>
            <w:tcBorders>
              <w:top w:val="nil"/>
              <w:bottom w:val="nil"/>
            </w:tcBorders>
            <w:vAlign w:val="center"/>
          </w:tcPr>
          <w:p>
            <w:pPr>
              <w:pStyle w:val="22"/>
              <w:bidi w:val="0"/>
              <w:rPr>
                <w:color w:val="0000FF"/>
              </w:rPr>
            </w:pPr>
          </w:p>
        </w:tc>
        <w:tc>
          <w:tcPr>
            <w:tcW w:w="3115" w:type="dxa"/>
            <w:gridSpan w:val="2"/>
            <w:vAlign w:val="center"/>
          </w:tcPr>
          <w:p>
            <w:pPr>
              <w:pStyle w:val="22"/>
              <w:bidi w:val="0"/>
              <w:rPr>
                <w:color w:val="0000FF"/>
              </w:rPr>
            </w:pPr>
            <w:r>
              <w:rPr>
                <w:color w:val="0000FF"/>
              </w:rPr>
              <w:t>实验室废气</w:t>
            </w:r>
          </w:p>
        </w:tc>
        <w:tc>
          <w:tcPr>
            <w:tcW w:w="4306" w:type="dxa"/>
            <w:gridSpan w:val="2"/>
            <w:vAlign w:val="center"/>
          </w:tcPr>
          <w:p>
            <w:pPr>
              <w:pStyle w:val="22"/>
              <w:bidi w:val="0"/>
              <w:rPr>
                <w:color w:val="0000FF"/>
              </w:rPr>
            </w:pPr>
            <w:r>
              <w:rPr>
                <w:color w:val="0000FF"/>
              </w:rPr>
              <w:t>酸碱试剂、有机试剂、病原微生物等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 w:type="dxa"/>
          <w:trHeight w:val="316" w:hRule="atLeast"/>
          <w:jc w:val="center"/>
        </w:trPr>
        <w:tc>
          <w:tcPr>
            <w:tcW w:w="1105" w:type="dxa"/>
            <w:vMerge w:val="continue"/>
            <w:tcBorders>
              <w:top w:val="nil"/>
              <w:bottom w:val="nil"/>
            </w:tcBorders>
            <w:vAlign w:val="center"/>
          </w:tcPr>
          <w:p>
            <w:pPr>
              <w:pStyle w:val="22"/>
              <w:bidi w:val="0"/>
              <w:rPr>
                <w:color w:val="0000FF"/>
              </w:rPr>
            </w:pPr>
          </w:p>
        </w:tc>
        <w:tc>
          <w:tcPr>
            <w:tcW w:w="3115" w:type="dxa"/>
            <w:gridSpan w:val="2"/>
            <w:vAlign w:val="center"/>
          </w:tcPr>
          <w:p>
            <w:pPr>
              <w:pStyle w:val="22"/>
              <w:bidi w:val="0"/>
              <w:rPr>
                <w:color w:val="0000FF"/>
              </w:rPr>
            </w:pPr>
            <w:r>
              <w:rPr>
                <w:color w:val="0000FF"/>
              </w:rPr>
              <w:t>医疗废物暂存间废气</w:t>
            </w:r>
          </w:p>
        </w:tc>
        <w:tc>
          <w:tcPr>
            <w:tcW w:w="4306" w:type="dxa"/>
            <w:gridSpan w:val="2"/>
            <w:vAlign w:val="center"/>
          </w:tcPr>
          <w:p>
            <w:pPr>
              <w:pStyle w:val="22"/>
              <w:bidi w:val="0"/>
              <w:rPr>
                <w:color w:val="0000FF"/>
              </w:rPr>
            </w:pPr>
            <w:r>
              <w:rPr>
                <w:color w:val="0000FF"/>
              </w:rPr>
              <w:t>臭气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 w:type="dxa"/>
          <w:trHeight w:val="319" w:hRule="atLeast"/>
          <w:jc w:val="center"/>
        </w:trPr>
        <w:tc>
          <w:tcPr>
            <w:tcW w:w="1105" w:type="dxa"/>
            <w:vMerge w:val="continue"/>
            <w:tcBorders>
              <w:top w:val="nil"/>
            </w:tcBorders>
            <w:vAlign w:val="center"/>
          </w:tcPr>
          <w:p>
            <w:pPr>
              <w:pStyle w:val="22"/>
              <w:bidi w:val="0"/>
              <w:rPr>
                <w:color w:val="0000FF"/>
              </w:rPr>
            </w:pPr>
          </w:p>
        </w:tc>
        <w:tc>
          <w:tcPr>
            <w:tcW w:w="3115" w:type="dxa"/>
            <w:gridSpan w:val="2"/>
            <w:vAlign w:val="center"/>
          </w:tcPr>
          <w:p>
            <w:pPr>
              <w:pStyle w:val="22"/>
              <w:bidi w:val="0"/>
              <w:rPr>
                <w:color w:val="0000FF"/>
              </w:rPr>
            </w:pPr>
            <w:r>
              <w:rPr>
                <w:color w:val="0000FF"/>
              </w:rPr>
              <w:t>汽车尾气</w:t>
            </w:r>
          </w:p>
        </w:tc>
        <w:tc>
          <w:tcPr>
            <w:tcW w:w="4306" w:type="dxa"/>
            <w:gridSpan w:val="2"/>
            <w:vAlign w:val="center"/>
          </w:tcPr>
          <w:p>
            <w:pPr>
              <w:pStyle w:val="22"/>
              <w:bidi w:val="0"/>
              <w:rPr>
                <w:color w:val="0000FF"/>
              </w:rPr>
            </w:pPr>
            <w:r>
              <w:rPr>
                <w:color w:val="0000FF"/>
              </w:rPr>
              <w:t>尾气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1109" w:type="dxa"/>
            <w:gridSpan w:val="2"/>
            <w:vMerge w:val="restart"/>
            <w:tcBorders>
              <w:tl2br w:val="nil"/>
              <w:tr2bl w:val="nil"/>
            </w:tcBorders>
            <w:vAlign w:val="center"/>
          </w:tcPr>
          <w:p>
            <w:pPr>
              <w:pStyle w:val="22"/>
              <w:bidi w:val="0"/>
              <w:rPr>
                <w:color w:val="0000FF"/>
              </w:rPr>
            </w:pPr>
          </w:p>
          <w:p>
            <w:pPr>
              <w:pStyle w:val="22"/>
              <w:bidi w:val="0"/>
              <w:rPr>
                <w:color w:val="0000FF"/>
              </w:rPr>
            </w:pPr>
            <w:r>
              <w:rPr>
                <w:color w:val="0000FF"/>
              </w:rPr>
              <w:t>废水</w:t>
            </w:r>
          </w:p>
        </w:tc>
        <w:tc>
          <w:tcPr>
            <w:tcW w:w="3127" w:type="dxa"/>
            <w:gridSpan w:val="2"/>
            <w:tcBorders>
              <w:tl2br w:val="nil"/>
              <w:tr2bl w:val="nil"/>
            </w:tcBorders>
            <w:vAlign w:val="center"/>
          </w:tcPr>
          <w:p>
            <w:pPr>
              <w:pStyle w:val="22"/>
              <w:bidi w:val="0"/>
              <w:rPr>
                <w:color w:val="0000FF"/>
              </w:rPr>
            </w:pPr>
            <w:r>
              <w:rPr>
                <w:color w:val="0000FF"/>
              </w:rPr>
              <w:t>实验室废水</w:t>
            </w:r>
          </w:p>
        </w:tc>
        <w:tc>
          <w:tcPr>
            <w:tcW w:w="4323" w:type="dxa"/>
            <w:gridSpan w:val="2"/>
            <w:tcBorders>
              <w:tl2br w:val="nil"/>
              <w:tr2bl w:val="nil"/>
            </w:tcBorders>
            <w:vAlign w:val="center"/>
          </w:tcPr>
          <w:p>
            <w:pPr>
              <w:pStyle w:val="22"/>
              <w:bidi w:val="0"/>
              <w:rPr>
                <w:color w:val="0000FF"/>
              </w:rPr>
            </w:pPr>
            <w:r>
              <w:rPr>
                <w:color w:val="0000FF"/>
              </w:rPr>
              <w:t>全盐类、COD、BOD</w:t>
            </w:r>
            <w:r>
              <w:rPr>
                <w:color w:val="0000FF"/>
                <w:vertAlign w:val="subscript"/>
              </w:rPr>
              <w:t>5</w:t>
            </w:r>
            <w:r>
              <w:rPr>
                <w:color w:val="0000FF"/>
              </w:rPr>
              <w:t>、SS、NH</w:t>
            </w:r>
            <w:r>
              <w:rPr>
                <w:color w:val="0000FF"/>
                <w:vertAlign w:val="subscript"/>
              </w:rPr>
              <w:t>3</w:t>
            </w:r>
            <w:r>
              <w:rPr>
                <w:color w:val="0000FF"/>
              </w:rPr>
              <w:t>-N、粪大肠菌群、酸性物质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109" w:type="dxa"/>
            <w:gridSpan w:val="2"/>
            <w:vMerge w:val="continue"/>
            <w:tcBorders>
              <w:tl2br w:val="nil"/>
              <w:tr2bl w:val="nil"/>
            </w:tcBorders>
            <w:vAlign w:val="center"/>
          </w:tcPr>
          <w:p>
            <w:pPr>
              <w:pStyle w:val="22"/>
              <w:bidi w:val="0"/>
              <w:rPr>
                <w:color w:val="0000FF"/>
              </w:rPr>
            </w:pPr>
          </w:p>
        </w:tc>
        <w:tc>
          <w:tcPr>
            <w:tcW w:w="3127" w:type="dxa"/>
            <w:gridSpan w:val="2"/>
            <w:tcBorders>
              <w:tl2br w:val="nil"/>
              <w:tr2bl w:val="nil"/>
            </w:tcBorders>
            <w:vAlign w:val="center"/>
          </w:tcPr>
          <w:p>
            <w:pPr>
              <w:pStyle w:val="22"/>
              <w:bidi w:val="0"/>
              <w:rPr>
                <w:color w:val="0000FF"/>
              </w:rPr>
            </w:pPr>
            <w:r>
              <w:rPr>
                <w:color w:val="0000FF"/>
              </w:rPr>
              <w:t>生活污水</w:t>
            </w:r>
          </w:p>
        </w:tc>
        <w:tc>
          <w:tcPr>
            <w:tcW w:w="4323" w:type="dxa"/>
            <w:gridSpan w:val="2"/>
            <w:tcBorders>
              <w:tl2br w:val="nil"/>
              <w:tr2bl w:val="nil"/>
            </w:tcBorders>
            <w:vAlign w:val="center"/>
          </w:tcPr>
          <w:p>
            <w:pPr>
              <w:pStyle w:val="22"/>
              <w:bidi w:val="0"/>
              <w:rPr>
                <w:color w:val="0000FF"/>
              </w:rPr>
            </w:pPr>
            <w:r>
              <w:rPr>
                <w:color w:val="0000FF"/>
              </w:rPr>
              <w:t>COD、BOD5、SS、NH</w:t>
            </w:r>
            <w:r>
              <w:rPr>
                <w:color w:val="0000FF"/>
                <w:vertAlign w:val="subscript"/>
              </w:rPr>
              <w:t>3</w:t>
            </w:r>
            <w:r>
              <w:rPr>
                <w:color w:val="0000FF"/>
              </w:rPr>
              <w:t>-N、粪大肠菌群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109" w:type="dxa"/>
            <w:gridSpan w:val="2"/>
            <w:tcBorders>
              <w:tl2br w:val="nil"/>
              <w:tr2bl w:val="nil"/>
            </w:tcBorders>
            <w:vAlign w:val="center"/>
          </w:tcPr>
          <w:p>
            <w:pPr>
              <w:pStyle w:val="22"/>
              <w:bidi w:val="0"/>
              <w:rPr>
                <w:color w:val="0000FF"/>
              </w:rPr>
            </w:pPr>
            <w:r>
              <w:rPr>
                <w:color w:val="0000FF"/>
              </w:rPr>
              <w:t>噪声</w:t>
            </w:r>
          </w:p>
        </w:tc>
        <w:tc>
          <w:tcPr>
            <w:tcW w:w="3127" w:type="dxa"/>
            <w:gridSpan w:val="2"/>
            <w:tcBorders>
              <w:tl2br w:val="nil"/>
              <w:tr2bl w:val="nil"/>
            </w:tcBorders>
            <w:vAlign w:val="center"/>
          </w:tcPr>
          <w:p>
            <w:pPr>
              <w:pStyle w:val="22"/>
              <w:bidi w:val="0"/>
              <w:rPr>
                <w:color w:val="0000FF"/>
              </w:rPr>
            </w:pPr>
            <w:r>
              <w:rPr>
                <w:color w:val="0000FF"/>
              </w:rPr>
              <w:t>设备噪声、人群噪声、车辆噪声</w:t>
            </w:r>
          </w:p>
        </w:tc>
        <w:tc>
          <w:tcPr>
            <w:tcW w:w="4323" w:type="dxa"/>
            <w:gridSpan w:val="2"/>
            <w:tcBorders>
              <w:tl2br w:val="nil"/>
              <w:tr2bl w:val="nil"/>
            </w:tcBorders>
            <w:vAlign w:val="center"/>
          </w:tcPr>
          <w:p>
            <w:pPr>
              <w:pStyle w:val="22"/>
              <w:bidi w:val="0"/>
              <w:rPr>
                <w:color w:val="0000FF"/>
              </w:rPr>
            </w:pPr>
            <w:r>
              <w:rPr>
                <w:color w:val="0000FF"/>
              </w:rPr>
              <w:t>等效A声级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109" w:type="dxa"/>
            <w:gridSpan w:val="2"/>
            <w:vMerge w:val="restart"/>
            <w:tcBorders>
              <w:tl2br w:val="nil"/>
              <w:tr2bl w:val="nil"/>
            </w:tcBorders>
            <w:vAlign w:val="center"/>
          </w:tcPr>
          <w:p>
            <w:pPr>
              <w:pStyle w:val="22"/>
              <w:bidi w:val="0"/>
              <w:rPr>
                <w:color w:val="0000FF"/>
              </w:rPr>
            </w:pPr>
            <w:r>
              <w:rPr>
                <w:color w:val="0000FF"/>
              </w:rPr>
              <w:t>固体废物</w:t>
            </w:r>
          </w:p>
        </w:tc>
        <w:tc>
          <w:tcPr>
            <w:tcW w:w="3127" w:type="dxa"/>
            <w:gridSpan w:val="2"/>
            <w:tcBorders>
              <w:tl2br w:val="nil"/>
              <w:tr2bl w:val="nil"/>
            </w:tcBorders>
            <w:vAlign w:val="center"/>
          </w:tcPr>
          <w:p>
            <w:pPr>
              <w:pStyle w:val="22"/>
              <w:bidi w:val="0"/>
              <w:rPr>
                <w:color w:val="0000FF"/>
              </w:rPr>
            </w:pPr>
            <w:r>
              <w:rPr>
                <w:color w:val="0000FF"/>
              </w:rPr>
              <w:t>医疗废物</w:t>
            </w:r>
          </w:p>
        </w:tc>
        <w:tc>
          <w:tcPr>
            <w:tcW w:w="4323" w:type="dxa"/>
            <w:gridSpan w:val="2"/>
            <w:tcBorders>
              <w:tl2br w:val="nil"/>
              <w:tr2bl w:val="nil"/>
            </w:tcBorders>
            <w:vAlign w:val="center"/>
          </w:tcPr>
          <w:p>
            <w:pPr>
              <w:pStyle w:val="22"/>
              <w:bidi w:val="0"/>
              <w:rPr>
                <w:color w:val="0000FF"/>
              </w:rPr>
            </w:pPr>
            <w:r>
              <w:rPr>
                <w:color w:val="0000FF"/>
              </w:rPr>
              <w:t>危险废物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109" w:type="dxa"/>
            <w:gridSpan w:val="2"/>
            <w:vMerge w:val="continue"/>
            <w:tcBorders>
              <w:tl2br w:val="nil"/>
              <w:tr2bl w:val="nil"/>
            </w:tcBorders>
            <w:vAlign w:val="center"/>
          </w:tcPr>
          <w:p>
            <w:pPr>
              <w:pStyle w:val="22"/>
              <w:bidi w:val="0"/>
              <w:rPr>
                <w:color w:val="0000FF"/>
              </w:rPr>
            </w:pPr>
          </w:p>
        </w:tc>
        <w:tc>
          <w:tcPr>
            <w:tcW w:w="3127" w:type="dxa"/>
            <w:gridSpan w:val="2"/>
            <w:tcBorders>
              <w:tl2br w:val="nil"/>
              <w:tr2bl w:val="nil"/>
            </w:tcBorders>
            <w:vAlign w:val="center"/>
          </w:tcPr>
          <w:p>
            <w:pPr>
              <w:pStyle w:val="22"/>
              <w:bidi w:val="0"/>
              <w:rPr>
                <w:color w:val="0000FF"/>
              </w:rPr>
            </w:pPr>
            <w:r>
              <w:rPr>
                <w:color w:val="0000FF"/>
              </w:rPr>
              <w:t>栅渣、污泥</w:t>
            </w:r>
          </w:p>
        </w:tc>
        <w:tc>
          <w:tcPr>
            <w:tcW w:w="4323" w:type="dxa"/>
            <w:gridSpan w:val="2"/>
            <w:tcBorders>
              <w:tl2br w:val="nil"/>
              <w:tr2bl w:val="nil"/>
            </w:tcBorders>
            <w:vAlign w:val="center"/>
          </w:tcPr>
          <w:p>
            <w:pPr>
              <w:pStyle w:val="22"/>
              <w:bidi w:val="0"/>
              <w:rPr>
                <w:color w:val="0000FF"/>
              </w:rPr>
            </w:pPr>
            <w:r>
              <w:rPr>
                <w:color w:val="0000FF"/>
              </w:rPr>
              <w:t>危险废物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109" w:type="dxa"/>
            <w:gridSpan w:val="2"/>
            <w:vMerge w:val="continue"/>
            <w:tcBorders>
              <w:tl2br w:val="nil"/>
              <w:tr2bl w:val="nil"/>
            </w:tcBorders>
            <w:vAlign w:val="center"/>
          </w:tcPr>
          <w:p>
            <w:pPr>
              <w:pStyle w:val="22"/>
              <w:bidi w:val="0"/>
              <w:rPr>
                <w:color w:val="0000FF"/>
              </w:rPr>
            </w:pPr>
          </w:p>
        </w:tc>
        <w:tc>
          <w:tcPr>
            <w:tcW w:w="3127" w:type="dxa"/>
            <w:gridSpan w:val="2"/>
            <w:tcBorders>
              <w:tl2br w:val="nil"/>
              <w:tr2bl w:val="nil"/>
            </w:tcBorders>
            <w:vAlign w:val="center"/>
          </w:tcPr>
          <w:p>
            <w:pPr>
              <w:pStyle w:val="22"/>
              <w:bidi w:val="0"/>
              <w:rPr>
                <w:color w:val="0000FF"/>
              </w:rPr>
            </w:pPr>
            <w:r>
              <w:rPr>
                <w:color w:val="0000FF"/>
              </w:rPr>
              <w:t>废活性炭</w:t>
            </w:r>
          </w:p>
        </w:tc>
        <w:tc>
          <w:tcPr>
            <w:tcW w:w="4323" w:type="dxa"/>
            <w:gridSpan w:val="2"/>
            <w:tcBorders>
              <w:tl2br w:val="nil"/>
              <w:tr2bl w:val="nil"/>
            </w:tcBorders>
            <w:vAlign w:val="center"/>
          </w:tcPr>
          <w:p>
            <w:pPr>
              <w:pStyle w:val="22"/>
              <w:bidi w:val="0"/>
              <w:rPr>
                <w:color w:val="0000FF"/>
              </w:rPr>
            </w:pPr>
            <w:r>
              <w:rPr>
                <w:color w:val="0000FF"/>
              </w:rPr>
              <w:t>危险废物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109" w:type="dxa"/>
            <w:gridSpan w:val="2"/>
            <w:vMerge w:val="continue"/>
            <w:tcBorders>
              <w:tl2br w:val="nil"/>
              <w:tr2bl w:val="nil"/>
            </w:tcBorders>
            <w:vAlign w:val="center"/>
          </w:tcPr>
          <w:p>
            <w:pPr>
              <w:pStyle w:val="22"/>
              <w:bidi w:val="0"/>
              <w:rPr>
                <w:color w:val="0000FF"/>
              </w:rPr>
            </w:pPr>
          </w:p>
        </w:tc>
        <w:tc>
          <w:tcPr>
            <w:tcW w:w="3127" w:type="dxa"/>
            <w:gridSpan w:val="2"/>
            <w:tcBorders>
              <w:tl2br w:val="nil"/>
              <w:tr2bl w:val="nil"/>
            </w:tcBorders>
            <w:vAlign w:val="center"/>
          </w:tcPr>
          <w:p>
            <w:pPr>
              <w:pStyle w:val="22"/>
              <w:bidi w:val="0"/>
              <w:rPr>
                <w:color w:val="0000FF"/>
              </w:rPr>
            </w:pPr>
            <w:r>
              <w:rPr>
                <w:color w:val="0000FF"/>
              </w:rPr>
              <w:t>废离子树脂</w:t>
            </w:r>
          </w:p>
        </w:tc>
        <w:tc>
          <w:tcPr>
            <w:tcW w:w="4323" w:type="dxa"/>
            <w:gridSpan w:val="2"/>
            <w:tcBorders>
              <w:tl2br w:val="nil"/>
              <w:tr2bl w:val="nil"/>
            </w:tcBorders>
            <w:vAlign w:val="center"/>
          </w:tcPr>
          <w:p>
            <w:pPr>
              <w:pStyle w:val="22"/>
              <w:bidi w:val="0"/>
              <w:rPr>
                <w:color w:val="0000FF"/>
              </w:rPr>
            </w:pPr>
            <w:r>
              <w:rPr>
                <w:color w:val="0000FF"/>
              </w:rPr>
              <w:t>一般固废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109" w:type="dxa"/>
            <w:gridSpan w:val="2"/>
            <w:vMerge w:val="continue"/>
            <w:tcBorders>
              <w:tl2br w:val="nil"/>
              <w:tr2bl w:val="nil"/>
            </w:tcBorders>
            <w:vAlign w:val="center"/>
          </w:tcPr>
          <w:p>
            <w:pPr>
              <w:pStyle w:val="22"/>
              <w:bidi w:val="0"/>
              <w:rPr>
                <w:color w:val="0000FF"/>
              </w:rPr>
            </w:pPr>
          </w:p>
        </w:tc>
        <w:tc>
          <w:tcPr>
            <w:tcW w:w="3127" w:type="dxa"/>
            <w:gridSpan w:val="2"/>
            <w:tcBorders>
              <w:tl2br w:val="nil"/>
              <w:tr2bl w:val="nil"/>
            </w:tcBorders>
            <w:vAlign w:val="center"/>
          </w:tcPr>
          <w:p>
            <w:pPr>
              <w:pStyle w:val="22"/>
              <w:bidi w:val="0"/>
              <w:rPr>
                <w:color w:val="0000FF"/>
              </w:rPr>
            </w:pPr>
            <w:r>
              <w:rPr>
                <w:color w:val="0000FF"/>
              </w:rPr>
              <w:t>生活垃圾</w:t>
            </w:r>
          </w:p>
        </w:tc>
        <w:tc>
          <w:tcPr>
            <w:tcW w:w="4323" w:type="dxa"/>
            <w:gridSpan w:val="2"/>
            <w:tcBorders>
              <w:tl2br w:val="nil"/>
              <w:tr2bl w:val="nil"/>
            </w:tcBorders>
            <w:vAlign w:val="center"/>
          </w:tcPr>
          <w:p>
            <w:pPr>
              <w:pStyle w:val="22"/>
              <w:bidi w:val="0"/>
              <w:rPr>
                <w:color w:val="0000FF"/>
              </w:rPr>
            </w:pPr>
            <w:r>
              <w:rPr>
                <w:color w:val="0000FF"/>
              </w:rPr>
              <w:t>一般固废</w:t>
            </w:r>
          </w:p>
        </w:tc>
      </w:tr>
    </w:tbl>
    <w:p>
      <w:pPr>
        <w:pStyle w:val="6"/>
        <w:bidi w:val="0"/>
        <w:rPr>
          <w:rFonts w:hint="eastAsia"/>
          <w:color w:val="0000FF"/>
          <w:lang w:val="en-US" w:eastAsia="zh-CN"/>
        </w:rPr>
      </w:pPr>
      <w:bookmarkStart w:id="58" w:name="_Toc14739"/>
      <w:r>
        <w:rPr>
          <w:rFonts w:hint="eastAsia"/>
          <w:color w:val="0000FF"/>
          <w:lang w:val="en-US" w:eastAsia="zh-CN"/>
        </w:rPr>
        <w:t>3.2.3水平衡分析</w:t>
      </w:r>
      <w:bookmarkEnd w:id="58"/>
    </w:p>
    <w:p>
      <w:pPr>
        <w:bidi w:val="0"/>
        <w:rPr>
          <w:color w:val="0000FF"/>
        </w:rPr>
      </w:pPr>
      <w:r>
        <w:rPr>
          <w:color w:val="0000FF"/>
        </w:rPr>
        <w:t>本项目用水主要为办公生活用水、实验室用水及绿化用水。</w:t>
      </w:r>
    </w:p>
    <w:p>
      <w:pPr>
        <w:bidi w:val="0"/>
        <w:rPr>
          <w:color w:val="0000FF"/>
        </w:rPr>
      </w:pPr>
      <w:r>
        <w:rPr>
          <w:color w:val="0000FF"/>
        </w:rPr>
        <w:t>（1）办公生活用水</w:t>
      </w:r>
    </w:p>
    <w:p>
      <w:pPr>
        <w:bidi w:val="0"/>
        <w:rPr>
          <w:color w:val="0000FF"/>
        </w:rPr>
      </w:pPr>
      <w:r>
        <w:rPr>
          <w:color w:val="0000FF"/>
        </w:rPr>
        <w:t>本项目劳动定员</w:t>
      </w:r>
      <w:r>
        <w:rPr>
          <w:rFonts w:hint="eastAsia"/>
          <w:color w:val="0000FF"/>
          <w:lang w:val="en-US" w:eastAsia="zh-CN"/>
        </w:rPr>
        <w:t>20</w:t>
      </w:r>
      <w:r>
        <w:rPr>
          <w:color w:val="0000FF"/>
        </w:rPr>
        <w:t>人，均不在疾控中心食宿，其中约</w:t>
      </w:r>
      <w:r>
        <w:rPr>
          <w:rFonts w:hint="eastAsia"/>
          <w:color w:val="0000FF"/>
          <w:lang w:val="en-US" w:eastAsia="zh-CN"/>
        </w:rPr>
        <w:t>8</w:t>
      </w:r>
      <w:r>
        <w:rPr>
          <w:color w:val="0000FF"/>
        </w:rPr>
        <w:t>人在办公楼办公，</w:t>
      </w:r>
      <w:r>
        <w:rPr>
          <w:rFonts w:hint="eastAsia"/>
          <w:color w:val="0000FF"/>
          <w:lang w:val="en-US" w:eastAsia="zh-CN"/>
        </w:rPr>
        <w:t>12</w:t>
      </w:r>
      <w:r>
        <w:rPr>
          <w:color w:val="0000FF"/>
        </w:rPr>
        <w:t>人在实验楼办公。</w:t>
      </w:r>
    </w:p>
    <w:p>
      <w:pPr>
        <w:bidi w:val="0"/>
        <w:rPr>
          <w:color w:val="0000FF"/>
        </w:rPr>
      </w:pPr>
      <w:r>
        <w:rPr>
          <w:color w:val="0000FF"/>
        </w:rPr>
        <w:t>办公楼生活用水：办公楼办公人员</w:t>
      </w:r>
      <w:r>
        <w:rPr>
          <w:rFonts w:hint="eastAsia"/>
          <w:color w:val="0000FF"/>
          <w:lang w:val="en-US" w:eastAsia="zh-CN"/>
        </w:rPr>
        <w:t>8</w:t>
      </w:r>
      <w:r>
        <w:rPr>
          <w:color w:val="0000FF"/>
        </w:rPr>
        <w:t>人，根据《新疆维吾尔自治区生活用水定额》，办公人员每人每天用水量为</w:t>
      </w:r>
      <w:r>
        <w:rPr>
          <w:rFonts w:hint="eastAsia"/>
          <w:color w:val="0000FF"/>
          <w:lang w:val="en-US" w:eastAsia="zh-CN"/>
        </w:rPr>
        <w:t>20</w:t>
      </w:r>
      <w:r>
        <w:rPr>
          <w:color w:val="0000FF"/>
        </w:rPr>
        <w:t>~</w:t>
      </w:r>
      <w:r>
        <w:rPr>
          <w:rFonts w:hint="eastAsia"/>
          <w:color w:val="0000FF"/>
          <w:lang w:val="en-US" w:eastAsia="zh-CN"/>
        </w:rPr>
        <w:t>25</w:t>
      </w:r>
      <w:r>
        <w:rPr>
          <w:color w:val="0000FF"/>
        </w:rPr>
        <w:t>L，本项目取</w:t>
      </w:r>
      <w:r>
        <w:rPr>
          <w:rFonts w:hint="eastAsia"/>
          <w:color w:val="0000FF"/>
          <w:lang w:val="en-US" w:eastAsia="zh-CN"/>
        </w:rPr>
        <w:t>25</w:t>
      </w:r>
      <w:r>
        <w:rPr>
          <w:color w:val="0000FF"/>
        </w:rPr>
        <w:t>L/人·d，则本项目办公楼生活用水量为</w:t>
      </w:r>
      <w:r>
        <w:rPr>
          <w:rFonts w:hint="eastAsia"/>
          <w:color w:val="0000FF"/>
          <w:lang w:val="en-US" w:eastAsia="zh-CN"/>
        </w:rPr>
        <w:t>0.2</w:t>
      </w:r>
      <w:r>
        <w:rPr>
          <w:color w:val="0000FF"/>
        </w:rPr>
        <w:t>m</w:t>
      </w:r>
      <w:r>
        <w:rPr>
          <w:color w:val="0000FF"/>
          <w:vertAlign w:val="superscript"/>
        </w:rPr>
        <w:t>3</w:t>
      </w:r>
      <w:r>
        <w:rPr>
          <w:color w:val="0000FF"/>
        </w:rPr>
        <w:t>/d（</w:t>
      </w:r>
      <w:r>
        <w:rPr>
          <w:rFonts w:hint="eastAsia"/>
          <w:color w:val="0000FF"/>
          <w:lang w:val="en-US" w:eastAsia="zh-CN"/>
        </w:rPr>
        <w:t>60</w:t>
      </w:r>
      <w:r>
        <w:rPr>
          <w:color w:val="0000FF"/>
        </w:rPr>
        <w:t>m</w:t>
      </w:r>
      <w:r>
        <w:rPr>
          <w:color w:val="0000FF"/>
          <w:vertAlign w:val="superscript"/>
        </w:rPr>
        <w:t>3</w:t>
      </w:r>
      <w:r>
        <w:rPr>
          <w:color w:val="0000FF"/>
        </w:rPr>
        <w:t>/a），污水排放系数按0.8计，则办公楼生活污水排放量为0.</w:t>
      </w:r>
      <w:r>
        <w:rPr>
          <w:rFonts w:hint="eastAsia"/>
          <w:color w:val="0000FF"/>
          <w:lang w:val="en-US" w:eastAsia="zh-CN"/>
        </w:rPr>
        <w:t>16</w:t>
      </w:r>
      <w:r>
        <w:rPr>
          <w:color w:val="0000FF"/>
        </w:rPr>
        <w:t>m</w:t>
      </w:r>
      <w:r>
        <w:rPr>
          <w:color w:val="0000FF"/>
          <w:vertAlign w:val="superscript"/>
        </w:rPr>
        <w:t>3</w:t>
      </w:r>
      <w:r>
        <w:rPr>
          <w:color w:val="0000FF"/>
        </w:rPr>
        <w:t>/d（</w:t>
      </w:r>
      <w:r>
        <w:rPr>
          <w:rFonts w:hint="eastAsia"/>
          <w:color w:val="0000FF"/>
          <w:lang w:val="en-US" w:eastAsia="zh-CN"/>
        </w:rPr>
        <w:t>48</w:t>
      </w:r>
      <w:r>
        <w:rPr>
          <w:color w:val="0000FF"/>
        </w:rPr>
        <w:t>m</w:t>
      </w:r>
      <w:r>
        <w:rPr>
          <w:color w:val="0000FF"/>
          <w:vertAlign w:val="superscript"/>
        </w:rPr>
        <w:t>3</w:t>
      </w:r>
      <w:r>
        <w:rPr>
          <w:color w:val="0000FF"/>
        </w:rPr>
        <w:t>/a）。</w:t>
      </w:r>
    </w:p>
    <w:p>
      <w:pPr>
        <w:bidi w:val="0"/>
        <w:rPr>
          <w:color w:val="0000FF"/>
        </w:rPr>
      </w:pPr>
      <w:r>
        <w:rPr>
          <w:color w:val="0000FF"/>
        </w:rPr>
        <w:t>实验楼生活用水：实验楼生活用水包括办公人员生活用水和体检人员生活用水。实验楼办公人员</w:t>
      </w:r>
      <w:r>
        <w:rPr>
          <w:rFonts w:hint="eastAsia"/>
          <w:color w:val="0000FF"/>
          <w:lang w:val="en-US" w:eastAsia="zh-CN"/>
        </w:rPr>
        <w:t>12</w:t>
      </w:r>
      <w:r>
        <w:rPr>
          <w:color w:val="0000FF"/>
        </w:rPr>
        <w:t>人，用水量取</w:t>
      </w:r>
      <w:r>
        <w:rPr>
          <w:rFonts w:hint="eastAsia"/>
          <w:color w:val="0000FF"/>
          <w:lang w:val="en-US" w:eastAsia="zh-CN"/>
        </w:rPr>
        <w:t>25</w:t>
      </w:r>
      <w:r>
        <w:rPr>
          <w:color w:val="0000FF"/>
        </w:rPr>
        <w:t>L/人·d，则实验楼办公人员生活用水量为</w:t>
      </w:r>
      <w:r>
        <w:rPr>
          <w:rFonts w:hint="eastAsia"/>
          <w:color w:val="0000FF"/>
          <w:lang w:val="en-US" w:eastAsia="zh-CN"/>
        </w:rPr>
        <w:t>0.3</w:t>
      </w:r>
      <w:r>
        <w:rPr>
          <w:color w:val="0000FF"/>
        </w:rPr>
        <w:t>m</w:t>
      </w:r>
      <w:r>
        <w:rPr>
          <w:color w:val="0000FF"/>
          <w:vertAlign w:val="superscript"/>
        </w:rPr>
        <w:t>3</w:t>
      </w:r>
      <w:r>
        <w:rPr>
          <w:color w:val="0000FF"/>
        </w:rPr>
        <w:t>/d（</w:t>
      </w:r>
      <w:r>
        <w:rPr>
          <w:rFonts w:hint="eastAsia"/>
          <w:color w:val="0000FF"/>
          <w:lang w:val="en-US" w:eastAsia="zh-CN"/>
        </w:rPr>
        <w:t>90</w:t>
      </w:r>
      <w:r>
        <w:rPr>
          <w:color w:val="0000FF"/>
        </w:rPr>
        <w:t>m</w:t>
      </w:r>
      <w:r>
        <w:rPr>
          <w:color w:val="0000FF"/>
          <w:vertAlign w:val="superscript"/>
        </w:rPr>
        <w:t>3</w:t>
      </w:r>
      <w:r>
        <w:rPr>
          <w:color w:val="0000FF"/>
        </w:rPr>
        <w:t>/a）；本项目公共卫生科接受从业人员体检</w:t>
      </w:r>
      <w:r>
        <w:rPr>
          <w:rFonts w:hint="eastAsia"/>
          <w:color w:val="0000FF"/>
          <w:lang w:val="en-US" w:eastAsia="zh-CN"/>
        </w:rPr>
        <w:t>及儿童预防接种</w:t>
      </w:r>
      <w:r>
        <w:rPr>
          <w:color w:val="0000FF"/>
        </w:rPr>
        <w:t>，体检人员按1</w:t>
      </w:r>
      <w:r>
        <w:rPr>
          <w:rFonts w:hint="eastAsia"/>
          <w:color w:val="0000FF"/>
          <w:lang w:val="en-US" w:eastAsia="zh-CN"/>
        </w:rPr>
        <w:t>5</w:t>
      </w:r>
      <w:r>
        <w:rPr>
          <w:color w:val="0000FF"/>
        </w:rPr>
        <w:t>人/天计，根据《新疆维吾尔自治区生活用水定额》，体检人员用水量取20L/人·次，则体检人员用水量为0.</w:t>
      </w:r>
      <w:r>
        <w:rPr>
          <w:rFonts w:hint="eastAsia"/>
          <w:color w:val="0000FF"/>
          <w:lang w:val="en-US" w:eastAsia="zh-CN"/>
        </w:rPr>
        <w:t>3</w:t>
      </w:r>
      <w:r>
        <w:rPr>
          <w:color w:val="0000FF"/>
        </w:rPr>
        <w:t>m</w:t>
      </w:r>
      <w:r>
        <w:rPr>
          <w:color w:val="0000FF"/>
          <w:vertAlign w:val="superscript"/>
        </w:rPr>
        <w:t>3</w:t>
      </w:r>
      <w:r>
        <w:rPr>
          <w:color w:val="0000FF"/>
        </w:rPr>
        <w:t>/d（</w:t>
      </w:r>
      <w:r>
        <w:rPr>
          <w:rFonts w:hint="eastAsia"/>
          <w:color w:val="0000FF"/>
          <w:lang w:val="en-US" w:eastAsia="zh-CN"/>
        </w:rPr>
        <w:t>90</w:t>
      </w:r>
      <w:r>
        <w:rPr>
          <w:color w:val="0000FF"/>
        </w:rPr>
        <w:t>m</w:t>
      </w:r>
      <w:r>
        <w:rPr>
          <w:color w:val="0000FF"/>
          <w:vertAlign w:val="superscript"/>
        </w:rPr>
        <w:t>3</w:t>
      </w:r>
      <w:r>
        <w:rPr>
          <w:color w:val="0000FF"/>
        </w:rPr>
        <w:t>/a）。综上所述，实验楼生活用水量为</w:t>
      </w:r>
      <w:r>
        <w:rPr>
          <w:rFonts w:hint="eastAsia"/>
          <w:color w:val="0000FF"/>
          <w:lang w:val="en-US" w:eastAsia="zh-CN"/>
        </w:rPr>
        <w:t>0.6</w:t>
      </w:r>
      <w:r>
        <w:rPr>
          <w:color w:val="0000FF"/>
        </w:rPr>
        <w:t>m</w:t>
      </w:r>
      <w:r>
        <w:rPr>
          <w:color w:val="0000FF"/>
          <w:vertAlign w:val="superscript"/>
        </w:rPr>
        <w:t>3</w:t>
      </w:r>
      <w:r>
        <w:rPr>
          <w:color w:val="0000FF"/>
        </w:rPr>
        <w:t>/d（</w:t>
      </w:r>
      <w:r>
        <w:rPr>
          <w:rFonts w:hint="eastAsia"/>
          <w:color w:val="0000FF"/>
          <w:lang w:val="en-US" w:eastAsia="zh-CN"/>
        </w:rPr>
        <w:t>180</w:t>
      </w:r>
      <w:r>
        <w:rPr>
          <w:color w:val="0000FF"/>
        </w:rPr>
        <w:t>m</w:t>
      </w:r>
      <w:r>
        <w:rPr>
          <w:color w:val="0000FF"/>
          <w:vertAlign w:val="superscript"/>
        </w:rPr>
        <w:t>3</w:t>
      </w:r>
      <w:r>
        <w:rPr>
          <w:color w:val="0000FF"/>
        </w:rPr>
        <w:t>/a），污水排放系数按0.8计，则实验楼生活污水产生量为</w:t>
      </w:r>
      <w:r>
        <w:rPr>
          <w:rFonts w:hint="eastAsia"/>
          <w:color w:val="0000FF"/>
          <w:lang w:val="en-US" w:eastAsia="zh-CN"/>
        </w:rPr>
        <w:t>0.48</w:t>
      </w:r>
      <w:r>
        <w:rPr>
          <w:color w:val="0000FF"/>
        </w:rPr>
        <w:t>m</w:t>
      </w:r>
      <w:r>
        <w:rPr>
          <w:color w:val="0000FF"/>
          <w:vertAlign w:val="superscript"/>
        </w:rPr>
        <w:t>3</w:t>
      </w:r>
      <w:r>
        <w:rPr>
          <w:color w:val="0000FF"/>
        </w:rPr>
        <w:t>/d（</w:t>
      </w:r>
      <w:r>
        <w:rPr>
          <w:rFonts w:hint="eastAsia"/>
          <w:color w:val="0000FF"/>
          <w:lang w:val="en-US" w:eastAsia="zh-CN"/>
        </w:rPr>
        <w:t>144</w:t>
      </w:r>
      <w:r>
        <w:rPr>
          <w:color w:val="0000FF"/>
        </w:rPr>
        <w:t>m</w:t>
      </w:r>
      <w:r>
        <w:rPr>
          <w:color w:val="0000FF"/>
          <w:vertAlign w:val="superscript"/>
        </w:rPr>
        <w:t>3</w:t>
      </w:r>
      <w:r>
        <w:rPr>
          <w:color w:val="0000FF"/>
        </w:rPr>
        <w:t>/a）。</w:t>
      </w:r>
    </w:p>
    <w:p>
      <w:pPr>
        <w:bidi w:val="0"/>
        <w:rPr>
          <w:color w:val="0000FF"/>
        </w:rPr>
      </w:pPr>
      <w:r>
        <w:rPr>
          <w:color w:val="0000FF"/>
        </w:rPr>
        <w:t>（2）实验室用水</w:t>
      </w:r>
    </w:p>
    <w:p>
      <w:pPr>
        <w:bidi w:val="0"/>
        <w:rPr>
          <w:color w:val="0000FF"/>
        </w:rPr>
      </w:pPr>
      <w:r>
        <w:rPr>
          <w:color w:val="0000FF"/>
        </w:rPr>
        <w:t>本项目实验用水为纯水，纯水由1套制水能力为0.7m</w:t>
      </w:r>
      <w:r>
        <w:rPr>
          <w:color w:val="0000FF"/>
          <w:vertAlign w:val="superscript"/>
        </w:rPr>
        <w:t>3</w:t>
      </w:r>
      <w:r>
        <w:rPr>
          <w:color w:val="0000FF"/>
        </w:rPr>
        <w:t>/d的超纯水一体机制备，采用离子交换树脂法制备纯水，纯水制备系统产水率为70%，即1m</w:t>
      </w:r>
      <w:r>
        <w:rPr>
          <w:color w:val="0000FF"/>
          <w:vertAlign w:val="superscript"/>
        </w:rPr>
        <w:t>3</w:t>
      </w:r>
      <w:r>
        <w:rPr>
          <w:color w:val="0000FF"/>
        </w:rPr>
        <w:t>自来水经处理后产生0.7m</w:t>
      </w:r>
      <w:r>
        <w:rPr>
          <w:color w:val="0000FF"/>
          <w:vertAlign w:val="superscript"/>
        </w:rPr>
        <w:t>3</w:t>
      </w:r>
      <w:r>
        <w:rPr>
          <w:color w:val="0000FF"/>
        </w:rPr>
        <w:t>纯水，剩余0.3m</w:t>
      </w:r>
      <w:r>
        <w:rPr>
          <w:color w:val="0000FF"/>
          <w:vertAlign w:val="superscript"/>
        </w:rPr>
        <w:t>3</w:t>
      </w:r>
      <w:r>
        <w:rPr>
          <w:color w:val="0000FF"/>
        </w:rPr>
        <w:t>浓水进入污水处理站进行处理。</w:t>
      </w:r>
    </w:p>
    <w:p>
      <w:pPr>
        <w:bidi w:val="0"/>
        <w:rPr>
          <w:color w:val="0000FF"/>
        </w:rPr>
      </w:pPr>
      <w:r>
        <w:rPr>
          <w:color w:val="0000FF"/>
        </w:rPr>
        <w:t>本项目实验室可归为微生物实验和理化实验两大类，因此本次评价按照这两种实验用水情况进行分析。</w:t>
      </w:r>
    </w:p>
    <w:p>
      <w:pPr>
        <w:keepNext w:val="0"/>
        <w:keepLines w:val="0"/>
        <w:widowControl/>
        <w:suppressLineNumbers w:val="0"/>
        <w:jc w:val="left"/>
        <w:rPr>
          <w:color w:val="0000FF"/>
        </w:rPr>
      </w:pPr>
      <w:r>
        <w:rPr>
          <w:color w:val="0000FF"/>
        </w:rPr>
        <w:t>微生物实验用水主要为实验后的器皿清洗用水，其中感染性的器皿先用实验室内高压蒸汽灭菌消毒后，再进行清洗，清洗用水量为0.5m</w:t>
      </w:r>
      <w:r>
        <w:rPr>
          <w:color w:val="0000FF"/>
          <w:vertAlign w:val="superscript"/>
        </w:rPr>
        <w:t>3</w:t>
      </w:r>
      <w:r>
        <w:rPr>
          <w:color w:val="0000FF"/>
        </w:rPr>
        <w:t>/d，由于微生物实验室内微生物培养工程使用营养物质，因此微生物实验室清洗废水污染物主要为COD、BOD5、SS及粪大肠菌群。</w:t>
      </w:r>
    </w:p>
    <w:p>
      <w:pPr>
        <w:bidi w:val="0"/>
        <w:rPr>
          <w:color w:val="0000FF"/>
        </w:rPr>
      </w:pPr>
      <w:r>
        <w:rPr>
          <w:color w:val="0000FF"/>
        </w:rPr>
        <w:t>理化实验用水主要产生于玻璃器皿的冲洗过程，废水产生量约为0.2m</w:t>
      </w:r>
      <w:r>
        <w:rPr>
          <w:color w:val="0000FF"/>
          <w:vertAlign w:val="superscript"/>
        </w:rPr>
        <w:t>3</w:t>
      </w:r>
      <w:r>
        <w:rPr>
          <w:color w:val="0000FF"/>
        </w:rPr>
        <w:t>/d，因在检验和制作化学清洗剂时会使用硝酸、硫酸等酸性物质，故理化实验室清洗废水主要为酸性废水，评价建议对该酸性废水先采用中和法预处理（中和剂为NaOH）使废水pH值达到6～9后再排入自建污水处理站进行处理。</w:t>
      </w:r>
    </w:p>
    <w:p>
      <w:pPr>
        <w:bidi w:val="0"/>
        <w:rPr>
          <w:color w:val="0000FF"/>
        </w:rPr>
      </w:pPr>
      <w:r>
        <w:rPr>
          <w:color w:val="0000FF"/>
        </w:rPr>
        <w:t>综上所述，本项目实验用水量为1m</w:t>
      </w:r>
      <w:r>
        <w:rPr>
          <w:color w:val="0000FF"/>
          <w:vertAlign w:val="superscript"/>
        </w:rPr>
        <w:t>3</w:t>
      </w:r>
      <w:r>
        <w:rPr>
          <w:color w:val="0000FF"/>
        </w:rPr>
        <w:t>/d（</w:t>
      </w:r>
      <w:r>
        <w:rPr>
          <w:rFonts w:hint="eastAsia"/>
          <w:color w:val="0000FF"/>
          <w:lang w:val="en-US" w:eastAsia="zh-CN"/>
        </w:rPr>
        <w:t>300</w:t>
      </w:r>
      <w:r>
        <w:rPr>
          <w:color w:val="0000FF"/>
        </w:rPr>
        <w:t>m</w:t>
      </w:r>
      <w:r>
        <w:rPr>
          <w:color w:val="0000FF"/>
          <w:vertAlign w:val="superscript"/>
        </w:rPr>
        <w:t>3</w:t>
      </w:r>
      <w:r>
        <w:rPr>
          <w:color w:val="0000FF"/>
        </w:rPr>
        <w:t>/a），实验废水产生量为0.7m</w:t>
      </w:r>
      <w:r>
        <w:rPr>
          <w:color w:val="0000FF"/>
          <w:vertAlign w:val="superscript"/>
        </w:rPr>
        <w:t>3</w:t>
      </w:r>
      <w:r>
        <w:rPr>
          <w:color w:val="0000FF"/>
        </w:rPr>
        <w:t>/d（</w:t>
      </w:r>
      <w:r>
        <w:rPr>
          <w:rFonts w:hint="eastAsia"/>
          <w:color w:val="0000FF"/>
          <w:lang w:val="en-US" w:eastAsia="zh-CN"/>
        </w:rPr>
        <w:t>210</w:t>
      </w:r>
      <w:r>
        <w:rPr>
          <w:color w:val="0000FF"/>
        </w:rPr>
        <w:t>m</w:t>
      </w:r>
      <w:r>
        <w:rPr>
          <w:color w:val="0000FF"/>
          <w:vertAlign w:val="superscript"/>
        </w:rPr>
        <w:t>3</w:t>
      </w:r>
      <w:r>
        <w:rPr>
          <w:color w:val="0000FF"/>
        </w:rPr>
        <w:t>/a）。</w:t>
      </w:r>
    </w:p>
    <w:p>
      <w:pPr>
        <w:bidi w:val="0"/>
        <w:rPr>
          <w:color w:val="0000FF"/>
        </w:rPr>
      </w:pPr>
      <w:r>
        <w:rPr>
          <w:color w:val="0000FF"/>
        </w:rPr>
        <w:t>本项目理化实验废水经酸碱中和预处理后、实验楼生活污水经化粪池预处理后与微生物实验室废水一同进入自建污水处理站进行处理；办公楼生活污水经化粪池处理后与前述废水一同经市政污水管网排入</w:t>
      </w:r>
      <w:r>
        <w:rPr>
          <w:rFonts w:hint="eastAsia"/>
          <w:color w:val="0000FF"/>
          <w:lang w:val="en-US" w:eastAsia="zh-CN"/>
        </w:rPr>
        <w:t>225团</w:t>
      </w:r>
      <w:r>
        <w:rPr>
          <w:color w:val="0000FF"/>
        </w:rPr>
        <w:t>污水处理厂进行进一步处理后用于下游生态林绿化灌溉。</w:t>
      </w:r>
    </w:p>
    <w:p>
      <w:pPr>
        <w:pStyle w:val="22"/>
        <w:bidi w:val="0"/>
        <w:rPr>
          <w:b/>
          <w:bCs/>
          <w:color w:val="0000FF"/>
        </w:rPr>
      </w:pPr>
      <w:r>
        <w:rPr>
          <w:b/>
          <w:bCs/>
          <w:color w:val="0000FF"/>
        </w:rPr>
        <w:t>表3</w:t>
      </w:r>
      <w:r>
        <w:rPr>
          <w:rFonts w:hint="eastAsia"/>
          <w:b/>
          <w:bCs/>
          <w:color w:val="0000FF"/>
          <w:lang w:val="en-US" w:eastAsia="zh-CN"/>
        </w:rPr>
        <w:t>.2-2</w:t>
      </w:r>
      <w:r>
        <w:rPr>
          <w:b/>
          <w:bCs/>
          <w:color w:val="0000FF"/>
        </w:rPr>
        <w:t>项目用排水情况表</w:t>
      </w:r>
    </w:p>
    <w:p>
      <w:pPr>
        <w:spacing w:line="35" w:lineRule="exact"/>
        <w:rPr>
          <w:color w:val="0000FF"/>
        </w:rPr>
      </w:pPr>
    </w:p>
    <w:tbl>
      <w:tblPr>
        <w:tblStyle w:val="23"/>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991"/>
        <w:gridCol w:w="1134"/>
        <w:gridCol w:w="851"/>
        <w:gridCol w:w="1416"/>
        <w:gridCol w:w="852"/>
        <w:gridCol w:w="993"/>
        <w:gridCol w:w="851"/>
        <w:gridCol w:w="9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37" w:type="dxa"/>
            <w:textDirection w:val="tbRlV"/>
            <w:vAlign w:val="center"/>
          </w:tcPr>
          <w:p>
            <w:pPr>
              <w:pStyle w:val="22"/>
              <w:bidi w:val="0"/>
              <w:jc w:val="center"/>
              <w:rPr>
                <w:color w:val="0000FF"/>
              </w:rPr>
            </w:pPr>
            <w:r>
              <w:rPr>
                <w:color w:val="0000FF"/>
              </w:rPr>
              <w:t>序号</w:t>
            </w:r>
          </w:p>
        </w:tc>
        <w:tc>
          <w:tcPr>
            <w:tcW w:w="2125" w:type="dxa"/>
            <w:gridSpan w:val="2"/>
            <w:vAlign w:val="center"/>
          </w:tcPr>
          <w:p>
            <w:pPr>
              <w:pStyle w:val="22"/>
              <w:bidi w:val="0"/>
              <w:jc w:val="center"/>
              <w:rPr>
                <w:color w:val="0000FF"/>
              </w:rPr>
            </w:pPr>
            <w:r>
              <w:rPr>
                <w:color w:val="0000FF"/>
              </w:rPr>
              <w:t>用水项目</w:t>
            </w:r>
          </w:p>
        </w:tc>
        <w:tc>
          <w:tcPr>
            <w:tcW w:w="851" w:type="dxa"/>
            <w:vAlign w:val="center"/>
          </w:tcPr>
          <w:p>
            <w:pPr>
              <w:pStyle w:val="22"/>
              <w:bidi w:val="0"/>
              <w:jc w:val="center"/>
              <w:rPr>
                <w:color w:val="0000FF"/>
              </w:rPr>
            </w:pPr>
            <w:r>
              <w:rPr>
                <w:color w:val="0000FF"/>
              </w:rPr>
              <w:t>数量</w:t>
            </w:r>
          </w:p>
        </w:tc>
        <w:tc>
          <w:tcPr>
            <w:tcW w:w="1416" w:type="dxa"/>
            <w:vAlign w:val="center"/>
          </w:tcPr>
          <w:p>
            <w:pPr>
              <w:pStyle w:val="22"/>
              <w:bidi w:val="0"/>
              <w:jc w:val="center"/>
              <w:rPr>
                <w:color w:val="0000FF"/>
              </w:rPr>
            </w:pPr>
            <w:r>
              <w:rPr>
                <w:color w:val="0000FF"/>
              </w:rPr>
              <w:t>用水量标准</w:t>
            </w:r>
          </w:p>
        </w:tc>
        <w:tc>
          <w:tcPr>
            <w:tcW w:w="852" w:type="dxa"/>
            <w:vAlign w:val="center"/>
          </w:tcPr>
          <w:p>
            <w:pPr>
              <w:pStyle w:val="22"/>
              <w:bidi w:val="0"/>
              <w:jc w:val="center"/>
              <w:rPr>
                <w:color w:val="0000FF"/>
              </w:rPr>
            </w:pPr>
            <w:r>
              <w:rPr>
                <w:color w:val="0000FF"/>
              </w:rPr>
              <w:t>日用水量m3/d</w:t>
            </w:r>
          </w:p>
        </w:tc>
        <w:tc>
          <w:tcPr>
            <w:tcW w:w="993" w:type="dxa"/>
            <w:vAlign w:val="center"/>
          </w:tcPr>
          <w:p>
            <w:pPr>
              <w:pStyle w:val="22"/>
              <w:bidi w:val="0"/>
              <w:jc w:val="center"/>
              <w:rPr>
                <w:color w:val="0000FF"/>
              </w:rPr>
            </w:pPr>
            <w:r>
              <w:rPr>
                <w:color w:val="0000FF"/>
              </w:rPr>
              <w:t>日排水量m3/d</w:t>
            </w:r>
          </w:p>
        </w:tc>
        <w:tc>
          <w:tcPr>
            <w:tcW w:w="851" w:type="dxa"/>
            <w:vAlign w:val="center"/>
          </w:tcPr>
          <w:p>
            <w:pPr>
              <w:pStyle w:val="22"/>
              <w:bidi w:val="0"/>
              <w:jc w:val="center"/>
              <w:rPr>
                <w:color w:val="0000FF"/>
              </w:rPr>
            </w:pPr>
            <w:r>
              <w:rPr>
                <w:color w:val="0000FF"/>
              </w:rPr>
              <w:t>年用水量m3/a</w:t>
            </w:r>
          </w:p>
        </w:tc>
        <w:tc>
          <w:tcPr>
            <w:tcW w:w="901" w:type="dxa"/>
            <w:vAlign w:val="center"/>
          </w:tcPr>
          <w:p>
            <w:pPr>
              <w:pStyle w:val="22"/>
              <w:bidi w:val="0"/>
              <w:jc w:val="center"/>
              <w:rPr>
                <w:color w:val="0000FF"/>
              </w:rPr>
            </w:pPr>
            <w:r>
              <w:rPr>
                <w:color w:val="0000FF"/>
              </w:rPr>
              <w:t>年排水量m3/a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7" w:type="dxa"/>
            <w:vAlign w:val="center"/>
          </w:tcPr>
          <w:p>
            <w:pPr>
              <w:pStyle w:val="22"/>
              <w:bidi w:val="0"/>
              <w:jc w:val="center"/>
              <w:rPr>
                <w:color w:val="0000FF"/>
              </w:rPr>
            </w:pPr>
            <w:r>
              <w:rPr>
                <w:color w:val="0000FF"/>
              </w:rPr>
              <w:t>1</w:t>
            </w:r>
          </w:p>
        </w:tc>
        <w:tc>
          <w:tcPr>
            <w:tcW w:w="2125" w:type="dxa"/>
            <w:gridSpan w:val="2"/>
            <w:vAlign w:val="center"/>
          </w:tcPr>
          <w:p>
            <w:pPr>
              <w:pStyle w:val="22"/>
              <w:bidi w:val="0"/>
              <w:jc w:val="center"/>
              <w:rPr>
                <w:color w:val="0000FF"/>
              </w:rPr>
            </w:pPr>
            <w:r>
              <w:rPr>
                <w:color w:val="0000FF"/>
              </w:rPr>
              <w:t>办公楼生活用水</w:t>
            </w:r>
          </w:p>
        </w:tc>
        <w:tc>
          <w:tcPr>
            <w:tcW w:w="851" w:type="dxa"/>
            <w:vAlign w:val="center"/>
          </w:tcPr>
          <w:p>
            <w:pPr>
              <w:pStyle w:val="22"/>
              <w:bidi w:val="0"/>
              <w:jc w:val="center"/>
              <w:rPr>
                <w:color w:val="0000FF"/>
              </w:rPr>
            </w:pPr>
            <w:r>
              <w:rPr>
                <w:rFonts w:hint="eastAsia"/>
                <w:color w:val="0000FF"/>
                <w:lang w:val="en-US" w:eastAsia="zh-CN"/>
              </w:rPr>
              <w:t>8</w:t>
            </w:r>
            <w:r>
              <w:rPr>
                <w:color w:val="0000FF"/>
              </w:rPr>
              <w:t>人</w:t>
            </w:r>
          </w:p>
        </w:tc>
        <w:tc>
          <w:tcPr>
            <w:tcW w:w="1416" w:type="dxa"/>
            <w:vAlign w:val="center"/>
          </w:tcPr>
          <w:p>
            <w:pPr>
              <w:pStyle w:val="22"/>
              <w:bidi w:val="0"/>
              <w:jc w:val="center"/>
              <w:rPr>
                <w:color w:val="0000FF"/>
              </w:rPr>
            </w:pPr>
            <w:r>
              <w:rPr>
                <w:rFonts w:hint="eastAsia"/>
                <w:color w:val="0000FF"/>
                <w:lang w:val="en-US" w:eastAsia="zh-CN"/>
              </w:rPr>
              <w:t>25</w:t>
            </w:r>
            <w:r>
              <w:rPr>
                <w:color w:val="0000FF"/>
              </w:rPr>
              <w:t>L/人•d</w:t>
            </w:r>
          </w:p>
        </w:tc>
        <w:tc>
          <w:tcPr>
            <w:tcW w:w="852" w:type="dxa"/>
            <w:vAlign w:val="center"/>
          </w:tcPr>
          <w:p>
            <w:pPr>
              <w:pStyle w:val="22"/>
              <w:bidi w:val="0"/>
              <w:jc w:val="center"/>
              <w:rPr>
                <w:rFonts w:hint="default" w:eastAsia="宋体"/>
                <w:color w:val="0000FF"/>
                <w:lang w:val="en-US" w:eastAsia="zh-CN"/>
              </w:rPr>
            </w:pPr>
            <w:r>
              <w:rPr>
                <w:rFonts w:hint="eastAsia"/>
                <w:color w:val="0000FF"/>
                <w:lang w:val="en-US" w:eastAsia="zh-CN"/>
              </w:rPr>
              <w:t>0.2</w:t>
            </w:r>
          </w:p>
        </w:tc>
        <w:tc>
          <w:tcPr>
            <w:tcW w:w="993" w:type="dxa"/>
            <w:vAlign w:val="center"/>
          </w:tcPr>
          <w:p>
            <w:pPr>
              <w:pStyle w:val="22"/>
              <w:bidi w:val="0"/>
              <w:jc w:val="center"/>
              <w:rPr>
                <w:rFonts w:hint="default" w:eastAsia="宋体"/>
                <w:color w:val="0000FF"/>
                <w:lang w:val="en-US" w:eastAsia="zh-CN"/>
              </w:rPr>
            </w:pPr>
            <w:r>
              <w:rPr>
                <w:color w:val="0000FF"/>
              </w:rPr>
              <w:t>0.</w:t>
            </w:r>
            <w:r>
              <w:rPr>
                <w:rFonts w:hint="eastAsia"/>
                <w:color w:val="0000FF"/>
                <w:lang w:val="en-US" w:eastAsia="zh-CN"/>
              </w:rPr>
              <w:t>16</w:t>
            </w:r>
          </w:p>
        </w:tc>
        <w:tc>
          <w:tcPr>
            <w:tcW w:w="851" w:type="dxa"/>
            <w:vAlign w:val="center"/>
          </w:tcPr>
          <w:p>
            <w:pPr>
              <w:pStyle w:val="22"/>
              <w:bidi w:val="0"/>
              <w:jc w:val="center"/>
              <w:rPr>
                <w:rFonts w:hint="default" w:eastAsia="宋体"/>
                <w:color w:val="0000FF"/>
                <w:lang w:val="en-US" w:eastAsia="zh-CN"/>
              </w:rPr>
            </w:pPr>
            <w:r>
              <w:rPr>
                <w:rFonts w:hint="eastAsia"/>
                <w:color w:val="0000FF"/>
                <w:lang w:val="en-US" w:eastAsia="zh-CN"/>
              </w:rPr>
              <w:t>60</w:t>
            </w:r>
          </w:p>
        </w:tc>
        <w:tc>
          <w:tcPr>
            <w:tcW w:w="901" w:type="dxa"/>
            <w:vAlign w:val="center"/>
          </w:tcPr>
          <w:p>
            <w:pPr>
              <w:pStyle w:val="22"/>
              <w:bidi w:val="0"/>
              <w:jc w:val="center"/>
              <w:rPr>
                <w:rFonts w:hint="default" w:eastAsia="宋体"/>
                <w:color w:val="0000FF"/>
                <w:lang w:val="en-US" w:eastAsia="zh-CN"/>
              </w:rPr>
            </w:pPr>
            <w:r>
              <w:rPr>
                <w:rFonts w:hint="eastAsia"/>
                <w:color w:val="0000FF"/>
                <w:lang w:val="en-US" w:eastAsia="zh-CN"/>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Merge w:val="restart"/>
            <w:tcBorders>
              <w:bottom w:val="nil"/>
            </w:tcBorders>
            <w:vAlign w:val="center"/>
          </w:tcPr>
          <w:p>
            <w:pPr>
              <w:pStyle w:val="22"/>
              <w:bidi w:val="0"/>
              <w:jc w:val="center"/>
              <w:rPr>
                <w:color w:val="0000FF"/>
              </w:rPr>
            </w:pPr>
          </w:p>
          <w:p>
            <w:pPr>
              <w:pStyle w:val="22"/>
              <w:bidi w:val="0"/>
              <w:jc w:val="center"/>
              <w:rPr>
                <w:color w:val="0000FF"/>
              </w:rPr>
            </w:pPr>
            <w:r>
              <w:rPr>
                <w:color w:val="0000FF"/>
              </w:rPr>
              <w:t>2</w:t>
            </w:r>
          </w:p>
        </w:tc>
        <w:tc>
          <w:tcPr>
            <w:tcW w:w="991" w:type="dxa"/>
            <w:vMerge w:val="restart"/>
            <w:tcBorders>
              <w:bottom w:val="nil"/>
            </w:tcBorders>
            <w:vAlign w:val="center"/>
          </w:tcPr>
          <w:p>
            <w:pPr>
              <w:pStyle w:val="22"/>
              <w:bidi w:val="0"/>
              <w:jc w:val="center"/>
              <w:rPr>
                <w:color w:val="0000FF"/>
              </w:rPr>
            </w:pPr>
            <w:r>
              <w:rPr>
                <w:color w:val="0000FF"/>
              </w:rPr>
              <w:t>实验楼</w:t>
            </w:r>
          </w:p>
          <w:p>
            <w:pPr>
              <w:pStyle w:val="22"/>
              <w:bidi w:val="0"/>
              <w:jc w:val="center"/>
              <w:rPr>
                <w:color w:val="0000FF"/>
              </w:rPr>
            </w:pPr>
            <w:r>
              <w:rPr>
                <w:color w:val="0000FF"/>
              </w:rPr>
              <w:t>生活用</w:t>
            </w:r>
          </w:p>
          <w:p>
            <w:pPr>
              <w:pStyle w:val="22"/>
              <w:bidi w:val="0"/>
              <w:jc w:val="center"/>
              <w:rPr>
                <w:color w:val="0000FF"/>
              </w:rPr>
            </w:pPr>
            <w:r>
              <w:rPr>
                <w:color w:val="0000FF"/>
              </w:rPr>
              <w:t>水</w:t>
            </w:r>
          </w:p>
        </w:tc>
        <w:tc>
          <w:tcPr>
            <w:tcW w:w="1134" w:type="dxa"/>
            <w:vAlign w:val="center"/>
          </w:tcPr>
          <w:p>
            <w:pPr>
              <w:pStyle w:val="22"/>
              <w:bidi w:val="0"/>
              <w:jc w:val="center"/>
              <w:rPr>
                <w:color w:val="0000FF"/>
              </w:rPr>
            </w:pPr>
            <w:r>
              <w:rPr>
                <w:color w:val="0000FF"/>
              </w:rPr>
              <w:t>办公人员</w:t>
            </w:r>
          </w:p>
        </w:tc>
        <w:tc>
          <w:tcPr>
            <w:tcW w:w="851" w:type="dxa"/>
            <w:vAlign w:val="center"/>
          </w:tcPr>
          <w:p>
            <w:pPr>
              <w:pStyle w:val="22"/>
              <w:bidi w:val="0"/>
              <w:jc w:val="center"/>
              <w:rPr>
                <w:color w:val="0000FF"/>
              </w:rPr>
            </w:pPr>
            <w:r>
              <w:rPr>
                <w:rFonts w:hint="eastAsia"/>
                <w:color w:val="0000FF"/>
                <w:lang w:val="en-US" w:eastAsia="zh-CN"/>
              </w:rPr>
              <w:t>12</w:t>
            </w:r>
            <w:r>
              <w:rPr>
                <w:color w:val="0000FF"/>
              </w:rPr>
              <w:t>人</w:t>
            </w:r>
          </w:p>
        </w:tc>
        <w:tc>
          <w:tcPr>
            <w:tcW w:w="1416" w:type="dxa"/>
            <w:vAlign w:val="center"/>
          </w:tcPr>
          <w:p>
            <w:pPr>
              <w:pStyle w:val="22"/>
              <w:bidi w:val="0"/>
              <w:jc w:val="center"/>
              <w:rPr>
                <w:color w:val="0000FF"/>
              </w:rPr>
            </w:pPr>
            <w:r>
              <w:rPr>
                <w:rFonts w:hint="eastAsia"/>
                <w:color w:val="0000FF"/>
                <w:lang w:val="en-US" w:eastAsia="zh-CN"/>
              </w:rPr>
              <w:t>25</w:t>
            </w:r>
            <w:r>
              <w:rPr>
                <w:color w:val="0000FF"/>
              </w:rPr>
              <w:t>L/人•d</w:t>
            </w:r>
          </w:p>
        </w:tc>
        <w:tc>
          <w:tcPr>
            <w:tcW w:w="852" w:type="dxa"/>
            <w:vAlign w:val="center"/>
          </w:tcPr>
          <w:p>
            <w:pPr>
              <w:pStyle w:val="22"/>
              <w:bidi w:val="0"/>
              <w:jc w:val="center"/>
              <w:rPr>
                <w:rFonts w:hint="default" w:eastAsia="宋体"/>
                <w:color w:val="0000FF"/>
                <w:lang w:val="en-US" w:eastAsia="zh-CN"/>
              </w:rPr>
            </w:pPr>
            <w:r>
              <w:rPr>
                <w:rFonts w:hint="eastAsia"/>
                <w:color w:val="0000FF"/>
                <w:lang w:val="en-US" w:eastAsia="zh-CN"/>
              </w:rPr>
              <w:t>0.3</w:t>
            </w:r>
          </w:p>
        </w:tc>
        <w:tc>
          <w:tcPr>
            <w:tcW w:w="993" w:type="dxa"/>
            <w:vAlign w:val="center"/>
          </w:tcPr>
          <w:p>
            <w:pPr>
              <w:pStyle w:val="22"/>
              <w:bidi w:val="0"/>
              <w:jc w:val="center"/>
              <w:rPr>
                <w:rFonts w:hint="default" w:eastAsia="宋体"/>
                <w:color w:val="0000FF"/>
                <w:lang w:val="en-US" w:eastAsia="zh-CN"/>
              </w:rPr>
            </w:pPr>
            <w:r>
              <w:rPr>
                <w:rFonts w:hint="eastAsia"/>
                <w:color w:val="0000FF"/>
                <w:lang w:val="en-US" w:eastAsia="zh-CN"/>
              </w:rPr>
              <w:t>0.24</w:t>
            </w:r>
          </w:p>
        </w:tc>
        <w:tc>
          <w:tcPr>
            <w:tcW w:w="851" w:type="dxa"/>
            <w:vAlign w:val="center"/>
          </w:tcPr>
          <w:p>
            <w:pPr>
              <w:pStyle w:val="22"/>
              <w:bidi w:val="0"/>
              <w:jc w:val="center"/>
              <w:rPr>
                <w:rFonts w:hint="default" w:eastAsia="宋体"/>
                <w:color w:val="0000FF"/>
                <w:lang w:val="en-US" w:eastAsia="zh-CN"/>
              </w:rPr>
            </w:pPr>
            <w:r>
              <w:rPr>
                <w:rFonts w:hint="eastAsia"/>
                <w:color w:val="0000FF"/>
                <w:lang w:val="en-US" w:eastAsia="zh-CN"/>
              </w:rPr>
              <w:t>90</w:t>
            </w:r>
          </w:p>
        </w:tc>
        <w:tc>
          <w:tcPr>
            <w:tcW w:w="901" w:type="dxa"/>
            <w:vAlign w:val="center"/>
          </w:tcPr>
          <w:p>
            <w:pPr>
              <w:pStyle w:val="22"/>
              <w:bidi w:val="0"/>
              <w:jc w:val="center"/>
              <w:rPr>
                <w:rFonts w:hint="default" w:eastAsia="宋体"/>
                <w:color w:val="0000FF"/>
                <w:lang w:val="en-US" w:eastAsia="zh-CN"/>
              </w:rPr>
            </w:pPr>
            <w:r>
              <w:rPr>
                <w:rFonts w:hint="eastAsia"/>
                <w:color w:val="0000FF"/>
                <w:lang w:val="en-US" w:eastAsia="zh-CN"/>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37" w:type="dxa"/>
            <w:vMerge w:val="continue"/>
            <w:tcBorders>
              <w:top w:val="nil"/>
            </w:tcBorders>
            <w:vAlign w:val="center"/>
          </w:tcPr>
          <w:p>
            <w:pPr>
              <w:pStyle w:val="22"/>
              <w:bidi w:val="0"/>
              <w:jc w:val="center"/>
              <w:rPr>
                <w:color w:val="0000FF"/>
              </w:rPr>
            </w:pPr>
          </w:p>
        </w:tc>
        <w:tc>
          <w:tcPr>
            <w:tcW w:w="991" w:type="dxa"/>
            <w:vMerge w:val="continue"/>
            <w:tcBorders>
              <w:top w:val="nil"/>
            </w:tcBorders>
            <w:vAlign w:val="center"/>
          </w:tcPr>
          <w:p>
            <w:pPr>
              <w:pStyle w:val="22"/>
              <w:bidi w:val="0"/>
              <w:jc w:val="center"/>
              <w:rPr>
                <w:color w:val="0000FF"/>
              </w:rPr>
            </w:pPr>
          </w:p>
        </w:tc>
        <w:tc>
          <w:tcPr>
            <w:tcW w:w="1134" w:type="dxa"/>
            <w:vAlign w:val="center"/>
          </w:tcPr>
          <w:p>
            <w:pPr>
              <w:pStyle w:val="22"/>
              <w:bidi w:val="0"/>
              <w:jc w:val="center"/>
              <w:rPr>
                <w:color w:val="0000FF"/>
              </w:rPr>
            </w:pPr>
            <w:r>
              <w:rPr>
                <w:color w:val="0000FF"/>
              </w:rPr>
              <w:t>体检人员</w:t>
            </w:r>
          </w:p>
        </w:tc>
        <w:tc>
          <w:tcPr>
            <w:tcW w:w="851" w:type="dxa"/>
            <w:vAlign w:val="center"/>
          </w:tcPr>
          <w:p>
            <w:pPr>
              <w:pStyle w:val="22"/>
              <w:bidi w:val="0"/>
              <w:jc w:val="center"/>
              <w:rPr>
                <w:color w:val="0000FF"/>
              </w:rPr>
            </w:pPr>
            <w:r>
              <w:rPr>
                <w:color w:val="0000FF"/>
              </w:rPr>
              <w:t>10人/d</w:t>
            </w:r>
          </w:p>
        </w:tc>
        <w:tc>
          <w:tcPr>
            <w:tcW w:w="1416" w:type="dxa"/>
            <w:vAlign w:val="center"/>
          </w:tcPr>
          <w:p>
            <w:pPr>
              <w:pStyle w:val="22"/>
              <w:bidi w:val="0"/>
              <w:jc w:val="center"/>
              <w:rPr>
                <w:color w:val="0000FF"/>
              </w:rPr>
            </w:pPr>
            <w:r>
              <w:rPr>
                <w:color w:val="0000FF"/>
              </w:rPr>
              <w:t>20L/人•次</w:t>
            </w:r>
          </w:p>
        </w:tc>
        <w:tc>
          <w:tcPr>
            <w:tcW w:w="852" w:type="dxa"/>
            <w:vAlign w:val="center"/>
          </w:tcPr>
          <w:p>
            <w:pPr>
              <w:pStyle w:val="22"/>
              <w:bidi w:val="0"/>
              <w:jc w:val="center"/>
              <w:rPr>
                <w:rFonts w:hint="default" w:eastAsia="宋体"/>
                <w:color w:val="0000FF"/>
                <w:lang w:val="en-US" w:eastAsia="zh-CN"/>
              </w:rPr>
            </w:pPr>
            <w:r>
              <w:rPr>
                <w:rFonts w:hint="eastAsia"/>
                <w:color w:val="0000FF"/>
                <w:lang w:val="en-US" w:eastAsia="zh-CN"/>
              </w:rPr>
              <w:t>0.3</w:t>
            </w:r>
          </w:p>
        </w:tc>
        <w:tc>
          <w:tcPr>
            <w:tcW w:w="993" w:type="dxa"/>
            <w:vAlign w:val="center"/>
          </w:tcPr>
          <w:p>
            <w:pPr>
              <w:pStyle w:val="22"/>
              <w:bidi w:val="0"/>
              <w:jc w:val="center"/>
              <w:rPr>
                <w:rFonts w:hint="default" w:eastAsia="宋体"/>
                <w:color w:val="0000FF"/>
                <w:lang w:val="en-US" w:eastAsia="zh-CN"/>
              </w:rPr>
            </w:pPr>
            <w:r>
              <w:rPr>
                <w:rFonts w:hint="eastAsia"/>
                <w:color w:val="0000FF"/>
                <w:lang w:val="en-US" w:eastAsia="zh-CN"/>
              </w:rPr>
              <w:t>0.24</w:t>
            </w:r>
          </w:p>
        </w:tc>
        <w:tc>
          <w:tcPr>
            <w:tcW w:w="851" w:type="dxa"/>
            <w:vAlign w:val="center"/>
          </w:tcPr>
          <w:p>
            <w:pPr>
              <w:pStyle w:val="22"/>
              <w:bidi w:val="0"/>
              <w:jc w:val="center"/>
              <w:rPr>
                <w:rFonts w:hint="default" w:eastAsia="宋体"/>
                <w:color w:val="0000FF"/>
                <w:lang w:val="en-US" w:eastAsia="zh-CN"/>
              </w:rPr>
            </w:pPr>
            <w:r>
              <w:rPr>
                <w:rFonts w:hint="eastAsia"/>
                <w:color w:val="0000FF"/>
                <w:lang w:val="en-US" w:eastAsia="zh-CN"/>
              </w:rPr>
              <w:t>90</w:t>
            </w:r>
          </w:p>
        </w:tc>
        <w:tc>
          <w:tcPr>
            <w:tcW w:w="901" w:type="dxa"/>
            <w:vAlign w:val="center"/>
          </w:tcPr>
          <w:p>
            <w:pPr>
              <w:pStyle w:val="22"/>
              <w:bidi w:val="0"/>
              <w:jc w:val="center"/>
              <w:rPr>
                <w:rFonts w:hint="default" w:eastAsia="宋体"/>
                <w:color w:val="0000FF"/>
                <w:lang w:val="en-US" w:eastAsia="zh-CN"/>
              </w:rPr>
            </w:pPr>
            <w:r>
              <w:rPr>
                <w:rFonts w:hint="eastAsia"/>
                <w:color w:val="0000FF"/>
                <w:lang w:val="en-US" w:eastAsia="zh-CN"/>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Align w:val="center"/>
          </w:tcPr>
          <w:p>
            <w:pPr>
              <w:pStyle w:val="22"/>
              <w:bidi w:val="0"/>
              <w:jc w:val="center"/>
              <w:rPr>
                <w:color w:val="0000FF"/>
              </w:rPr>
            </w:pPr>
            <w:r>
              <w:rPr>
                <w:color w:val="0000FF"/>
              </w:rPr>
              <w:t>3</w:t>
            </w:r>
          </w:p>
        </w:tc>
        <w:tc>
          <w:tcPr>
            <w:tcW w:w="2125" w:type="dxa"/>
            <w:gridSpan w:val="2"/>
            <w:vAlign w:val="center"/>
          </w:tcPr>
          <w:p>
            <w:pPr>
              <w:pStyle w:val="22"/>
              <w:bidi w:val="0"/>
              <w:jc w:val="center"/>
              <w:rPr>
                <w:color w:val="0000FF"/>
              </w:rPr>
            </w:pPr>
            <w:r>
              <w:rPr>
                <w:color w:val="0000FF"/>
              </w:rPr>
              <w:t>纯水制备</w:t>
            </w:r>
          </w:p>
        </w:tc>
        <w:tc>
          <w:tcPr>
            <w:tcW w:w="851" w:type="dxa"/>
            <w:vMerge w:val="restart"/>
            <w:tcBorders>
              <w:bottom w:val="nil"/>
            </w:tcBorders>
            <w:vAlign w:val="center"/>
          </w:tcPr>
          <w:p>
            <w:pPr>
              <w:pStyle w:val="22"/>
              <w:bidi w:val="0"/>
              <w:jc w:val="center"/>
              <w:rPr>
                <w:color w:val="0000FF"/>
              </w:rPr>
            </w:pPr>
          </w:p>
          <w:p>
            <w:pPr>
              <w:pStyle w:val="22"/>
              <w:bidi w:val="0"/>
              <w:jc w:val="center"/>
              <w:rPr>
                <w:color w:val="0000FF"/>
              </w:rPr>
            </w:pPr>
            <w:r>
              <w:rPr>
                <w:color w:val="0000FF"/>
              </w:rPr>
              <w:t>/</w:t>
            </w:r>
          </w:p>
        </w:tc>
        <w:tc>
          <w:tcPr>
            <w:tcW w:w="1416" w:type="dxa"/>
            <w:vMerge w:val="restart"/>
            <w:tcBorders>
              <w:bottom w:val="nil"/>
            </w:tcBorders>
            <w:vAlign w:val="center"/>
          </w:tcPr>
          <w:p>
            <w:pPr>
              <w:pStyle w:val="22"/>
              <w:bidi w:val="0"/>
              <w:jc w:val="center"/>
              <w:rPr>
                <w:color w:val="0000FF"/>
              </w:rPr>
            </w:pPr>
          </w:p>
          <w:p>
            <w:pPr>
              <w:pStyle w:val="22"/>
              <w:bidi w:val="0"/>
              <w:jc w:val="center"/>
              <w:rPr>
                <w:color w:val="0000FF"/>
              </w:rPr>
            </w:pPr>
            <w:r>
              <w:rPr>
                <w:color w:val="0000FF"/>
              </w:rPr>
              <w:t>/</w:t>
            </w:r>
          </w:p>
        </w:tc>
        <w:tc>
          <w:tcPr>
            <w:tcW w:w="852" w:type="dxa"/>
            <w:vMerge w:val="restart"/>
            <w:tcBorders>
              <w:bottom w:val="nil"/>
            </w:tcBorders>
            <w:vAlign w:val="center"/>
          </w:tcPr>
          <w:p>
            <w:pPr>
              <w:pStyle w:val="22"/>
              <w:bidi w:val="0"/>
              <w:jc w:val="center"/>
              <w:rPr>
                <w:color w:val="0000FF"/>
              </w:rPr>
            </w:pPr>
            <w:r>
              <w:rPr>
                <w:color w:val="0000FF"/>
              </w:rPr>
              <w:t>1</w:t>
            </w:r>
          </w:p>
        </w:tc>
        <w:tc>
          <w:tcPr>
            <w:tcW w:w="993" w:type="dxa"/>
            <w:vAlign w:val="center"/>
          </w:tcPr>
          <w:p>
            <w:pPr>
              <w:pStyle w:val="22"/>
              <w:bidi w:val="0"/>
              <w:jc w:val="center"/>
              <w:rPr>
                <w:color w:val="0000FF"/>
              </w:rPr>
            </w:pPr>
            <w:r>
              <w:rPr>
                <w:color w:val="0000FF"/>
              </w:rPr>
              <w:t>0.3</w:t>
            </w:r>
          </w:p>
        </w:tc>
        <w:tc>
          <w:tcPr>
            <w:tcW w:w="851" w:type="dxa"/>
            <w:vMerge w:val="restart"/>
            <w:tcBorders>
              <w:bottom w:val="nil"/>
            </w:tcBorders>
            <w:vAlign w:val="center"/>
          </w:tcPr>
          <w:p>
            <w:pPr>
              <w:pStyle w:val="22"/>
              <w:bidi w:val="0"/>
              <w:jc w:val="center"/>
              <w:rPr>
                <w:rFonts w:hint="default" w:eastAsia="宋体"/>
                <w:color w:val="0000FF"/>
                <w:lang w:val="en-US" w:eastAsia="zh-CN"/>
              </w:rPr>
            </w:pPr>
            <w:r>
              <w:rPr>
                <w:rFonts w:hint="eastAsia"/>
                <w:color w:val="0000FF"/>
                <w:lang w:val="en-US" w:eastAsia="zh-CN"/>
              </w:rPr>
              <w:t>300</w:t>
            </w:r>
          </w:p>
        </w:tc>
        <w:tc>
          <w:tcPr>
            <w:tcW w:w="901" w:type="dxa"/>
            <w:vAlign w:val="center"/>
          </w:tcPr>
          <w:p>
            <w:pPr>
              <w:pStyle w:val="22"/>
              <w:bidi w:val="0"/>
              <w:jc w:val="center"/>
              <w:rPr>
                <w:rFonts w:hint="default" w:eastAsia="宋体"/>
                <w:color w:val="0000FF"/>
                <w:lang w:val="en-US" w:eastAsia="zh-CN"/>
              </w:rPr>
            </w:pPr>
            <w:r>
              <w:rPr>
                <w:rFonts w:hint="eastAsia"/>
                <w:color w:val="0000FF"/>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7" w:type="dxa"/>
            <w:vAlign w:val="center"/>
          </w:tcPr>
          <w:p>
            <w:pPr>
              <w:pStyle w:val="22"/>
              <w:bidi w:val="0"/>
              <w:jc w:val="center"/>
              <w:rPr>
                <w:color w:val="0000FF"/>
              </w:rPr>
            </w:pPr>
            <w:r>
              <w:rPr>
                <w:color w:val="0000FF"/>
              </w:rPr>
              <w:t>4</w:t>
            </w:r>
          </w:p>
        </w:tc>
        <w:tc>
          <w:tcPr>
            <w:tcW w:w="2125" w:type="dxa"/>
            <w:gridSpan w:val="2"/>
            <w:vAlign w:val="center"/>
          </w:tcPr>
          <w:p>
            <w:pPr>
              <w:pStyle w:val="22"/>
              <w:bidi w:val="0"/>
              <w:jc w:val="center"/>
              <w:rPr>
                <w:color w:val="0000FF"/>
              </w:rPr>
            </w:pPr>
            <w:r>
              <w:rPr>
                <w:color w:val="0000FF"/>
              </w:rPr>
              <w:t>微生物实验</w:t>
            </w:r>
          </w:p>
        </w:tc>
        <w:tc>
          <w:tcPr>
            <w:tcW w:w="851" w:type="dxa"/>
            <w:vMerge w:val="continue"/>
            <w:tcBorders>
              <w:top w:val="nil"/>
              <w:bottom w:val="nil"/>
            </w:tcBorders>
            <w:vAlign w:val="center"/>
          </w:tcPr>
          <w:p>
            <w:pPr>
              <w:pStyle w:val="22"/>
              <w:bidi w:val="0"/>
              <w:jc w:val="center"/>
              <w:rPr>
                <w:color w:val="0000FF"/>
              </w:rPr>
            </w:pPr>
          </w:p>
        </w:tc>
        <w:tc>
          <w:tcPr>
            <w:tcW w:w="1416" w:type="dxa"/>
            <w:vMerge w:val="continue"/>
            <w:tcBorders>
              <w:top w:val="nil"/>
              <w:bottom w:val="nil"/>
            </w:tcBorders>
            <w:vAlign w:val="center"/>
          </w:tcPr>
          <w:p>
            <w:pPr>
              <w:pStyle w:val="22"/>
              <w:bidi w:val="0"/>
              <w:jc w:val="center"/>
              <w:rPr>
                <w:color w:val="0000FF"/>
              </w:rPr>
            </w:pPr>
          </w:p>
        </w:tc>
        <w:tc>
          <w:tcPr>
            <w:tcW w:w="852" w:type="dxa"/>
            <w:vMerge w:val="continue"/>
            <w:tcBorders>
              <w:top w:val="nil"/>
              <w:bottom w:val="nil"/>
            </w:tcBorders>
            <w:vAlign w:val="center"/>
          </w:tcPr>
          <w:p>
            <w:pPr>
              <w:pStyle w:val="22"/>
              <w:bidi w:val="0"/>
              <w:jc w:val="center"/>
              <w:rPr>
                <w:color w:val="0000FF"/>
              </w:rPr>
            </w:pPr>
          </w:p>
        </w:tc>
        <w:tc>
          <w:tcPr>
            <w:tcW w:w="993" w:type="dxa"/>
            <w:vAlign w:val="center"/>
          </w:tcPr>
          <w:p>
            <w:pPr>
              <w:pStyle w:val="22"/>
              <w:bidi w:val="0"/>
              <w:jc w:val="center"/>
              <w:rPr>
                <w:color w:val="0000FF"/>
              </w:rPr>
            </w:pPr>
            <w:r>
              <w:rPr>
                <w:color w:val="0000FF"/>
              </w:rPr>
              <w:t>0.5</w:t>
            </w:r>
          </w:p>
        </w:tc>
        <w:tc>
          <w:tcPr>
            <w:tcW w:w="851" w:type="dxa"/>
            <w:vMerge w:val="continue"/>
            <w:tcBorders>
              <w:top w:val="nil"/>
              <w:bottom w:val="nil"/>
            </w:tcBorders>
            <w:vAlign w:val="center"/>
          </w:tcPr>
          <w:p>
            <w:pPr>
              <w:pStyle w:val="22"/>
              <w:bidi w:val="0"/>
              <w:jc w:val="center"/>
              <w:rPr>
                <w:color w:val="0000FF"/>
              </w:rPr>
            </w:pPr>
          </w:p>
        </w:tc>
        <w:tc>
          <w:tcPr>
            <w:tcW w:w="901" w:type="dxa"/>
            <w:vAlign w:val="center"/>
          </w:tcPr>
          <w:p>
            <w:pPr>
              <w:pStyle w:val="22"/>
              <w:bidi w:val="0"/>
              <w:jc w:val="center"/>
              <w:rPr>
                <w:rFonts w:hint="default" w:eastAsia="宋体"/>
                <w:color w:val="0000FF"/>
                <w:lang w:val="en-US" w:eastAsia="zh-CN"/>
              </w:rPr>
            </w:pPr>
            <w:r>
              <w:rPr>
                <w:rFonts w:hint="eastAsia"/>
                <w:color w:val="0000FF"/>
                <w:lang w:val="en-US" w:eastAsia="zh-CN"/>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7" w:type="dxa"/>
            <w:vAlign w:val="center"/>
          </w:tcPr>
          <w:p>
            <w:pPr>
              <w:pStyle w:val="22"/>
              <w:bidi w:val="0"/>
              <w:jc w:val="center"/>
              <w:rPr>
                <w:color w:val="0000FF"/>
              </w:rPr>
            </w:pPr>
            <w:r>
              <w:rPr>
                <w:color w:val="0000FF"/>
              </w:rPr>
              <w:t>5</w:t>
            </w:r>
          </w:p>
        </w:tc>
        <w:tc>
          <w:tcPr>
            <w:tcW w:w="2125" w:type="dxa"/>
            <w:gridSpan w:val="2"/>
            <w:vAlign w:val="center"/>
          </w:tcPr>
          <w:p>
            <w:pPr>
              <w:pStyle w:val="22"/>
              <w:bidi w:val="0"/>
              <w:jc w:val="center"/>
              <w:rPr>
                <w:color w:val="0000FF"/>
              </w:rPr>
            </w:pPr>
            <w:r>
              <w:rPr>
                <w:color w:val="0000FF"/>
              </w:rPr>
              <w:t>理化试验</w:t>
            </w:r>
          </w:p>
        </w:tc>
        <w:tc>
          <w:tcPr>
            <w:tcW w:w="851" w:type="dxa"/>
            <w:vMerge w:val="continue"/>
            <w:tcBorders>
              <w:top w:val="nil"/>
            </w:tcBorders>
            <w:vAlign w:val="center"/>
          </w:tcPr>
          <w:p>
            <w:pPr>
              <w:pStyle w:val="22"/>
              <w:bidi w:val="0"/>
              <w:jc w:val="center"/>
              <w:rPr>
                <w:color w:val="0000FF"/>
              </w:rPr>
            </w:pPr>
          </w:p>
        </w:tc>
        <w:tc>
          <w:tcPr>
            <w:tcW w:w="1416" w:type="dxa"/>
            <w:vMerge w:val="continue"/>
            <w:tcBorders>
              <w:top w:val="nil"/>
            </w:tcBorders>
            <w:vAlign w:val="center"/>
          </w:tcPr>
          <w:p>
            <w:pPr>
              <w:pStyle w:val="22"/>
              <w:bidi w:val="0"/>
              <w:jc w:val="center"/>
              <w:rPr>
                <w:color w:val="0000FF"/>
              </w:rPr>
            </w:pPr>
          </w:p>
        </w:tc>
        <w:tc>
          <w:tcPr>
            <w:tcW w:w="852" w:type="dxa"/>
            <w:vMerge w:val="continue"/>
            <w:tcBorders>
              <w:top w:val="nil"/>
            </w:tcBorders>
            <w:vAlign w:val="center"/>
          </w:tcPr>
          <w:p>
            <w:pPr>
              <w:pStyle w:val="22"/>
              <w:bidi w:val="0"/>
              <w:jc w:val="center"/>
              <w:rPr>
                <w:color w:val="0000FF"/>
              </w:rPr>
            </w:pPr>
          </w:p>
        </w:tc>
        <w:tc>
          <w:tcPr>
            <w:tcW w:w="993" w:type="dxa"/>
            <w:vAlign w:val="center"/>
          </w:tcPr>
          <w:p>
            <w:pPr>
              <w:pStyle w:val="22"/>
              <w:bidi w:val="0"/>
              <w:jc w:val="center"/>
              <w:rPr>
                <w:color w:val="0000FF"/>
              </w:rPr>
            </w:pPr>
            <w:r>
              <w:rPr>
                <w:color w:val="0000FF"/>
              </w:rPr>
              <w:t>0.2</w:t>
            </w:r>
          </w:p>
        </w:tc>
        <w:tc>
          <w:tcPr>
            <w:tcW w:w="851" w:type="dxa"/>
            <w:vMerge w:val="continue"/>
            <w:tcBorders>
              <w:top w:val="nil"/>
            </w:tcBorders>
            <w:vAlign w:val="center"/>
          </w:tcPr>
          <w:p>
            <w:pPr>
              <w:pStyle w:val="22"/>
              <w:bidi w:val="0"/>
              <w:jc w:val="center"/>
              <w:rPr>
                <w:color w:val="0000FF"/>
              </w:rPr>
            </w:pPr>
          </w:p>
        </w:tc>
        <w:tc>
          <w:tcPr>
            <w:tcW w:w="901" w:type="dxa"/>
            <w:vAlign w:val="center"/>
          </w:tcPr>
          <w:p>
            <w:pPr>
              <w:pStyle w:val="22"/>
              <w:bidi w:val="0"/>
              <w:jc w:val="center"/>
              <w:rPr>
                <w:rFonts w:hint="default" w:eastAsia="宋体"/>
                <w:color w:val="0000FF"/>
                <w:lang w:val="en-US" w:eastAsia="zh-CN"/>
              </w:rPr>
            </w:pPr>
            <w:r>
              <w:rPr>
                <w:rFonts w:hint="eastAsia"/>
                <w:color w:val="0000FF"/>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37" w:type="dxa"/>
            <w:vAlign w:val="center"/>
          </w:tcPr>
          <w:p>
            <w:pPr>
              <w:pStyle w:val="22"/>
              <w:bidi w:val="0"/>
              <w:jc w:val="center"/>
              <w:rPr>
                <w:rFonts w:hint="eastAsia" w:eastAsia="宋体"/>
                <w:color w:val="0000FF"/>
                <w:lang w:eastAsia="zh-CN"/>
              </w:rPr>
            </w:pPr>
            <w:r>
              <w:rPr>
                <w:rFonts w:hint="eastAsia"/>
                <w:color w:val="0000FF"/>
                <w:lang w:val="en-US" w:eastAsia="zh-CN"/>
              </w:rPr>
              <w:t>6</w:t>
            </w:r>
          </w:p>
        </w:tc>
        <w:tc>
          <w:tcPr>
            <w:tcW w:w="2125" w:type="dxa"/>
            <w:gridSpan w:val="2"/>
            <w:vAlign w:val="center"/>
          </w:tcPr>
          <w:p>
            <w:pPr>
              <w:pStyle w:val="22"/>
              <w:bidi w:val="0"/>
              <w:jc w:val="center"/>
              <w:rPr>
                <w:color w:val="0000FF"/>
              </w:rPr>
            </w:pPr>
            <w:r>
              <w:rPr>
                <w:color w:val="0000FF"/>
              </w:rPr>
              <w:t>合计</w:t>
            </w:r>
          </w:p>
        </w:tc>
        <w:tc>
          <w:tcPr>
            <w:tcW w:w="851" w:type="dxa"/>
            <w:vAlign w:val="center"/>
          </w:tcPr>
          <w:p>
            <w:pPr>
              <w:pStyle w:val="22"/>
              <w:bidi w:val="0"/>
              <w:jc w:val="center"/>
              <w:rPr>
                <w:color w:val="0000FF"/>
              </w:rPr>
            </w:pPr>
            <w:r>
              <w:rPr>
                <w:color w:val="0000FF"/>
              </w:rPr>
              <w:t>/</w:t>
            </w:r>
          </w:p>
        </w:tc>
        <w:tc>
          <w:tcPr>
            <w:tcW w:w="1416" w:type="dxa"/>
            <w:vAlign w:val="center"/>
          </w:tcPr>
          <w:p>
            <w:pPr>
              <w:pStyle w:val="22"/>
              <w:bidi w:val="0"/>
              <w:jc w:val="center"/>
              <w:rPr>
                <w:color w:val="0000FF"/>
              </w:rPr>
            </w:pPr>
            <w:r>
              <w:rPr>
                <w:color w:val="0000FF"/>
              </w:rPr>
              <w:t>/</w:t>
            </w:r>
          </w:p>
        </w:tc>
        <w:tc>
          <w:tcPr>
            <w:tcW w:w="852" w:type="dxa"/>
            <w:vAlign w:val="center"/>
          </w:tcPr>
          <w:p>
            <w:pPr>
              <w:pStyle w:val="22"/>
              <w:bidi w:val="0"/>
              <w:jc w:val="center"/>
              <w:rPr>
                <w:rFonts w:hint="default" w:eastAsia="宋体"/>
                <w:color w:val="0000FF"/>
                <w:lang w:val="en-US" w:eastAsia="zh-CN"/>
              </w:rPr>
            </w:pPr>
            <w:r>
              <w:rPr>
                <w:rFonts w:hint="eastAsia"/>
                <w:color w:val="0000FF"/>
                <w:lang w:val="en-US" w:eastAsia="zh-CN"/>
              </w:rPr>
              <w:t>1.8</w:t>
            </w:r>
          </w:p>
        </w:tc>
        <w:tc>
          <w:tcPr>
            <w:tcW w:w="993" w:type="dxa"/>
            <w:vAlign w:val="center"/>
          </w:tcPr>
          <w:p>
            <w:pPr>
              <w:pStyle w:val="22"/>
              <w:bidi w:val="0"/>
              <w:jc w:val="center"/>
              <w:rPr>
                <w:rFonts w:hint="default" w:eastAsia="宋体"/>
                <w:color w:val="0000FF"/>
                <w:lang w:val="en-US" w:eastAsia="zh-CN"/>
              </w:rPr>
            </w:pPr>
            <w:r>
              <w:rPr>
                <w:rFonts w:hint="eastAsia"/>
                <w:color w:val="0000FF"/>
                <w:lang w:val="en-US" w:eastAsia="zh-CN"/>
              </w:rPr>
              <w:t>1.64</w:t>
            </w:r>
          </w:p>
        </w:tc>
        <w:tc>
          <w:tcPr>
            <w:tcW w:w="851" w:type="dxa"/>
            <w:vAlign w:val="center"/>
          </w:tcPr>
          <w:p>
            <w:pPr>
              <w:pStyle w:val="22"/>
              <w:bidi w:val="0"/>
              <w:jc w:val="center"/>
              <w:rPr>
                <w:rFonts w:hint="default" w:eastAsia="宋体"/>
                <w:color w:val="0000FF"/>
                <w:lang w:val="en-US" w:eastAsia="zh-CN"/>
              </w:rPr>
            </w:pPr>
            <w:r>
              <w:rPr>
                <w:rFonts w:hint="eastAsia"/>
                <w:color w:val="0000FF"/>
                <w:lang w:val="en-US" w:eastAsia="zh-CN"/>
              </w:rPr>
              <w:t>550</w:t>
            </w:r>
          </w:p>
        </w:tc>
        <w:tc>
          <w:tcPr>
            <w:tcW w:w="901" w:type="dxa"/>
            <w:vAlign w:val="center"/>
          </w:tcPr>
          <w:p>
            <w:pPr>
              <w:pStyle w:val="22"/>
              <w:bidi w:val="0"/>
              <w:jc w:val="center"/>
              <w:rPr>
                <w:rFonts w:hint="default" w:eastAsia="宋体"/>
                <w:color w:val="0000FF"/>
                <w:lang w:val="en-US" w:eastAsia="zh-CN"/>
              </w:rPr>
            </w:pPr>
            <w:r>
              <w:rPr>
                <w:rFonts w:hint="eastAsia"/>
                <w:color w:val="0000FF"/>
                <w:lang w:val="en-US" w:eastAsia="zh-CN"/>
              </w:rPr>
              <w:t>492</w:t>
            </w:r>
          </w:p>
        </w:tc>
      </w:tr>
    </w:tbl>
    <w:p>
      <w:pPr>
        <w:pStyle w:val="5"/>
        <w:bidi w:val="0"/>
      </w:pPr>
      <w:bookmarkStart w:id="59" w:name="_Toc23446"/>
      <w:r>
        <w:t>3.3施工期污染源分析</w:t>
      </w:r>
      <w:bookmarkEnd w:id="59"/>
    </w:p>
    <w:p>
      <w:pPr>
        <w:bidi w:val="0"/>
        <w:rPr>
          <w:color w:val="0000FF"/>
        </w:rPr>
      </w:pPr>
      <w:r>
        <w:rPr>
          <w:color w:val="0000FF"/>
        </w:rPr>
        <w:t>本项目20</w:t>
      </w:r>
      <w:r>
        <w:rPr>
          <w:rFonts w:hint="eastAsia"/>
          <w:color w:val="0000FF"/>
          <w:lang w:val="en-US" w:eastAsia="zh-CN"/>
        </w:rPr>
        <w:t>17</w:t>
      </w:r>
      <w:r>
        <w:rPr>
          <w:color w:val="0000FF"/>
        </w:rPr>
        <w:t>年</w:t>
      </w:r>
      <w:r>
        <w:rPr>
          <w:rFonts w:hint="eastAsia"/>
          <w:color w:val="0000FF"/>
          <w:lang w:val="en-US" w:eastAsia="zh-CN"/>
        </w:rPr>
        <w:t>3</w:t>
      </w:r>
      <w:r>
        <w:rPr>
          <w:color w:val="0000FF"/>
        </w:rPr>
        <w:t>月开始建设，20</w:t>
      </w:r>
      <w:r>
        <w:rPr>
          <w:rFonts w:hint="eastAsia"/>
          <w:color w:val="0000FF"/>
          <w:lang w:val="en-US" w:eastAsia="zh-CN"/>
        </w:rPr>
        <w:t>17</w:t>
      </w:r>
      <w:r>
        <w:rPr>
          <w:color w:val="0000FF"/>
        </w:rPr>
        <w:t>年</w:t>
      </w:r>
      <w:r>
        <w:rPr>
          <w:rFonts w:hint="eastAsia"/>
          <w:color w:val="0000FF"/>
          <w:lang w:val="en-US" w:eastAsia="zh-CN"/>
        </w:rPr>
        <w:t>10</w:t>
      </w:r>
      <w:r>
        <w:rPr>
          <w:color w:val="0000FF"/>
        </w:rPr>
        <w:t>月</w:t>
      </w:r>
      <w:r>
        <w:rPr>
          <w:rFonts w:hint="eastAsia"/>
          <w:color w:val="0000FF"/>
          <w:lang w:val="en-US" w:eastAsia="zh-CN"/>
        </w:rPr>
        <w:t>1</w:t>
      </w:r>
      <w:r>
        <w:rPr>
          <w:color w:val="0000FF"/>
        </w:rPr>
        <w:t>日建设完成，</w:t>
      </w:r>
      <w:r>
        <w:rPr>
          <w:rFonts w:hint="eastAsia"/>
          <w:color w:val="0000FF"/>
          <w:lang w:val="en-US" w:eastAsia="zh-CN"/>
        </w:rPr>
        <w:t>主体工程以完工，但未投入运行</w:t>
      </w:r>
      <w:r>
        <w:rPr>
          <w:color w:val="0000FF"/>
        </w:rPr>
        <w:t>。本环评回顾性分析该项目施工期。</w:t>
      </w:r>
    </w:p>
    <w:p>
      <w:pPr>
        <w:pStyle w:val="6"/>
        <w:bidi w:val="0"/>
        <w:rPr>
          <w:color w:val="0000FF"/>
        </w:rPr>
      </w:pPr>
      <w:bookmarkStart w:id="60" w:name="_Toc15719"/>
      <w:r>
        <w:rPr>
          <w:color w:val="0000FF"/>
        </w:rPr>
        <w:t>3.3.1大气污染源分析</w:t>
      </w:r>
      <w:bookmarkEnd w:id="60"/>
    </w:p>
    <w:p>
      <w:pPr>
        <w:bidi w:val="0"/>
        <w:rPr>
          <w:color w:val="0000FF"/>
        </w:rPr>
      </w:pPr>
      <w:r>
        <w:rPr>
          <w:color w:val="0000FF"/>
        </w:rPr>
        <w:t>大气污染物主要是扬尘，施工过程扰动地表，原有天然植被被破坏，运输车辆行驶或大风都可导致扬尘产生。据有关资料显示，施工扬尘的主要来源是运输车辆行驶而形成，约占扬尘总量的60%，扬尘量的大小与天气干燥程度、道路路况、车辆行驶速度、风速大小有关；施工车辆运输行驶于泥土路面而扬起的灰土，其灰尘的浓度可达到1~3g/m</w:t>
      </w:r>
      <w:r>
        <w:rPr>
          <w:color w:val="0000FF"/>
          <w:vertAlign w:val="superscript"/>
        </w:rPr>
        <w:t>3</w:t>
      </w:r>
      <w:r>
        <w:rPr>
          <w:color w:val="0000FF"/>
        </w:rPr>
        <w:t>。另外由于在挖方过程中破坏了地表结构，造成地面扬尘污染环境，扬尘的大小因施工现场工作条件、施工季节、施工阶段、管理水平、机械化程度及土质、天气条件的不同而差异较大。一般情况下，在自然风作用下，扬尘受重力、浮力和气流运动的作用，可以发生沉降、上升和扩散，扬尘影响范围在80m以内。在大风天气，扬尘量及影响范围将有所扩大。施工中的弃土、砂料、石灰等，若堆放时被覆不当或装卸运输时散落，也会造成施工扬尘，影响范围在50m左右。施工过程中还有涂料、油漆废气，主要来自于房屋装修阶段，该废气的排放属无组织排放，其主要污染因子为甲醛、二甲苯和甲苯。</w:t>
      </w:r>
    </w:p>
    <w:p>
      <w:pPr>
        <w:pStyle w:val="6"/>
        <w:bidi w:val="0"/>
        <w:rPr>
          <w:color w:val="0000FF"/>
        </w:rPr>
      </w:pPr>
      <w:bookmarkStart w:id="61" w:name="_Toc16988"/>
      <w:r>
        <w:rPr>
          <w:color w:val="0000FF"/>
        </w:rPr>
        <w:t>3.3.2水污染源分析</w:t>
      </w:r>
      <w:bookmarkEnd w:id="61"/>
    </w:p>
    <w:p>
      <w:pPr>
        <w:bidi w:val="0"/>
        <w:rPr>
          <w:color w:val="0000FF"/>
        </w:rPr>
      </w:pPr>
      <w:r>
        <w:rPr>
          <w:color w:val="0000FF"/>
        </w:rPr>
        <w:t>工程施工将产生一定量的施工废水及生活污水，并随着项目建设期间不同时段其废水产生量有较大的变化。</w:t>
      </w:r>
    </w:p>
    <w:p>
      <w:pPr>
        <w:bidi w:val="0"/>
        <w:rPr>
          <w:color w:val="0000FF"/>
        </w:rPr>
      </w:pPr>
      <w:r>
        <w:rPr>
          <w:color w:val="0000FF"/>
        </w:rPr>
        <w:t>（1）施工废水：项目主体建筑物施工过程中的废水主要产生于建筑物砼浇筑、冲洗与养护过程中，施工废水中主要污染物为SS，其产生时段主要集中于建筑物砼浇筑高峰期。施工废水中含SS浓度较高，约500~1000mg/L，施工废水经沉淀池处理后回用。</w:t>
      </w:r>
    </w:p>
    <w:p>
      <w:pPr>
        <w:bidi w:val="0"/>
        <w:rPr>
          <w:color w:val="0000FF"/>
        </w:rPr>
      </w:pPr>
      <w:r>
        <w:rPr>
          <w:color w:val="0000FF"/>
        </w:rPr>
        <w:t>（2）施工生活废水：生活污水主要为施工人员临时生活区产生，主要包括食堂污水、生活洗涤污水与粪便污水等，其主要来自施工人员临时食堂、浴室、厕所等。预计本项目施工期作业高峰人数为20人/d</w:t>
      </w:r>
      <w:r>
        <w:rPr>
          <w:rFonts w:hint="eastAsia"/>
          <w:color w:val="0000FF"/>
          <w:lang w:eastAsia="zh-CN"/>
        </w:rPr>
        <w:t>，</w:t>
      </w:r>
      <w:r>
        <w:rPr>
          <w:color w:val="0000FF"/>
        </w:rPr>
        <w:t>人均用水指标按100L/人•d计，生活污水日均产生量约2m</w:t>
      </w:r>
      <w:r>
        <w:rPr>
          <w:color w:val="0000FF"/>
          <w:vertAlign w:val="superscript"/>
        </w:rPr>
        <w:t>3</w:t>
      </w:r>
      <w:r>
        <w:rPr>
          <w:color w:val="0000FF"/>
        </w:rPr>
        <w:t>/d</w:t>
      </w:r>
      <w:r>
        <w:rPr>
          <w:rFonts w:hint="eastAsia"/>
          <w:color w:val="0000FF"/>
          <w:lang w:eastAsia="zh-CN"/>
        </w:rPr>
        <w:t>，</w:t>
      </w:r>
      <w:r>
        <w:rPr>
          <w:color w:val="0000FF"/>
        </w:rPr>
        <w:t>主要污染物为SS、COD及粪大肠菌群等，施工生活废水排入市政下水管网。</w:t>
      </w:r>
    </w:p>
    <w:p>
      <w:pPr>
        <w:pStyle w:val="6"/>
        <w:bidi w:val="0"/>
        <w:rPr>
          <w:color w:val="0000FF"/>
        </w:rPr>
      </w:pPr>
      <w:bookmarkStart w:id="62" w:name="_Toc28273"/>
      <w:r>
        <w:rPr>
          <w:color w:val="0000FF"/>
        </w:rPr>
        <w:t>3.3.3噪声污染源分析</w:t>
      </w:r>
      <w:bookmarkEnd w:id="62"/>
    </w:p>
    <w:p>
      <w:pPr>
        <w:bidi w:val="0"/>
        <w:rPr>
          <w:color w:val="0000FF"/>
        </w:rPr>
      </w:pPr>
      <w:r>
        <w:rPr>
          <w:color w:val="0000FF"/>
        </w:rPr>
        <w:t>施工期间的噪声主要来自施工机械和运输车辆的噪声，施工期噪声具有阶段性、临时性和不固定性的特征，不同的施工设备产生的机械噪声声级各不相同。类比同类房地产工程施工经验，本项目施工过程中对周边影响较大的噪声源主要为混凝土振捣器施工噪声，其噪声值最高可达95dB（A）左右。</w:t>
      </w:r>
    </w:p>
    <w:p>
      <w:pPr>
        <w:pStyle w:val="6"/>
        <w:bidi w:val="0"/>
        <w:rPr>
          <w:color w:val="0000FF"/>
        </w:rPr>
      </w:pPr>
      <w:bookmarkStart w:id="63" w:name="_Toc19138"/>
      <w:r>
        <w:rPr>
          <w:color w:val="0000FF"/>
        </w:rPr>
        <w:t>3.3.4固体废物污染源分析</w:t>
      </w:r>
      <w:bookmarkEnd w:id="63"/>
    </w:p>
    <w:p>
      <w:pPr>
        <w:bidi w:val="0"/>
        <w:rPr>
          <w:color w:val="0000FF"/>
        </w:rPr>
      </w:pPr>
      <w:r>
        <w:rPr>
          <w:color w:val="0000FF"/>
        </w:rPr>
        <w:t>施工期固体废物主要为参与土方，以及施工人员的生活垃圾。建筑垃圾成分较复杂，主要有：废弃的沙石砖瓦、木块、废瓷砖、塑料、废混凝土、废金属、油漆涂料包装物、碎玻璃等。生活垃圾则包括残剩食物、塑料、废纸、各种玻璃瓶、动物骨刺皮壳等。这些固废处置不当将会影响景观，污染土壤和水体，生活垃圾还会散发恶臭。</w:t>
      </w:r>
    </w:p>
    <w:p>
      <w:pPr>
        <w:bidi w:val="0"/>
        <w:rPr>
          <w:color w:val="0000FF"/>
        </w:rPr>
      </w:pPr>
      <w:r>
        <w:rPr>
          <w:color w:val="0000FF"/>
        </w:rPr>
        <w:t>项目主体工程施工建筑垃圾及土方应及时清运至当地建筑垃圾填埋场处置。本工程施工人员约为20人，按每人0.5kg/d计算，生活垃圾产生量约为</w:t>
      </w:r>
      <w:r>
        <w:rPr>
          <w:rFonts w:hint="eastAsia"/>
          <w:color w:val="0000FF"/>
          <w:lang w:val="en-US" w:eastAsia="zh-CN"/>
        </w:rPr>
        <w:t>1.8</w:t>
      </w:r>
      <w:r>
        <w:rPr>
          <w:color w:val="0000FF"/>
        </w:rPr>
        <w:t>t/a，由市政环卫部门及时清运至当地垃圾中转站统一集中处置。</w:t>
      </w:r>
    </w:p>
    <w:p>
      <w:pPr>
        <w:pStyle w:val="6"/>
        <w:bidi w:val="0"/>
        <w:rPr>
          <w:color w:val="0000FF"/>
        </w:rPr>
      </w:pPr>
      <w:bookmarkStart w:id="64" w:name="_Toc8145"/>
      <w:r>
        <w:rPr>
          <w:color w:val="0000FF"/>
        </w:rPr>
        <w:t>3.3.5对生态环境的影响</w:t>
      </w:r>
      <w:bookmarkEnd w:id="64"/>
    </w:p>
    <w:p>
      <w:pPr>
        <w:bidi w:val="0"/>
        <w:rPr>
          <w:color w:val="0000FF"/>
        </w:rPr>
      </w:pPr>
      <w:r>
        <w:rPr>
          <w:color w:val="0000FF"/>
        </w:rPr>
        <w:t>目前土地利用现状为</w:t>
      </w:r>
      <w:r>
        <w:rPr>
          <w:rFonts w:hint="eastAsia"/>
          <w:color w:val="0000FF"/>
          <w:lang w:val="en-US" w:eastAsia="zh-CN"/>
        </w:rPr>
        <w:t>规划医疗保健用地</w:t>
      </w:r>
      <w:r>
        <w:rPr>
          <w:color w:val="0000FF"/>
        </w:rPr>
        <w:t>，项目建设过程中，因施工开挖导致大面积地表裸露，对区域生态环境有一定的不利影响。但项目建设用地规划的功能为</w:t>
      </w:r>
      <w:r>
        <w:rPr>
          <w:rFonts w:hint="eastAsia"/>
          <w:color w:val="0000FF"/>
          <w:lang w:val="en-US" w:eastAsia="zh-CN"/>
        </w:rPr>
        <w:t>医疗保健用地</w:t>
      </w:r>
      <w:r>
        <w:rPr>
          <w:color w:val="0000FF"/>
        </w:rPr>
        <w:t>，因此项目建设不改变土地利用功能，满足规划要求。</w:t>
      </w:r>
    </w:p>
    <w:p>
      <w:pPr>
        <w:pStyle w:val="5"/>
        <w:bidi w:val="0"/>
      </w:pPr>
      <w:bookmarkStart w:id="65" w:name="_Toc32653"/>
      <w:r>
        <w:t>3.4运营期污染源分析</w:t>
      </w:r>
      <w:bookmarkEnd w:id="65"/>
    </w:p>
    <w:p>
      <w:pPr>
        <w:pStyle w:val="6"/>
        <w:bidi w:val="0"/>
        <w:rPr>
          <w:color w:val="0000FF"/>
        </w:rPr>
      </w:pPr>
      <w:bookmarkStart w:id="66" w:name="_Toc11470"/>
      <w:r>
        <w:rPr>
          <w:color w:val="0000FF"/>
        </w:rPr>
        <w:t>3.4.1大气污染源分析</w:t>
      </w:r>
      <w:bookmarkEnd w:id="66"/>
    </w:p>
    <w:p>
      <w:pPr>
        <w:bidi w:val="0"/>
        <w:rPr>
          <w:color w:val="0000FF"/>
        </w:rPr>
      </w:pPr>
      <w:r>
        <w:rPr>
          <w:color w:val="0000FF"/>
        </w:rPr>
        <w:t>本项目营运期产生的废气主要为消毒异味和污水站恶臭、实验室废气。</w:t>
      </w:r>
    </w:p>
    <w:p>
      <w:pPr>
        <w:bidi w:val="0"/>
        <w:rPr>
          <w:color w:val="0000FF"/>
        </w:rPr>
      </w:pPr>
      <w:r>
        <w:rPr>
          <w:color w:val="0000FF"/>
        </w:rPr>
        <w:t>（1）消毒异味</w:t>
      </w:r>
    </w:p>
    <w:p>
      <w:pPr>
        <w:bidi w:val="0"/>
        <w:rPr>
          <w:color w:val="0000FF"/>
        </w:rPr>
      </w:pPr>
      <w:r>
        <w:rPr>
          <w:color w:val="0000FF"/>
        </w:rPr>
        <w:t>为降低空气中的含菌量，疾控中心经常使用</w:t>
      </w:r>
      <w:r>
        <w:rPr>
          <w:rFonts w:hint="eastAsia"/>
          <w:color w:val="0000FF"/>
          <w:lang w:val="en-US" w:eastAsia="zh-CN"/>
        </w:rPr>
        <w:t>二氧化氯</w:t>
      </w:r>
      <w:r>
        <w:rPr>
          <w:color w:val="0000FF"/>
        </w:rPr>
        <w:t>等消毒剂对楼道、卫生间等进行消毒处理，在此过程中会有少量异味产生。项目的消毒异味主要为消毒剂挥发物，产生量不大，且主要产生在室内，为无组织排放。实验室检验设施消毒所用蒸汽为微生物实验室有专用电热高压蒸汽灭菌器进行消毒，热源为电。</w:t>
      </w:r>
    </w:p>
    <w:p>
      <w:pPr>
        <w:bidi w:val="0"/>
        <w:rPr>
          <w:color w:val="0000FF"/>
        </w:rPr>
      </w:pPr>
      <w:r>
        <w:rPr>
          <w:color w:val="0000FF"/>
        </w:rPr>
        <w:t>（2）污水站恶臭</w:t>
      </w:r>
    </w:p>
    <w:p>
      <w:pPr>
        <w:bidi w:val="0"/>
        <w:rPr>
          <w:color w:val="0000FF"/>
        </w:rPr>
      </w:pPr>
      <w:r>
        <w:rPr>
          <w:color w:val="0000FF"/>
        </w:rPr>
        <w:t>项目污水站运用过程中都不可避免的产生臭气，其主要成分是硫化氢、氨气等，污水处理厂的恶臭物质排放量与水质、处理规模、当地气候、相对湿度、季节和处理工艺等有关，排放形式为低空无组织排放。</w:t>
      </w:r>
    </w:p>
    <w:p>
      <w:pPr>
        <w:bidi w:val="0"/>
        <w:rPr>
          <w:color w:val="0000FF"/>
        </w:rPr>
      </w:pPr>
      <w:r>
        <w:rPr>
          <w:color w:val="0000FF"/>
        </w:rPr>
        <w:t>项目污水站置于密闭空间内，产生的异味通过活性炭吸附，项目产生的恶臭量较小，主要在密闭空间内，为无组织排放。臭气污染源源强根据美国EPA</w:t>
      </w:r>
      <w:r>
        <w:rPr>
          <w:rFonts w:hint="eastAsia"/>
          <w:color w:val="0000FF"/>
          <w:lang w:eastAsia="zh-CN"/>
        </w:rPr>
        <w:t>（</w:t>
      </w:r>
      <w:r>
        <w:rPr>
          <w:color w:val="0000FF"/>
        </w:rPr>
        <w:t>环境保护署</w:t>
      </w:r>
      <w:r>
        <w:rPr>
          <w:rFonts w:hint="eastAsia"/>
          <w:color w:val="0000FF"/>
          <w:lang w:eastAsia="zh-CN"/>
        </w:rPr>
        <w:t>）</w:t>
      </w:r>
      <w:r>
        <w:rPr>
          <w:color w:val="0000FF"/>
        </w:rPr>
        <w:t>对污水处理厂恶臭污染物产生情况的研究，每处理1gBOD5会产生0.0031g的NH</w:t>
      </w:r>
      <w:r>
        <w:rPr>
          <w:color w:val="0000FF"/>
          <w:vertAlign w:val="subscript"/>
        </w:rPr>
        <w:t>3</w:t>
      </w:r>
      <w:r>
        <w:rPr>
          <w:color w:val="0000FF"/>
        </w:rPr>
        <w:t>和0.00012g的H</w:t>
      </w:r>
      <w:r>
        <w:rPr>
          <w:color w:val="0000FF"/>
          <w:vertAlign w:val="subscript"/>
        </w:rPr>
        <w:t>2</w:t>
      </w:r>
      <w:r>
        <w:rPr>
          <w:color w:val="0000FF"/>
        </w:rPr>
        <w:t>S，根据污水处理设计指标，本项目BOD</w:t>
      </w:r>
      <w:r>
        <w:rPr>
          <w:color w:val="0000FF"/>
          <w:vertAlign w:val="subscript"/>
        </w:rPr>
        <w:t>5</w:t>
      </w:r>
      <w:r>
        <w:rPr>
          <w:color w:val="0000FF"/>
        </w:rPr>
        <w:t>消减浓度</w:t>
      </w:r>
      <w:r>
        <w:rPr>
          <w:rFonts w:hint="eastAsia"/>
          <w:color w:val="0000FF"/>
          <w:lang w:val="en-US" w:eastAsia="zh-CN"/>
        </w:rPr>
        <w:t>180</w:t>
      </w:r>
      <w:r>
        <w:rPr>
          <w:color w:val="0000FF"/>
        </w:rPr>
        <w:t>mg/L，按实验室排水量</w:t>
      </w:r>
      <w:r>
        <w:rPr>
          <w:rFonts w:hint="eastAsia"/>
          <w:color w:val="0000FF"/>
          <w:lang w:val="en-US" w:eastAsia="zh-CN"/>
        </w:rPr>
        <w:t>444</w:t>
      </w:r>
      <w:r>
        <w:rPr>
          <w:color w:val="0000FF"/>
        </w:rPr>
        <w:t>t/a，估算BOD</w:t>
      </w:r>
      <w:r>
        <w:rPr>
          <w:color w:val="0000FF"/>
          <w:vertAlign w:val="subscript"/>
        </w:rPr>
        <w:t>5</w:t>
      </w:r>
      <w:r>
        <w:rPr>
          <w:color w:val="0000FF"/>
        </w:rPr>
        <w:t>削减量为</w:t>
      </w:r>
      <w:r>
        <w:rPr>
          <w:rFonts w:hint="eastAsia"/>
          <w:color w:val="0000FF"/>
          <w:lang w:val="en-US" w:eastAsia="zh-CN"/>
        </w:rPr>
        <w:t>79920</w:t>
      </w:r>
      <w:r>
        <w:rPr>
          <w:color w:val="0000FF"/>
        </w:rPr>
        <w:t>g/a，则本项目污水处理站NH</w:t>
      </w:r>
      <w:r>
        <w:rPr>
          <w:color w:val="0000FF"/>
          <w:vertAlign w:val="subscript"/>
        </w:rPr>
        <w:t>3</w:t>
      </w:r>
      <w:r>
        <w:rPr>
          <w:color w:val="0000FF"/>
        </w:rPr>
        <w:t>和H</w:t>
      </w:r>
      <w:r>
        <w:rPr>
          <w:color w:val="0000FF"/>
          <w:vertAlign w:val="subscript"/>
        </w:rPr>
        <w:t>2</w:t>
      </w:r>
      <w:r>
        <w:rPr>
          <w:color w:val="0000FF"/>
        </w:rPr>
        <w:t>S产生量为</w:t>
      </w:r>
      <w:r>
        <w:rPr>
          <w:rFonts w:hint="eastAsia"/>
          <w:color w:val="0000FF"/>
          <w:lang w:val="en-US" w:eastAsia="zh-CN"/>
        </w:rPr>
        <w:t>0.248</w:t>
      </w:r>
      <w:r>
        <w:rPr>
          <w:color w:val="0000FF"/>
        </w:rPr>
        <w:t>kg/a和</w:t>
      </w:r>
      <w:r>
        <w:rPr>
          <w:rFonts w:hint="eastAsia"/>
          <w:color w:val="0000FF"/>
          <w:lang w:val="en-US" w:eastAsia="zh-CN"/>
        </w:rPr>
        <w:t>0.0096</w:t>
      </w:r>
      <w:r>
        <w:rPr>
          <w:color w:val="0000FF"/>
        </w:rPr>
        <w:t>kg/a。</w:t>
      </w:r>
    </w:p>
    <w:p>
      <w:pPr>
        <w:spacing w:before="42" w:line="355" w:lineRule="auto"/>
        <w:ind w:left="109" w:right="186" w:firstLine="477"/>
        <w:rPr>
          <w:color w:val="0000FF"/>
          <w:spacing w:val="0"/>
          <w:position w:val="0"/>
        </w:rPr>
      </w:pPr>
      <w:r>
        <w:rPr>
          <w:rFonts w:ascii="宋体" w:hAnsi="宋体" w:eastAsia="宋体" w:cs="宋体"/>
          <w:color w:val="0000FF"/>
          <w:spacing w:val="0"/>
          <w:position w:val="0"/>
          <w:sz w:val="24"/>
          <w:szCs w:val="24"/>
        </w:rPr>
        <w:t>根据《医疗机构水污染物排放标准》（</w:t>
      </w:r>
      <w:r>
        <w:rPr>
          <w:rFonts w:ascii="Times New Roman" w:hAnsi="Times New Roman" w:eastAsia="Times New Roman" w:cs="Times New Roman"/>
          <w:color w:val="0000FF"/>
          <w:spacing w:val="0"/>
          <w:position w:val="0"/>
          <w:sz w:val="24"/>
          <w:szCs w:val="24"/>
        </w:rPr>
        <w:t>GB18466-2005</w:t>
      </w:r>
      <w:r>
        <w:rPr>
          <w:rFonts w:ascii="宋体" w:hAnsi="宋体" w:eastAsia="宋体" w:cs="宋体"/>
          <w:color w:val="0000FF"/>
          <w:spacing w:val="0"/>
          <w:position w:val="0"/>
          <w:sz w:val="24"/>
          <w:szCs w:val="24"/>
        </w:rPr>
        <w:t>）要求，医疗机构污水处理站排出的废气应进行除臭除味处理，本项目污水处理站采用“</w:t>
      </w:r>
      <w:r>
        <w:rPr>
          <w:rFonts w:ascii="宋体" w:hAnsi="宋体" w:eastAsia="宋体" w:cs="宋体"/>
          <w:color w:val="0000FF"/>
          <w:spacing w:val="-2"/>
          <w:sz w:val="24"/>
          <w:szCs w:val="24"/>
        </w:rPr>
        <w:t>调节池</w:t>
      </w:r>
      <w:r>
        <w:rPr>
          <w:rFonts w:ascii="Times New Roman" w:hAnsi="Times New Roman" w:eastAsia="Times New Roman" w:cs="Times New Roman"/>
          <w:color w:val="0000FF"/>
          <w:spacing w:val="-2"/>
          <w:sz w:val="24"/>
          <w:szCs w:val="24"/>
        </w:rPr>
        <w:t>+</w:t>
      </w:r>
      <w:r>
        <w:rPr>
          <w:rFonts w:ascii="宋体" w:hAnsi="宋体" w:eastAsia="宋体" w:cs="宋体"/>
          <w:color w:val="0000FF"/>
          <w:spacing w:val="-2"/>
          <w:sz w:val="24"/>
          <w:szCs w:val="24"/>
        </w:rPr>
        <w:t>水解酸化</w:t>
      </w:r>
      <w:r>
        <w:rPr>
          <w:rFonts w:ascii="Times New Roman" w:hAnsi="Times New Roman" w:eastAsia="Times New Roman" w:cs="Times New Roman"/>
          <w:color w:val="0000FF"/>
          <w:spacing w:val="-3"/>
          <w:sz w:val="24"/>
          <w:szCs w:val="24"/>
        </w:rPr>
        <w:t>+</w:t>
      </w:r>
      <w:r>
        <w:rPr>
          <w:rFonts w:ascii="宋体" w:hAnsi="宋体" w:eastAsia="宋体" w:cs="宋体"/>
          <w:color w:val="0000FF"/>
          <w:spacing w:val="-3"/>
          <w:sz w:val="24"/>
          <w:szCs w:val="24"/>
        </w:rPr>
        <w:t>接触氧化</w:t>
      </w:r>
      <w:r>
        <w:rPr>
          <w:rFonts w:ascii="Times New Roman" w:hAnsi="Times New Roman" w:eastAsia="Times New Roman" w:cs="Times New Roman"/>
          <w:color w:val="0000FF"/>
          <w:spacing w:val="-3"/>
          <w:sz w:val="24"/>
          <w:szCs w:val="24"/>
        </w:rPr>
        <w:t>+</w:t>
      </w:r>
      <w:r>
        <w:rPr>
          <w:rFonts w:ascii="宋体" w:hAnsi="宋体" w:eastAsia="宋体" w:cs="宋体"/>
          <w:color w:val="0000FF"/>
          <w:spacing w:val="-3"/>
          <w:sz w:val="24"/>
          <w:szCs w:val="24"/>
        </w:rPr>
        <w:t>沉淀</w:t>
      </w:r>
      <w:r>
        <w:rPr>
          <w:rFonts w:ascii="Times New Roman" w:hAnsi="Times New Roman" w:eastAsia="Times New Roman" w:cs="Times New Roman"/>
          <w:color w:val="0000FF"/>
          <w:spacing w:val="-3"/>
          <w:sz w:val="24"/>
          <w:szCs w:val="24"/>
        </w:rPr>
        <w:t>+</w:t>
      </w:r>
      <w:r>
        <w:rPr>
          <w:rFonts w:ascii="宋体" w:hAnsi="宋体" w:eastAsia="宋体" w:cs="宋体"/>
          <w:color w:val="0000FF"/>
          <w:spacing w:val="-3"/>
          <w:sz w:val="24"/>
          <w:szCs w:val="24"/>
        </w:rPr>
        <w:t>消毒</w:t>
      </w:r>
      <w:r>
        <w:rPr>
          <w:rFonts w:ascii="宋体" w:hAnsi="宋体" w:eastAsia="宋体" w:cs="宋体"/>
          <w:color w:val="0000FF"/>
          <w:spacing w:val="0"/>
          <w:position w:val="0"/>
          <w:sz w:val="24"/>
          <w:szCs w:val="24"/>
        </w:rPr>
        <w:t>”工艺，各处理设施及构筑物均进行密闭，各部分产生的废气经集中收集后通过活性炭吸附后排放，吸附效率按</w:t>
      </w:r>
      <w:r>
        <w:rPr>
          <w:rFonts w:ascii="Times New Roman" w:hAnsi="Times New Roman" w:eastAsia="Times New Roman" w:cs="Times New Roman"/>
          <w:color w:val="0000FF"/>
          <w:spacing w:val="0"/>
          <w:position w:val="0"/>
          <w:sz w:val="24"/>
          <w:szCs w:val="24"/>
        </w:rPr>
        <w:t>80%</w:t>
      </w:r>
      <w:r>
        <w:rPr>
          <w:rFonts w:ascii="宋体" w:hAnsi="宋体" w:eastAsia="宋体" w:cs="宋体"/>
          <w:color w:val="0000FF"/>
          <w:spacing w:val="0"/>
          <w:position w:val="0"/>
          <w:sz w:val="24"/>
          <w:szCs w:val="24"/>
        </w:rPr>
        <w:t>计，则处理后</w:t>
      </w:r>
      <w:r>
        <w:rPr>
          <w:rFonts w:ascii="Times New Roman" w:hAnsi="Times New Roman" w:eastAsia="Times New Roman" w:cs="Times New Roman"/>
          <w:color w:val="0000FF"/>
          <w:spacing w:val="0"/>
          <w:position w:val="0"/>
          <w:sz w:val="24"/>
          <w:szCs w:val="24"/>
        </w:rPr>
        <w:t>NH</w:t>
      </w:r>
      <w:r>
        <w:rPr>
          <w:rFonts w:ascii="Times New Roman" w:hAnsi="Times New Roman" w:eastAsia="Times New Roman" w:cs="Times New Roman"/>
          <w:color w:val="0000FF"/>
          <w:spacing w:val="0"/>
          <w:position w:val="0"/>
          <w:sz w:val="16"/>
          <w:szCs w:val="16"/>
        </w:rPr>
        <w:t>3</w:t>
      </w:r>
      <w:r>
        <w:rPr>
          <w:rFonts w:ascii="宋体" w:hAnsi="宋体" w:eastAsia="宋体" w:cs="宋体"/>
          <w:color w:val="0000FF"/>
          <w:spacing w:val="0"/>
          <w:position w:val="0"/>
          <w:sz w:val="24"/>
          <w:szCs w:val="24"/>
        </w:rPr>
        <w:t>的排放量为</w:t>
      </w:r>
      <w:r>
        <w:rPr>
          <w:rFonts w:ascii="Times New Roman" w:hAnsi="Times New Roman" w:eastAsia="Times New Roman" w:cs="Times New Roman"/>
          <w:color w:val="0000FF"/>
          <w:spacing w:val="0"/>
          <w:position w:val="0"/>
          <w:sz w:val="24"/>
          <w:szCs w:val="24"/>
        </w:rPr>
        <w:t>0.</w:t>
      </w:r>
      <w:r>
        <w:rPr>
          <w:rFonts w:hint="eastAsia" w:eastAsia="宋体" w:cs="Times New Roman"/>
          <w:color w:val="0000FF"/>
          <w:spacing w:val="0"/>
          <w:position w:val="0"/>
          <w:sz w:val="24"/>
          <w:szCs w:val="24"/>
          <w:lang w:val="en-US" w:eastAsia="zh-CN"/>
        </w:rPr>
        <w:t>02g</w:t>
      </w:r>
      <w:r>
        <w:rPr>
          <w:rFonts w:ascii="Times New Roman" w:hAnsi="Times New Roman" w:eastAsia="Times New Roman" w:cs="Times New Roman"/>
          <w:color w:val="0000FF"/>
          <w:spacing w:val="0"/>
          <w:position w:val="0"/>
          <w:sz w:val="24"/>
          <w:szCs w:val="24"/>
        </w:rPr>
        <w:t>/h</w:t>
      </w:r>
      <w:r>
        <w:rPr>
          <w:rFonts w:ascii="宋体" w:hAnsi="宋体" w:eastAsia="宋体" w:cs="宋体"/>
          <w:color w:val="0000FF"/>
          <w:spacing w:val="0"/>
          <w:position w:val="0"/>
          <w:sz w:val="24"/>
          <w:szCs w:val="24"/>
        </w:rPr>
        <w:t>（</w:t>
      </w:r>
      <w:r>
        <w:rPr>
          <w:rFonts w:hint="eastAsia" w:ascii="宋体" w:hAnsi="宋体" w:cs="宋体"/>
          <w:color w:val="0000FF"/>
          <w:spacing w:val="0"/>
          <w:position w:val="0"/>
          <w:sz w:val="24"/>
          <w:szCs w:val="24"/>
          <w:lang w:val="en-US" w:eastAsia="zh-CN"/>
        </w:rPr>
        <w:t>0.05</w:t>
      </w:r>
      <w:r>
        <w:rPr>
          <w:rFonts w:ascii="Times New Roman" w:hAnsi="Times New Roman" w:eastAsia="Times New Roman" w:cs="Times New Roman"/>
          <w:color w:val="0000FF"/>
          <w:spacing w:val="0"/>
          <w:position w:val="0"/>
          <w:sz w:val="24"/>
          <w:szCs w:val="24"/>
        </w:rPr>
        <w:t>kg/a</w:t>
      </w:r>
      <w:r>
        <w:rPr>
          <w:rFonts w:ascii="宋体" w:hAnsi="宋体" w:eastAsia="宋体" w:cs="宋体"/>
          <w:color w:val="0000FF"/>
          <w:spacing w:val="0"/>
          <w:position w:val="0"/>
          <w:sz w:val="24"/>
          <w:szCs w:val="24"/>
        </w:rPr>
        <w:t>）、</w:t>
      </w:r>
      <w:r>
        <w:rPr>
          <w:rFonts w:ascii="Times New Roman" w:hAnsi="Times New Roman" w:eastAsia="Times New Roman" w:cs="Times New Roman"/>
          <w:color w:val="0000FF"/>
          <w:spacing w:val="0"/>
          <w:position w:val="0"/>
          <w:sz w:val="24"/>
          <w:szCs w:val="24"/>
        </w:rPr>
        <w:t>H</w:t>
      </w:r>
      <w:r>
        <w:rPr>
          <w:rFonts w:ascii="Times New Roman" w:hAnsi="Times New Roman" w:eastAsia="Times New Roman" w:cs="Times New Roman"/>
          <w:color w:val="0000FF"/>
          <w:spacing w:val="0"/>
          <w:position w:val="0"/>
          <w:sz w:val="16"/>
          <w:szCs w:val="16"/>
        </w:rPr>
        <w:t>2</w:t>
      </w:r>
      <w:r>
        <w:rPr>
          <w:rFonts w:ascii="Times New Roman" w:hAnsi="Times New Roman" w:eastAsia="Times New Roman" w:cs="Times New Roman"/>
          <w:color w:val="0000FF"/>
          <w:spacing w:val="0"/>
          <w:position w:val="0"/>
          <w:sz w:val="24"/>
          <w:szCs w:val="24"/>
        </w:rPr>
        <w:t>S</w:t>
      </w:r>
      <w:r>
        <w:rPr>
          <w:rFonts w:ascii="宋体" w:hAnsi="宋体" w:eastAsia="宋体" w:cs="宋体"/>
          <w:color w:val="0000FF"/>
          <w:spacing w:val="0"/>
          <w:position w:val="0"/>
          <w:sz w:val="24"/>
          <w:szCs w:val="24"/>
        </w:rPr>
        <w:t>的排放量为</w:t>
      </w:r>
      <w:r>
        <w:rPr>
          <w:rFonts w:ascii="Times New Roman" w:hAnsi="Times New Roman" w:eastAsia="Times New Roman" w:cs="Times New Roman"/>
          <w:color w:val="0000FF"/>
          <w:spacing w:val="0"/>
          <w:position w:val="0"/>
          <w:sz w:val="24"/>
          <w:szCs w:val="24"/>
        </w:rPr>
        <w:t>0.0</w:t>
      </w:r>
      <w:r>
        <w:rPr>
          <w:rFonts w:hint="eastAsia" w:eastAsia="宋体" w:cs="Times New Roman"/>
          <w:color w:val="0000FF"/>
          <w:spacing w:val="0"/>
          <w:position w:val="0"/>
          <w:sz w:val="24"/>
          <w:szCs w:val="24"/>
          <w:lang w:val="en-US" w:eastAsia="zh-CN"/>
        </w:rPr>
        <w:t>008g</w:t>
      </w:r>
      <w:r>
        <w:rPr>
          <w:rFonts w:ascii="Times New Roman" w:hAnsi="Times New Roman" w:eastAsia="Times New Roman" w:cs="Times New Roman"/>
          <w:color w:val="0000FF"/>
          <w:spacing w:val="0"/>
          <w:position w:val="0"/>
          <w:sz w:val="24"/>
          <w:szCs w:val="24"/>
        </w:rPr>
        <w:t>/h</w:t>
      </w:r>
      <w:r>
        <w:rPr>
          <w:rFonts w:ascii="宋体" w:hAnsi="宋体" w:eastAsia="宋体" w:cs="宋体"/>
          <w:color w:val="0000FF"/>
          <w:spacing w:val="0"/>
          <w:position w:val="0"/>
          <w:sz w:val="24"/>
          <w:szCs w:val="24"/>
        </w:rPr>
        <w:t>（</w:t>
      </w:r>
      <w:r>
        <w:rPr>
          <w:rFonts w:ascii="Times New Roman" w:hAnsi="Times New Roman" w:eastAsia="Times New Roman" w:cs="Times New Roman"/>
          <w:color w:val="0000FF"/>
          <w:spacing w:val="0"/>
          <w:position w:val="0"/>
          <w:sz w:val="24"/>
          <w:szCs w:val="24"/>
        </w:rPr>
        <w:t>0.</w:t>
      </w:r>
      <w:r>
        <w:rPr>
          <w:rFonts w:hint="eastAsia" w:eastAsia="宋体" w:cs="Times New Roman"/>
          <w:color w:val="0000FF"/>
          <w:spacing w:val="0"/>
          <w:position w:val="0"/>
          <w:sz w:val="24"/>
          <w:szCs w:val="24"/>
          <w:lang w:val="en-US" w:eastAsia="zh-CN"/>
        </w:rPr>
        <w:t>002</w:t>
      </w:r>
      <w:r>
        <w:rPr>
          <w:rFonts w:ascii="Times New Roman" w:hAnsi="Times New Roman" w:eastAsia="Times New Roman" w:cs="Times New Roman"/>
          <w:color w:val="0000FF"/>
          <w:spacing w:val="0"/>
          <w:position w:val="0"/>
          <w:sz w:val="24"/>
          <w:szCs w:val="24"/>
        </w:rPr>
        <w:t>kg/a</w:t>
      </w:r>
      <w:r>
        <w:rPr>
          <w:rFonts w:ascii="宋体" w:hAnsi="宋体" w:eastAsia="宋体" w:cs="宋体"/>
          <w:color w:val="0000FF"/>
          <w:spacing w:val="0"/>
          <w:position w:val="0"/>
          <w:sz w:val="24"/>
          <w:szCs w:val="24"/>
        </w:rPr>
        <w:t>）。</w:t>
      </w:r>
    </w:p>
    <w:p>
      <w:pPr>
        <w:bidi w:val="0"/>
        <w:rPr>
          <w:color w:val="0000FF"/>
        </w:rPr>
      </w:pPr>
      <w:r>
        <w:rPr>
          <w:color w:val="0000FF"/>
        </w:rPr>
        <w:t>（3）实验室废气</w:t>
      </w:r>
    </w:p>
    <w:p>
      <w:pPr>
        <w:bidi w:val="0"/>
        <w:rPr>
          <w:color w:val="0000FF"/>
        </w:rPr>
      </w:pPr>
      <w:r>
        <w:rPr>
          <w:color w:val="0000FF"/>
        </w:rPr>
        <w:t>实验室投入运营后，在实验过程中会产生实验废气，实验废气特点是分布散、排量小、间歇式排放。实验室产生的废气包括：试剂和样品的挥发物、实验分析过程中间产物、排空的标准气等，主要是酸雾和各种有机溶剂等常见污染物。</w:t>
      </w:r>
    </w:p>
    <w:p>
      <w:pPr>
        <w:bidi w:val="0"/>
        <w:rPr>
          <w:color w:val="0000FF"/>
        </w:rPr>
      </w:pPr>
      <w:r>
        <w:rPr>
          <w:color w:val="0000FF"/>
        </w:rPr>
        <w:t>理化实验室废气：理化实验室的日常分析中会使用一些挥发性酸和有机溶剂，在使用过程中会有部分挥发进入空气中，本项目理化实验室</w:t>
      </w:r>
      <w:r>
        <w:rPr>
          <w:rFonts w:ascii="宋体" w:hAnsi="宋体" w:eastAsia="宋体" w:cs="宋体"/>
          <w:color w:val="0000FF"/>
          <w:spacing w:val="-3"/>
          <w:sz w:val="24"/>
          <w:szCs w:val="24"/>
        </w:rPr>
        <w:t>实验过程废气集气罩收集，经活性炭装置</w:t>
      </w:r>
      <w:r>
        <w:rPr>
          <w:rFonts w:ascii="宋体" w:hAnsi="宋体" w:eastAsia="宋体" w:cs="宋体"/>
          <w:color w:val="0000FF"/>
          <w:spacing w:val="9"/>
          <w:sz w:val="24"/>
          <w:szCs w:val="24"/>
        </w:rPr>
        <w:t>吸附后，通过专用电控风道</w:t>
      </w:r>
      <w:r>
        <w:rPr>
          <w:color w:val="0000FF"/>
        </w:rPr>
        <w:t>于楼顶排放。根据建设单位提供的实验用试剂小号情况，无机酸、碱类试剂、有机溶剂、有机试剂年用量均较小，产生的废气量也较小，废气经处理后对周围大气环境影响较小。</w:t>
      </w:r>
    </w:p>
    <w:p>
      <w:pPr>
        <w:bidi w:val="0"/>
        <w:rPr>
          <w:color w:val="0000FF"/>
        </w:rPr>
      </w:pPr>
      <w:r>
        <w:rPr>
          <w:color w:val="0000FF"/>
        </w:rPr>
        <w:t>微生物实验室废气：微生物实验室废气可能含有传染性的细菌和病毒，每个实验室均设置生物安全柜，所有涉及病原微生物的操作均在生物安全柜中进行，可能含有病原微生物的气溶胶只有从其上部的排风口经高效过滤后外排，安全柜排气筒内置的高效过滤器对粒径0.5μm以上的气溶胶去除效率达到99.99%。同时实验室及所有生物安全柜均为负压设计，含病原微生物废气较少外泄。实验室排风系统均设置高效过滤器，实验室内气体经室内高效过滤器处理（粒径0.5μm以上的气溶胶经效过滤器过滤，过滤效率99.99%）后，排气中几乎不含病原微生物气溶胶，排气由风管经净化排风机组处理后，通过专用排气筒送至楼顶排放。</w:t>
      </w:r>
    </w:p>
    <w:p>
      <w:pPr>
        <w:bidi w:val="0"/>
        <w:rPr>
          <w:color w:val="0000FF"/>
        </w:rPr>
      </w:pPr>
      <w:r>
        <w:rPr>
          <w:color w:val="0000FF"/>
        </w:rPr>
        <w:t>此外实验室内部还设置辅助消毒装置，通过含氯消毒剂、紫外线、臭氧及熏蒸等方式切断病原微生物的传播途径，确保实验室排出的气体对周围环境影响较小。因此，在正常运行情况下，可能带有病原微生物气溶胶的废气经消毒灭菌、高效过滤后由专用排气筒送至楼顶排放，对周围环境影响较小。</w:t>
      </w:r>
    </w:p>
    <w:p>
      <w:pPr>
        <w:bidi w:val="0"/>
        <w:rPr>
          <w:color w:val="0000FF"/>
        </w:rPr>
      </w:pPr>
      <w:r>
        <w:rPr>
          <w:color w:val="0000FF"/>
        </w:rPr>
        <w:t>（</w:t>
      </w:r>
      <w:r>
        <w:rPr>
          <w:rFonts w:hint="eastAsia"/>
          <w:color w:val="0000FF"/>
          <w:lang w:val="en-US" w:eastAsia="zh-CN"/>
        </w:rPr>
        <w:t>4</w:t>
      </w:r>
      <w:r>
        <w:rPr>
          <w:color w:val="0000FF"/>
        </w:rPr>
        <w:t>）医疗废物暂存间废气</w:t>
      </w:r>
    </w:p>
    <w:p>
      <w:pPr>
        <w:bidi w:val="0"/>
        <w:rPr>
          <w:color w:val="0000FF"/>
        </w:rPr>
      </w:pPr>
      <w:r>
        <w:rPr>
          <w:color w:val="0000FF"/>
        </w:rPr>
        <w:t>医疗废物暂存间废气主要由医疗废物散发而来，废气产生量较小，但可能携带有一定量的病菌。本项目医疗废物暂存间严格按照《医疗卫生机构医疗废物管理办法》（中华人民共和国卫生部令第36号）设置，医疗废物的堆放不超过24小时，采取每天喷洒适量84消毒液对地面和墙体等进行消毒处理，暂存间有严密的封闭措施，消毒处理后通过排气扇将暂存间废气排出，加速废气扩散。</w:t>
      </w:r>
    </w:p>
    <w:p>
      <w:pPr>
        <w:pStyle w:val="6"/>
        <w:bidi w:val="0"/>
        <w:rPr>
          <w:color w:val="0000FF"/>
        </w:rPr>
      </w:pPr>
      <w:bookmarkStart w:id="67" w:name="_Toc17433"/>
      <w:r>
        <w:rPr>
          <w:color w:val="0000FF"/>
        </w:rPr>
        <w:t>3.4.2废水污染源分析</w:t>
      </w:r>
      <w:bookmarkEnd w:id="67"/>
    </w:p>
    <w:p>
      <w:pPr>
        <w:bidi w:val="0"/>
        <w:rPr>
          <w:color w:val="0000FF"/>
        </w:rPr>
      </w:pPr>
      <w:r>
        <w:rPr>
          <w:color w:val="0000FF"/>
        </w:rPr>
        <w:t>本项目运营期废水主要为办公人员及体检人员产生的生活污水及实验室废水。</w:t>
      </w:r>
    </w:p>
    <w:p>
      <w:pPr>
        <w:bidi w:val="0"/>
        <w:rPr>
          <w:color w:val="0000FF"/>
        </w:rPr>
      </w:pPr>
      <w:r>
        <w:rPr>
          <w:color w:val="0000FF"/>
        </w:rPr>
        <w:t>（1）生活污水</w:t>
      </w:r>
    </w:p>
    <w:p>
      <w:pPr>
        <w:bidi w:val="0"/>
        <w:rPr>
          <w:color w:val="0000FF"/>
        </w:rPr>
      </w:pPr>
      <w:r>
        <w:rPr>
          <w:color w:val="0000FF"/>
        </w:rPr>
        <w:t>本项目办公楼生活用水量为</w:t>
      </w:r>
      <w:r>
        <w:rPr>
          <w:rFonts w:hint="eastAsia"/>
          <w:color w:val="0000FF"/>
          <w:lang w:val="en-US" w:eastAsia="zh-CN"/>
        </w:rPr>
        <w:t>0.2</w:t>
      </w:r>
      <w:r>
        <w:rPr>
          <w:color w:val="0000FF"/>
        </w:rPr>
        <w:t>m</w:t>
      </w:r>
      <w:r>
        <w:rPr>
          <w:color w:val="0000FF"/>
          <w:vertAlign w:val="superscript"/>
        </w:rPr>
        <w:t>3</w:t>
      </w:r>
      <w:r>
        <w:rPr>
          <w:color w:val="0000FF"/>
        </w:rPr>
        <w:t>/d（</w:t>
      </w:r>
      <w:r>
        <w:rPr>
          <w:rFonts w:hint="eastAsia"/>
          <w:color w:val="0000FF"/>
          <w:lang w:val="en-US" w:eastAsia="zh-CN"/>
        </w:rPr>
        <w:t>60</w:t>
      </w:r>
      <w:r>
        <w:rPr>
          <w:color w:val="0000FF"/>
        </w:rPr>
        <w:t>m</w:t>
      </w:r>
      <w:r>
        <w:rPr>
          <w:color w:val="0000FF"/>
          <w:vertAlign w:val="superscript"/>
        </w:rPr>
        <w:t>3</w:t>
      </w:r>
      <w:r>
        <w:rPr>
          <w:color w:val="0000FF"/>
        </w:rPr>
        <w:t>/a），污水产生系数按0.8计，则本项目生活污水产生量为0.</w:t>
      </w:r>
      <w:r>
        <w:rPr>
          <w:rFonts w:hint="eastAsia"/>
          <w:color w:val="0000FF"/>
          <w:lang w:val="en-US" w:eastAsia="zh-CN"/>
        </w:rPr>
        <w:t>16</w:t>
      </w:r>
      <w:r>
        <w:rPr>
          <w:color w:val="0000FF"/>
        </w:rPr>
        <w:t>m</w:t>
      </w:r>
      <w:r>
        <w:rPr>
          <w:color w:val="0000FF"/>
          <w:vertAlign w:val="superscript"/>
        </w:rPr>
        <w:t>3</w:t>
      </w:r>
      <w:r>
        <w:rPr>
          <w:color w:val="0000FF"/>
        </w:rPr>
        <w:t>/d（</w:t>
      </w:r>
      <w:r>
        <w:rPr>
          <w:rFonts w:hint="eastAsia"/>
          <w:color w:val="0000FF"/>
          <w:lang w:val="en-US" w:eastAsia="zh-CN"/>
        </w:rPr>
        <w:t>48</w:t>
      </w:r>
      <w:r>
        <w:rPr>
          <w:color w:val="0000FF"/>
        </w:rPr>
        <w:t>m</w:t>
      </w:r>
      <w:r>
        <w:rPr>
          <w:color w:val="0000FF"/>
          <w:vertAlign w:val="superscript"/>
        </w:rPr>
        <w:t>3</w:t>
      </w:r>
      <w:r>
        <w:rPr>
          <w:color w:val="0000FF"/>
        </w:rPr>
        <w:t>/a）；实验楼生活用水量为</w:t>
      </w:r>
      <w:r>
        <w:rPr>
          <w:rFonts w:hint="eastAsia"/>
          <w:color w:val="0000FF"/>
          <w:lang w:val="en-US" w:eastAsia="zh-CN"/>
        </w:rPr>
        <w:t>0.6</w:t>
      </w:r>
      <w:r>
        <w:rPr>
          <w:color w:val="0000FF"/>
        </w:rPr>
        <w:t>m3/d（</w:t>
      </w:r>
      <w:r>
        <w:rPr>
          <w:rFonts w:hint="eastAsia"/>
          <w:color w:val="0000FF"/>
          <w:lang w:val="en-US" w:eastAsia="zh-CN"/>
        </w:rPr>
        <w:t>180</w:t>
      </w:r>
      <w:r>
        <w:rPr>
          <w:color w:val="0000FF"/>
        </w:rPr>
        <w:t>m</w:t>
      </w:r>
      <w:r>
        <w:rPr>
          <w:color w:val="0000FF"/>
          <w:vertAlign w:val="superscript"/>
        </w:rPr>
        <w:t>3</w:t>
      </w:r>
      <w:r>
        <w:rPr>
          <w:color w:val="0000FF"/>
        </w:rPr>
        <w:t>/a），污水排放系数按0.8计，则实验楼生活污水产生量为</w:t>
      </w:r>
      <w:r>
        <w:rPr>
          <w:rFonts w:hint="eastAsia"/>
          <w:color w:val="0000FF"/>
          <w:lang w:val="en-US" w:eastAsia="zh-CN"/>
        </w:rPr>
        <w:t>0.48</w:t>
      </w:r>
      <w:r>
        <w:rPr>
          <w:color w:val="0000FF"/>
        </w:rPr>
        <w:t>m</w:t>
      </w:r>
      <w:r>
        <w:rPr>
          <w:color w:val="0000FF"/>
          <w:vertAlign w:val="superscript"/>
        </w:rPr>
        <w:t>3</w:t>
      </w:r>
      <w:r>
        <w:rPr>
          <w:color w:val="0000FF"/>
        </w:rPr>
        <w:t>/d（</w:t>
      </w:r>
      <w:r>
        <w:rPr>
          <w:rFonts w:hint="eastAsia"/>
          <w:color w:val="0000FF"/>
          <w:lang w:val="en-US" w:eastAsia="zh-CN"/>
        </w:rPr>
        <w:t>144</w:t>
      </w:r>
      <w:r>
        <w:rPr>
          <w:color w:val="0000FF"/>
        </w:rPr>
        <w:t>m</w:t>
      </w:r>
      <w:r>
        <w:rPr>
          <w:color w:val="0000FF"/>
          <w:vertAlign w:val="superscript"/>
        </w:rPr>
        <w:t>3</w:t>
      </w:r>
      <w:r>
        <w:rPr>
          <w:color w:val="0000FF"/>
        </w:rPr>
        <w:t>/a）。办公楼及实验楼均设置化粪池处理各自生活污水，办公楼生活污水经化粪池处理后经总排口进入市政污水管网，实验楼生活污水经化粪池处理后进入自建污水处理站。经类比同类项目生活污水水质，确定本项目生活污水水质为pH7.89、COD260mg/L、BOD</w:t>
      </w:r>
      <w:r>
        <w:rPr>
          <w:color w:val="0000FF"/>
          <w:vertAlign w:val="subscript"/>
        </w:rPr>
        <w:t>5</w:t>
      </w:r>
      <w:r>
        <w:rPr>
          <w:color w:val="0000FF"/>
        </w:rPr>
        <w:t>180mg/L、SS100mg/L、氨氮21mg/L。</w:t>
      </w:r>
    </w:p>
    <w:p>
      <w:pPr>
        <w:bidi w:val="0"/>
        <w:rPr>
          <w:color w:val="0000FF"/>
        </w:rPr>
      </w:pPr>
      <w:r>
        <w:rPr>
          <w:color w:val="0000FF"/>
        </w:rPr>
        <w:t>（2）实验室废水</w:t>
      </w:r>
    </w:p>
    <w:p>
      <w:pPr>
        <w:bidi w:val="0"/>
        <w:rPr>
          <w:color w:val="0000FF"/>
        </w:rPr>
      </w:pPr>
      <w:r>
        <w:rPr>
          <w:color w:val="0000FF"/>
        </w:rPr>
        <w:t>本项目实验用水为纯水，纯水由1套制水能力为0.7m3/d的超纯水一体机制备，采用离子交换树脂法制备纯水，纯水制备系统产水率为70%，即1m3自来水经处理后产生0.7m</w:t>
      </w:r>
      <w:r>
        <w:rPr>
          <w:color w:val="0000FF"/>
          <w:vertAlign w:val="superscript"/>
        </w:rPr>
        <w:t>3</w:t>
      </w:r>
      <w:r>
        <w:rPr>
          <w:color w:val="0000FF"/>
        </w:rPr>
        <w:t>纯水，剩余0.3m</w:t>
      </w:r>
      <w:r>
        <w:rPr>
          <w:color w:val="0000FF"/>
          <w:vertAlign w:val="superscript"/>
        </w:rPr>
        <w:t>3</w:t>
      </w:r>
      <w:r>
        <w:rPr>
          <w:color w:val="0000FF"/>
        </w:rPr>
        <w:t>浓水进入污水处理站进行处理。</w:t>
      </w:r>
    </w:p>
    <w:p>
      <w:pPr>
        <w:bidi w:val="0"/>
        <w:rPr>
          <w:color w:val="0000FF"/>
        </w:rPr>
      </w:pPr>
      <w:r>
        <w:rPr>
          <w:color w:val="0000FF"/>
        </w:rPr>
        <w:t>本项目实验室可归为微生物实验和理化实验两大类，因此本次评价按照这两种实验用水情况进行分析。</w:t>
      </w:r>
    </w:p>
    <w:p>
      <w:pPr>
        <w:bidi w:val="0"/>
        <w:rPr>
          <w:color w:val="0000FF"/>
        </w:rPr>
      </w:pPr>
      <w:r>
        <w:rPr>
          <w:color w:val="0000FF"/>
        </w:rPr>
        <w:t>微生物实验用水主要为实验后的器皿清洗用水，其中感染性的器皿先用实验室内高压蒸汽灭菌消毒后，再进行清洗，清洗用水量为0.5m</w:t>
      </w:r>
      <w:r>
        <w:rPr>
          <w:color w:val="0000FF"/>
          <w:vertAlign w:val="superscript"/>
        </w:rPr>
        <w:t>3</w:t>
      </w:r>
      <w:r>
        <w:rPr>
          <w:color w:val="0000FF"/>
        </w:rPr>
        <w:t>/d，由于微生物实验室内微生物培养工程使用营养物质，因此微生物实验室清洗废水污染物主要为COD、BOD</w:t>
      </w:r>
      <w:r>
        <w:rPr>
          <w:color w:val="0000FF"/>
          <w:vertAlign w:val="subscript"/>
        </w:rPr>
        <w:t>5</w:t>
      </w:r>
      <w:r>
        <w:rPr>
          <w:color w:val="0000FF"/>
        </w:rPr>
        <w:t>、SS及粪大肠菌群，经类比，微生物实验室清洗废水水质为COD350mg/L、BOD</w:t>
      </w:r>
      <w:r>
        <w:rPr>
          <w:color w:val="0000FF"/>
          <w:vertAlign w:val="subscript"/>
        </w:rPr>
        <w:t>5</w:t>
      </w:r>
      <w:r>
        <w:rPr>
          <w:color w:val="0000FF"/>
        </w:rPr>
        <w:t>225mg/L、SS320mg/L、氨氮74mg/L、粪大肠菌群&lt;5000MPN/L。</w:t>
      </w:r>
    </w:p>
    <w:p>
      <w:pPr>
        <w:bidi w:val="0"/>
        <w:rPr>
          <w:color w:val="0000FF"/>
        </w:rPr>
      </w:pPr>
      <w:r>
        <w:rPr>
          <w:color w:val="0000FF"/>
        </w:rPr>
        <w:t>理化实验用水主要产生于玻璃器皿的冲洗过程，废水产生量约为0.2m</w:t>
      </w:r>
      <w:r>
        <w:rPr>
          <w:color w:val="0000FF"/>
          <w:vertAlign w:val="superscript"/>
        </w:rPr>
        <w:t>3</w:t>
      </w:r>
      <w:r>
        <w:rPr>
          <w:color w:val="0000FF"/>
        </w:rPr>
        <w:t>/d，因在检验和制作化学清洗剂时会使用硝酸、硫酸等酸性物质，故理化实验室清洗废水主要为酸性废水，pH值为3～5，评价建议对该酸性废水先采用中和法预处理（中和剂为NaOH）使废水pH值达到6～9后再排入自建污水处理站进行处理。</w:t>
      </w:r>
    </w:p>
    <w:p>
      <w:pPr>
        <w:bidi w:val="0"/>
        <w:rPr>
          <w:color w:val="0000FF"/>
        </w:rPr>
      </w:pPr>
      <w:r>
        <w:rPr>
          <w:color w:val="0000FF"/>
        </w:rPr>
        <w:t>综上所述，本项目实验用水量为1m</w:t>
      </w:r>
      <w:r>
        <w:rPr>
          <w:color w:val="0000FF"/>
          <w:vertAlign w:val="superscript"/>
        </w:rPr>
        <w:t>3</w:t>
      </w:r>
      <w:r>
        <w:rPr>
          <w:color w:val="0000FF"/>
        </w:rPr>
        <w:t>/d（</w:t>
      </w:r>
      <w:r>
        <w:rPr>
          <w:rFonts w:hint="eastAsia"/>
          <w:color w:val="0000FF"/>
          <w:lang w:val="en-US" w:eastAsia="zh-CN"/>
        </w:rPr>
        <w:t>300</w:t>
      </w:r>
      <w:r>
        <w:rPr>
          <w:color w:val="0000FF"/>
        </w:rPr>
        <w:t>m</w:t>
      </w:r>
      <w:r>
        <w:rPr>
          <w:color w:val="0000FF"/>
          <w:vertAlign w:val="superscript"/>
        </w:rPr>
        <w:t>3</w:t>
      </w:r>
      <w:r>
        <w:rPr>
          <w:color w:val="0000FF"/>
        </w:rPr>
        <w:t>/a），实验废水产生量为0.7m</w:t>
      </w:r>
      <w:r>
        <w:rPr>
          <w:color w:val="0000FF"/>
          <w:vertAlign w:val="superscript"/>
        </w:rPr>
        <w:t>3</w:t>
      </w:r>
      <w:r>
        <w:rPr>
          <w:color w:val="0000FF"/>
        </w:rPr>
        <w:t>/d（</w:t>
      </w:r>
      <w:r>
        <w:rPr>
          <w:rFonts w:hint="eastAsia"/>
          <w:color w:val="0000FF"/>
          <w:lang w:val="en-US" w:eastAsia="zh-CN"/>
        </w:rPr>
        <w:t>210</w:t>
      </w:r>
      <w:r>
        <w:rPr>
          <w:color w:val="0000FF"/>
        </w:rPr>
        <w:t>m</w:t>
      </w:r>
      <w:r>
        <w:rPr>
          <w:color w:val="0000FF"/>
          <w:vertAlign w:val="superscript"/>
        </w:rPr>
        <w:t>3</w:t>
      </w:r>
      <w:r>
        <w:rPr>
          <w:color w:val="0000FF"/>
        </w:rPr>
        <w:t>/a）。</w:t>
      </w:r>
    </w:p>
    <w:p>
      <w:pPr>
        <w:bidi w:val="0"/>
        <w:rPr>
          <w:color w:val="0000FF"/>
        </w:rPr>
      </w:pPr>
      <w:r>
        <w:rPr>
          <w:color w:val="0000FF"/>
        </w:rPr>
        <w:t>本项目理化实验废水经酸碱中和预处理后、实验楼生活污水经化粪池预处理后与微生物实验室废水一同进入自建污水处理站进行处理；办公楼生活污水经化粪池处理后与前述废水一同经市政污水管网排入</w:t>
      </w:r>
      <w:r>
        <w:rPr>
          <w:rFonts w:hint="eastAsia"/>
          <w:color w:val="0000FF"/>
          <w:lang w:val="en-US" w:eastAsia="zh-CN"/>
        </w:rPr>
        <w:t>225团</w:t>
      </w:r>
      <w:r>
        <w:rPr>
          <w:color w:val="0000FF"/>
        </w:rPr>
        <w:t>污水处理厂进行进一步处理。自建污水处理站采用“</w:t>
      </w:r>
      <w:r>
        <w:rPr>
          <w:rFonts w:ascii="宋体" w:hAnsi="宋体" w:eastAsia="宋体" w:cs="宋体"/>
          <w:color w:val="0000FF"/>
          <w:spacing w:val="-2"/>
          <w:sz w:val="24"/>
          <w:szCs w:val="24"/>
        </w:rPr>
        <w:t>调节池</w:t>
      </w:r>
      <w:r>
        <w:rPr>
          <w:rFonts w:ascii="Times New Roman" w:hAnsi="Times New Roman" w:eastAsia="Times New Roman" w:cs="Times New Roman"/>
          <w:color w:val="0000FF"/>
          <w:spacing w:val="-2"/>
          <w:sz w:val="24"/>
          <w:szCs w:val="24"/>
        </w:rPr>
        <w:t>+</w:t>
      </w:r>
      <w:r>
        <w:rPr>
          <w:rFonts w:ascii="宋体" w:hAnsi="宋体" w:eastAsia="宋体" w:cs="宋体"/>
          <w:color w:val="0000FF"/>
          <w:spacing w:val="-2"/>
          <w:sz w:val="24"/>
          <w:szCs w:val="24"/>
        </w:rPr>
        <w:t>水解酸化</w:t>
      </w:r>
      <w:r>
        <w:rPr>
          <w:rFonts w:ascii="Times New Roman" w:hAnsi="Times New Roman" w:eastAsia="Times New Roman" w:cs="Times New Roman"/>
          <w:color w:val="0000FF"/>
          <w:spacing w:val="-3"/>
          <w:sz w:val="24"/>
          <w:szCs w:val="24"/>
        </w:rPr>
        <w:t>+</w:t>
      </w:r>
      <w:r>
        <w:rPr>
          <w:rFonts w:ascii="宋体" w:hAnsi="宋体" w:eastAsia="宋体" w:cs="宋体"/>
          <w:color w:val="0000FF"/>
          <w:spacing w:val="-3"/>
          <w:sz w:val="24"/>
          <w:szCs w:val="24"/>
        </w:rPr>
        <w:t>接触氧化</w:t>
      </w:r>
      <w:r>
        <w:rPr>
          <w:rFonts w:ascii="Times New Roman" w:hAnsi="Times New Roman" w:eastAsia="Times New Roman" w:cs="Times New Roman"/>
          <w:color w:val="0000FF"/>
          <w:spacing w:val="-3"/>
          <w:sz w:val="24"/>
          <w:szCs w:val="24"/>
        </w:rPr>
        <w:t>+</w:t>
      </w:r>
      <w:r>
        <w:rPr>
          <w:rFonts w:ascii="宋体" w:hAnsi="宋体" w:eastAsia="宋体" w:cs="宋体"/>
          <w:color w:val="0000FF"/>
          <w:spacing w:val="-3"/>
          <w:sz w:val="24"/>
          <w:szCs w:val="24"/>
        </w:rPr>
        <w:t>沉淀</w:t>
      </w:r>
      <w:r>
        <w:rPr>
          <w:rFonts w:ascii="Times New Roman" w:hAnsi="Times New Roman" w:eastAsia="Times New Roman" w:cs="Times New Roman"/>
          <w:color w:val="0000FF"/>
          <w:spacing w:val="-3"/>
          <w:sz w:val="24"/>
          <w:szCs w:val="24"/>
        </w:rPr>
        <w:t>+</w:t>
      </w:r>
      <w:r>
        <w:rPr>
          <w:rFonts w:ascii="宋体" w:hAnsi="宋体" w:eastAsia="宋体" w:cs="宋体"/>
          <w:color w:val="0000FF"/>
          <w:spacing w:val="-3"/>
          <w:sz w:val="24"/>
          <w:szCs w:val="24"/>
        </w:rPr>
        <w:t>消毒</w:t>
      </w:r>
      <w:r>
        <w:rPr>
          <w:color w:val="0000FF"/>
        </w:rPr>
        <w:t>”工艺，设计处理规模为</w:t>
      </w:r>
      <w:r>
        <w:rPr>
          <w:rFonts w:hint="eastAsia"/>
          <w:color w:val="0000FF"/>
          <w:lang w:val="en-US" w:eastAsia="zh-CN"/>
        </w:rPr>
        <w:t>5</w:t>
      </w:r>
      <w:r>
        <w:rPr>
          <w:color w:val="0000FF"/>
        </w:rPr>
        <w:t>m</w:t>
      </w:r>
      <w:r>
        <w:rPr>
          <w:color w:val="0000FF"/>
          <w:vertAlign w:val="superscript"/>
        </w:rPr>
        <w:t>3</w:t>
      </w:r>
      <w:r>
        <w:rPr>
          <w:color w:val="0000FF"/>
        </w:rPr>
        <w:t>/d，出水水质满足《医疗机构水污染物排放标准》（GB18466-2005）表2预处理标准。</w:t>
      </w:r>
    </w:p>
    <w:p>
      <w:pPr>
        <w:pStyle w:val="22"/>
        <w:bidi w:val="0"/>
        <w:rPr>
          <w:color w:val="0000FF"/>
        </w:rPr>
      </w:pPr>
      <w:r>
        <w:rPr>
          <w:b/>
          <w:bCs/>
          <w:color w:val="0000FF"/>
        </w:rPr>
        <w:t>表3</w:t>
      </w:r>
      <w:r>
        <w:rPr>
          <w:rFonts w:hint="eastAsia"/>
          <w:b/>
          <w:bCs/>
          <w:color w:val="0000FF"/>
          <w:lang w:val="en-US" w:eastAsia="zh-CN"/>
        </w:rPr>
        <w:t>.4-1</w:t>
      </w:r>
      <w:r>
        <w:rPr>
          <w:b/>
          <w:bCs/>
          <w:color w:val="0000FF"/>
        </w:rPr>
        <w:t>本项目污水产排情况一览表</w:t>
      </w:r>
    </w:p>
    <w:tbl>
      <w:tblPr>
        <w:tblStyle w:val="23"/>
        <w:tblW w:w="85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0"/>
        <w:gridCol w:w="1134"/>
        <w:gridCol w:w="1020"/>
        <w:gridCol w:w="2665"/>
        <w:gridCol w:w="1560"/>
        <w:gridCol w:w="1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jc w:val="center"/>
        </w:trPr>
        <w:tc>
          <w:tcPr>
            <w:tcW w:w="1954" w:type="dxa"/>
            <w:gridSpan w:val="2"/>
            <w:tcBorders>
              <w:tl2br w:val="nil"/>
              <w:tr2bl w:val="nil"/>
            </w:tcBorders>
            <w:vAlign w:val="center"/>
          </w:tcPr>
          <w:p>
            <w:pPr>
              <w:pStyle w:val="22"/>
              <w:bidi w:val="0"/>
              <w:jc w:val="center"/>
              <w:rPr>
                <w:color w:val="0000FF"/>
              </w:rPr>
            </w:pPr>
            <w:r>
              <w:rPr>
                <w:color w:val="0000FF"/>
              </w:rPr>
              <w:t>项目</w:t>
            </w:r>
          </w:p>
        </w:tc>
        <w:tc>
          <w:tcPr>
            <w:tcW w:w="1020" w:type="dxa"/>
            <w:tcBorders>
              <w:tl2br w:val="nil"/>
              <w:tr2bl w:val="nil"/>
            </w:tcBorders>
            <w:vAlign w:val="center"/>
          </w:tcPr>
          <w:p>
            <w:pPr>
              <w:pStyle w:val="22"/>
              <w:bidi w:val="0"/>
              <w:jc w:val="center"/>
              <w:rPr>
                <w:color w:val="0000FF"/>
              </w:rPr>
            </w:pPr>
            <w:r>
              <w:rPr>
                <w:color w:val="0000FF"/>
              </w:rPr>
              <w:t>废水量（m3/a）</w:t>
            </w:r>
          </w:p>
        </w:tc>
        <w:tc>
          <w:tcPr>
            <w:tcW w:w="2665" w:type="dxa"/>
            <w:tcBorders>
              <w:tl2br w:val="nil"/>
              <w:tr2bl w:val="nil"/>
            </w:tcBorders>
            <w:vAlign w:val="center"/>
          </w:tcPr>
          <w:p>
            <w:pPr>
              <w:pStyle w:val="22"/>
              <w:bidi w:val="0"/>
              <w:jc w:val="center"/>
              <w:rPr>
                <w:color w:val="0000FF"/>
              </w:rPr>
            </w:pPr>
            <w:r>
              <w:rPr>
                <w:color w:val="0000FF"/>
              </w:rPr>
              <w:t>污染因子及浓度</w:t>
            </w:r>
          </w:p>
        </w:tc>
        <w:tc>
          <w:tcPr>
            <w:tcW w:w="1560" w:type="dxa"/>
            <w:tcBorders>
              <w:tl2br w:val="nil"/>
              <w:tr2bl w:val="nil"/>
            </w:tcBorders>
            <w:vAlign w:val="center"/>
          </w:tcPr>
          <w:p>
            <w:pPr>
              <w:pStyle w:val="22"/>
              <w:bidi w:val="0"/>
              <w:jc w:val="center"/>
              <w:rPr>
                <w:color w:val="0000FF"/>
              </w:rPr>
            </w:pPr>
            <w:r>
              <w:rPr>
                <w:color w:val="0000FF"/>
              </w:rPr>
              <w:t>处理方式</w:t>
            </w:r>
          </w:p>
        </w:tc>
        <w:tc>
          <w:tcPr>
            <w:tcW w:w="1327" w:type="dxa"/>
            <w:tcBorders>
              <w:tl2br w:val="nil"/>
              <w:tr2bl w:val="nil"/>
            </w:tcBorders>
            <w:vAlign w:val="center"/>
          </w:tcPr>
          <w:p>
            <w:pPr>
              <w:pStyle w:val="22"/>
              <w:bidi w:val="0"/>
              <w:jc w:val="center"/>
              <w:rPr>
                <w:color w:val="0000FF"/>
              </w:rPr>
            </w:pPr>
            <w:r>
              <w:rPr>
                <w:color w:val="0000FF"/>
              </w:rPr>
              <w:t>排放去向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820" w:type="dxa"/>
            <w:vMerge w:val="restart"/>
            <w:tcBorders>
              <w:tl2br w:val="nil"/>
              <w:tr2bl w:val="nil"/>
            </w:tcBorders>
            <w:vAlign w:val="center"/>
          </w:tcPr>
          <w:p>
            <w:pPr>
              <w:pStyle w:val="22"/>
              <w:bidi w:val="0"/>
              <w:jc w:val="center"/>
              <w:rPr>
                <w:color w:val="0000FF"/>
              </w:rPr>
            </w:pPr>
            <w:r>
              <w:rPr>
                <w:color w:val="0000FF"/>
              </w:rPr>
              <w:t>实验</w:t>
            </w:r>
          </w:p>
          <w:p>
            <w:pPr>
              <w:pStyle w:val="22"/>
              <w:bidi w:val="0"/>
              <w:jc w:val="center"/>
              <w:rPr>
                <w:color w:val="0000FF"/>
              </w:rPr>
            </w:pPr>
            <w:r>
              <w:rPr>
                <w:color w:val="0000FF"/>
              </w:rPr>
              <w:t>室废</w:t>
            </w:r>
          </w:p>
          <w:p>
            <w:pPr>
              <w:pStyle w:val="22"/>
              <w:bidi w:val="0"/>
              <w:jc w:val="center"/>
              <w:rPr>
                <w:color w:val="0000FF"/>
              </w:rPr>
            </w:pPr>
            <w:r>
              <w:rPr>
                <w:color w:val="0000FF"/>
              </w:rPr>
              <w:t>水</w:t>
            </w:r>
          </w:p>
        </w:tc>
        <w:tc>
          <w:tcPr>
            <w:tcW w:w="1134" w:type="dxa"/>
            <w:tcBorders>
              <w:tl2br w:val="nil"/>
              <w:tr2bl w:val="nil"/>
            </w:tcBorders>
            <w:vAlign w:val="center"/>
          </w:tcPr>
          <w:p>
            <w:pPr>
              <w:pStyle w:val="22"/>
              <w:bidi w:val="0"/>
              <w:jc w:val="center"/>
              <w:rPr>
                <w:color w:val="0000FF"/>
              </w:rPr>
            </w:pPr>
            <w:r>
              <w:rPr>
                <w:color w:val="0000FF"/>
              </w:rPr>
              <w:t>纯水制备浓水</w:t>
            </w:r>
          </w:p>
        </w:tc>
        <w:tc>
          <w:tcPr>
            <w:tcW w:w="102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90</w:t>
            </w:r>
          </w:p>
        </w:tc>
        <w:tc>
          <w:tcPr>
            <w:tcW w:w="2665" w:type="dxa"/>
            <w:tcBorders>
              <w:tl2br w:val="nil"/>
              <w:tr2bl w:val="nil"/>
            </w:tcBorders>
            <w:vAlign w:val="center"/>
          </w:tcPr>
          <w:p>
            <w:pPr>
              <w:pStyle w:val="22"/>
              <w:bidi w:val="0"/>
              <w:jc w:val="center"/>
              <w:rPr>
                <w:color w:val="0000FF"/>
              </w:rPr>
            </w:pPr>
            <w:r>
              <w:rPr>
                <w:color w:val="0000FF"/>
              </w:rPr>
              <w:t>全盐类650mg/L</w:t>
            </w:r>
          </w:p>
        </w:tc>
        <w:tc>
          <w:tcPr>
            <w:tcW w:w="1560" w:type="dxa"/>
            <w:tcBorders>
              <w:tl2br w:val="nil"/>
              <w:tr2bl w:val="nil"/>
            </w:tcBorders>
            <w:vAlign w:val="center"/>
          </w:tcPr>
          <w:p>
            <w:pPr>
              <w:pStyle w:val="22"/>
              <w:bidi w:val="0"/>
              <w:jc w:val="center"/>
              <w:rPr>
                <w:color w:val="0000FF"/>
              </w:rPr>
            </w:pPr>
            <w:r>
              <w:rPr>
                <w:color w:val="0000FF"/>
              </w:rPr>
              <w:t>进入自建污水处理站处理</w:t>
            </w:r>
          </w:p>
        </w:tc>
        <w:tc>
          <w:tcPr>
            <w:tcW w:w="1327" w:type="dxa"/>
            <w:vMerge w:val="restart"/>
            <w:tcBorders>
              <w:tl2br w:val="nil"/>
              <w:tr2bl w:val="nil"/>
            </w:tcBorders>
            <w:vAlign w:val="center"/>
          </w:tcPr>
          <w:p>
            <w:pPr>
              <w:pStyle w:val="22"/>
              <w:bidi w:val="0"/>
              <w:jc w:val="center"/>
              <w:rPr>
                <w:color w:val="0000FF"/>
              </w:rPr>
            </w:pPr>
            <w:r>
              <w:rPr>
                <w:color w:val="0000FF"/>
              </w:rPr>
              <w:t>由总排口经</w:t>
            </w:r>
          </w:p>
          <w:p>
            <w:pPr>
              <w:pStyle w:val="22"/>
              <w:bidi w:val="0"/>
              <w:jc w:val="center"/>
              <w:rPr>
                <w:color w:val="0000FF"/>
              </w:rPr>
            </w:pPr>
            <w:r>
              <w:rPr>
                <w:color w:val="0000FF"/>
              </w:rPr>
              <w:t>市政污水管</w:t>
            </w:r>
          </w:p>
          <w:p>
            <w:pPr>
              <w:pStyle w:val="22"/>
              <w:bidi w:val="0"/>
              <w:jc w:val="center"/>
              <w:rPr>
                <w:color w:val="0000FF"/>
              </w:rPr>
            </w:pPr>
            <w:r>
              <w:rPr>
                <w:color w:val="0000FF"/>
              </w:rPr>
              <w:t>网排入</w:t>
            </w:r>
            <w:r>
              <w:rPr>
                <w:rFonts w:hint="eastAsia"/>
                <w:color w:val="0000FF"/>
                <w:lang w:val="en-US" w:eastAsia="zh-CN"/>
              </w:rPr>
              <w:t>225团</w:t>
            </w:r>
            <w:r>
              <w:rPr>
                <w:color w:val="0000FF"/>
              </w:rPr>
              <w:t>污水处理</w:t>
            </w:r>
          </w:p>
          <w:p>
            <w:pPr>
              <w:pStyle w:val="22"/>
              <w:bidi w:val="0"/>
              <w:jc w:val="center"/>
              <w:rPr>
                <w:color w:val="0000FF"/>
              </w:rPr>
            </w:pPr>
            <w:r>
              <w:rPr>
                <w:color w:val="0000FF"/>
              </w:rPr>
              <w:t>厂进行进一</w:t>
            </w:r>
          </w:p>
          <w:p>
            <w:pPr>
              <w:pStyle w:val="22"/>
              <w:bidi w:val="0"/>
              <w:jc w:val="center"/>
              <w:rPr>
                <w:color w:val="0000FF"/>
              </w:rPr>
            </w:pPr>
            <w:r>
              <w:rPr>
                <w:color w:val="0000FF"/>
              </w:rPr>
              <w:t>步处理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jc w:val="center"/>
        </w:trPr>
        <w:tc>
          <w:tcPr>
            <w:tcW w:w="820" w:type="dxa"/>
            <w:vMerge w:val="continue"/>
            <w:tcBorders>
              <w:tl2br w:val="nil"/>
              <w:tr2bl w:val="nil"/>
            </w:tcBorders>
            <w:vAlign w:val="center"/>
          </w:tcPr>
          <w:p>
            <w:pPr>
              <w:pStyle w:val="22"/>
              <w:bidi w:val="0"/>
              <w:jc w:val="center"/>
              <w:rPr>
                <w:color w:val="0000FF"/>
              </w:rPr>
            </w:pPr>
          </w:p>
        </w:tc>
        <w:tc>
          <w:tcPr>
            <w:tcW w:w="1134" w:type="dxa"/>
            <w:tcBorders>
              <w:tl2br w:val="nil"/>
              <w:tr2bl w:val="nil"/>
            </w:tcBorders>
            <w:vAlign w:val="center"/>
          </w:tcPr>
          <w:p>
            <w:pPr>
              <w:pStyle w:val="22"/>
              <w:bidi w:val="0"/>
              <w:jc w:val="center"/>
              <w:rPr>
                <w:color w:val="0000FF"/>
              </w:rPr>
            </w:pPr>
            <w:r>
              <w:rPr>
                <w:color w:val="0000FF"/>
              </w:rPr>
              <w:t>微生物实验室废水</w:t>
            </w:r>
          </w:p>
        </w:tc>
        <w:tc>
          <w:tcPr>
            <w:tcW w:w="102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150</w:t>
            </w:r>
          </w:p>
        </w:tc>
        <w:tc>
          <w:tcPr>
            <w:tcW w:w="2665" w:type="dxa"/>
            <w:tcBorders>
              <w:tl2br w:val="nil"/>
              <w:tr2bl w:val="nil"/>
            </w:tcBorders>
            <w:vAlign w:val="center"/>
          </w:tcPr>
          <w:p>
            <w:pPr>
              <w:pStyle w:val="22"/>
              <w:bidi w:val="0"/>
              <w:jc w:val="center"/>
              <w:rPr>
                <w:color w:val="0000FF"/>
              </w:rPr>
            </w:pPr>
            <w:r>
              <w:rPr>
                <w:color w:val="0000FF"/>
              </w:rPr>
              <w:t>COD350mg/L、</w:t>
            </w:r>
          </w:p>
          <w:p>
            <w:pPr>
              <w:pStyle w:val="22"/>
              <w:bidi w:val="0"/>
              <w:jc w:val="center"/>
              <w:rPr>
                <w:color w:val="0000FF"/>
              </w:rPr>
            </w:pPr>
            <w:r>
              <w:rPr>
                <w:color w:val="0000FF"/>
              </w:rPr>
              <w:t>BOD</w:t>
            </w:r>
            <w:r>
              <w:rPr>
                <w:color w:val="0000FF"/>
                <w:vertAlign w:val="subscript"/>
              </w:rPr>
              <w:t>5</w:t>
            </w:r>
            <w:r>
              <w:rPr>
                <w:color w:val="0000FF"/>
              </w:rPr>
              <w:t>225mg/L、</w:t>
            </w:r>
          </w:p>
          <w:p>
            <w:pPr>
              <w:pStyle w:val="22"/>
              <w:bidi w:val="0"/>
              <w:jc w:val="center"/>
              <w:rPr>
                <w:color w:val="0000FF"/>
              </w:rPr>
            </w:pPr>
            <w:r>
              <w:rPr>
                <w:color w:val="0000FF"/>
              </w:rPr>
              <w:t>SS320mg/L、</w:t>
            </w:r>
          </w:p>
          <w:p>
            <w:pPr>
              <w:pStyle w:val="22"/>
              <w:bidi w:val="0"/>
              <w:jc w:val="center"/>
              <w:rPr>
                <w:color w:val="0000FF"/>
              </w:rPr>
            </w:pPr>
            <w:r>
              <w:rPr>
                <w:color w:val="0000FF"/>
              </w:rPr>
              <w:t>NH</w:t>
            </w:r>
            <w:r>
              <w:rPr>
                <w:color w:val="0000FF"/>
                <w:vertAlign w:val="subscript"/>
              </w:rPr>
              <w:t>3</w:t>
            </w:r>
            <w:r>
              <w:rPr>
                <w:color w:val="0000FF"/>
              </w:rPr>
              <w:t>-N74mg/L、</w:t>
            </w:r>
          </w:p>
          <w:p>
            <w:pPr>
              <w:pStyle w:val="22"/>
              <w:bidi w:val="0"/>
              <w:jc w:val="center"/>
              <w:rPr>
                <w:color w:val="0000FF"/>
              </w:rPr>
            </w:pPr>
            <w:r>
              <w:rPr>
                <w:color w:val="0000FF"/>
              </w:rPr>
              <w:t>粪大肠菌群&lt;5000MPN/L</w:t>
            </w:r>
          </w:p>
        </w:tc>
        <w:tc>
          <w:tcPr>
            <w:tcW w:w="1560" w:type="dxa"/>
            <w:tcBorders>
              <w:tl2br w:val="nil"/>
              <w:tr2bl w:val="nil"/>
            </w:tcBorders>
            <w:vAlign w:val="center"/>
          </w:tcPr>
          <w:p>
            <w:pPr>
              <w:pStyle w:val="22"/>
              <w:bidi w:val="0"/>
              <w:jc w:val="center"/>
              <w:rPr>
                <w:color w:val="0000FF"/>
              </w:rPr>
            </w:pPr>
            <w:r>
              <w:rPr>
                <w:color w:val="0000FF"/>
              </w:rPr>
              <w:t>进入自建污水处理站处理</w:t>
            </w:r>
          </w:p>
        </w:tc>
        <w:tc>
          <w:tcPr>
            <w:tcW w:w="1327"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jc w:val="center"/>
        </w:trPr>
        <w:tc>
          <w:tcPr>
            <w:tcW w:w="820" w:type="dxa"/>
            <w:vMerge w:val="continue"/>
            <w:tcBorders>
              <w:tl2br w:val="nil"/>
              <w:tr2bl w:val="nil"/>
            </w:tcBorders>
            <w:vAlign w:val="center"/>
          </w:tcPr>
          <w:p>
            <w:pPr>
              <w:pStyle w:val="22"/>
              <w:bidi w:val="0"/>
              <w:jc w:val="center"/>
              <w:rPr>
                <w:color w:val="0000FF"/>
              </w:rPr>
            </w:pPr>
          </w:p>
        </w:tc>
        <w:tc>
          <w:tcPr>
            <w:tcW w:w="1134" w:type="dxa"/>
            <w:tcBorders>
              <w:tl2br w:val="nil"/>
              <w:tr2bl w:val="nil"/>
            </w:tcBorders>
            <w:vAlign w:val="center"/>
          </w:tcPr>
          <w:p>
            <w:pPr>
              <w:pStyle w:val="22"/>
              <w:bidi w:val="0"/>
              <w:jc w:val="center"/>
              <w:rPr>
                <w:color w:val="0000FF"/>
              </w:rPr>
            </w:pPr>
            <w:r>
              <w:rPr>
                <w:color w:val="0000FF"/>
              </w:rPr>
              <w:t>理化实验室废水</w:t>
            </w:r>
          </w:p>
        </w:tc>
        <w:tc>
          <w:tcPr>
            <w:tcW w:w="102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60</w:t>
            </w:r>
          </w:p>
        </w:tc>
        <w:tc>
          <w:tcPr>
            <w:tcW w:w="2665" w:type="dxa"/>
            <w:tcBorders>
              <w:tl2br w:val="nil"/>
              <w:tr2bl w:val="nil"/>
            </w:tcBorders>
            <w:vAlign w:val="center"/>
          </w:tcPr>
          <w:p>
            <w:pPr>
              <w:pStyle w:val="22"/>
              <w:bidi w:val="0"/>
              <w:jc w:val="center"/>
              <w:rPr>
                <w:color w:val="0000FF"/>
              </w:rPr>
            </w:pPr>
            <w:r>
              <w:rPr>
                <w:color w:val="0000FF"/>
              </w:rPr>
              <w:t>酸性物质</w:t>
            </w:r>
          </w:p>
          <w:p>
            <w:pPr>
              <w:pStyle w:val="22"/>
              <w:bidi w:val="0"/>
              <w:jc w:val="center"/>
              <w:rPr>
                <w:color w:val="0000FF"/>
              </w:rPr>
            </w:pPr>
            <w:r>
              <w:rPr>
                <w:color w:val="0000FF"/>
              </w:rPr>
              <w:t>pH3～5</w:t>
            </w:r>
          </w:p>
        </w:tc>
        <w:tc>
          <w:tcPr>
            <w:tcW w:w="1560" w:type="dxa"/>
            <w:tcBorders>
              <w:tl2br w:val="nil"/>
              <w:tr2bl w:val="nil"/>
            </w:tcBorders>
            <w:vAlign w:val="center"/>
          </w:tcPr>
          <w:p>
            <w:pPr>
              <w:pStyle w:val="22"/>
              <w:bidi w:val="0"/>
              <w:jc w:val="center"/>
              <w:rPr>
                <w:color w:val="0000FF"/>
              </w:rPr>
            </w:pPr>
            <w:r>
              <w:rPr>
                <w:color w:val="0000FF"/>
              </w:rPr>
              <w:t>采用中和法预处理后进入自建污水处理站处理</w:t>
            </w:r>
          </w:p>
        </w:tc>
        <w:tc>
          <w:tcPr>
            <w:tcW w:w="1327"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954" w:type="dxa"/>
            <w:gridSpan w:val="2"/>
            <w:tcBorders>
              <w:tl2br w:val="nil"/>
              <w:tr2bl w:val="nil"/>
            </w:tcBorders>
            <w:vAlign w:val="center"/>
          </w:tcPr>
          <w:p>
            <w:pPr>
              <w:pStyle w:val="22"/>
              <w:bidi w:val="0"/>
              <w:jc w:val="center"/>
              <w:rPr>
                <w:color w:val="0000FF"/>
              </w:rPr>
            </w:pPr>
            <w:r>
              <w:rPr>
                <w:color w:val="0000FF"/>
              </w:rPr>
              <w:t>办公楼生活污水</w:t>
            </w:r>
          </w:p>
        </w:tc>
        <w:tc>
          <w:tcPr>
            <w:tcW w:w="102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48</w:t>
            </w:r>
          </w:p>
        </w:tc>
        <w:tc>
          <w:tcPr>
            <w:tcW w:w="2665" w:type="dxa"/>
            <w:vMerge w:val="restart"/>
            <w:tcBorders>
              <w:tl2br w:val="nil"/>
              <w:tr2bl w:val="nil"/>
            </w:tcBorders>
            <w:vAlign w:val="center"/>
          </w:tcPr>
          <w:p>
            <w:pPr>
              <w:pStyle w:val="22"/>
              <w:bidi w:val="0"/>
              <w:jc w:val="center"/>
              <w:rPr>
                <w:color w:val="0000FF"/>
              </w:rPr>
            </w:pPr>
            <w:r>
              <w:rPr>
                <w:color w:val="0000FF"/>
              </w:rPr>
              <w:t>COD260mg/L、</w:t>
            </w:r>
          </w:p>
          <w:p>
            <w:pPr>
              <w:pStyle w:val="22"/>
              <w:bidi w:val="0"/>
              <w:jc w:val="center"/>
              <w:rPr>
                <w:color w:val="0000FF"/>
              </w:rPr>
            </w:pPr>
            <w:r>
              <w:rPr>
                <w:color w:val="0000FF"/>
              </w:rPr>
              <w:t>BOD</w:t>
            </w:r>
            <w:r>
              <w:rPr>
                <w:color w:val="0000FF"/>
                <w:vertAlign w:val="subscript"/>
              </w:rPr>
              <w:t>5</w:t>
            </w:r>
            <w:r>
              <w:rPr>
                <w:color w:val="0000FF"/>
              </w:rPr>
              <w:t>180mg/L、</w:t>
            </w:r>
          </w:p>
          <w:p>
            <w:pPr>
              <w:pStyle w:val="22"/>
              <w:bidi w:val="0"/>
              <w:jc w:val="center"/>
              <w:rPr>
                <w:color w:val="0000FF"/>
              </w:rPr>
            </w:pPr>
            <w:r>
              <w:rPr>
                <w:color w:val="0000FF"/>
              </w:rPr>
              <w:t>SS100mg/L、</w:t>
            </w:r>
          </w:p>
          <w:p>
            <w:pPr>
              <w:pStyle w:val="22"/>
              <w:bidi w:val="0"/>
              <w:jc w:val="center"/>
              <w:rPr>
                <w:color w:val="0000FF"/>
              </w:rPr>
            </w:pPr>
            <w:r>
              <w:rPr>
                <w:color w:val="0000FF"/>
              </w:rPr>
              <w:t>NH</w:t>
            </w:r>
            <w:r>
              <w:rPr>
                <w:color w:val="0000FF"/>
                <w:vertAlign w:val="subscript"/>
              </w:rPr>
              <w:t>3</w:t>
            </w:r>
            <w:r>
              <w:rPr>
                <w:color w:val="0000FF"/>
              </w:rPr>
              <w:t>-N21mg/L</w:t>
            </w:r>
          </w:p>
        </w:tc>
        <w:tc>
          <w:tcPr>
            <w:tcW w:w="1560" w:type="dxa"/>
            <w:tcBorders>
              <w:tl2br w:val="nil"/>
              <w:tr2bl w:val="nil"/>
            </w:tcBorders>
            <w:vAlign w:val="center"/>
          </w:tcPr>
          <w:p>
            <w:pPr>
              <w:pStyle w:val="22"/>
              <w:bidi w:val="0"/>
              <w:jc w:val="center"/>
              <w:rPr>
                <w:color w:val="0000FF"/>
              </w:rPr>
            </w:pPr>
            <w:r>
              <w:rPr>
                <w:color w:val="0000FF"/>
              </w:rPr>
              <w:t>化粪池处理</w:t>
            </w:r>
          </w:p>
        </w:tc>
        <w:tc>
          <w:tcPr>
            <w:tcW w:w="1327"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1954" w:type="dxa"/>
            <w:gridSpan w:val="2"/>
            <w:tcBorders>
              <w:tl2br w:val="nil"/>
              <w:tr2bl w:val="nil"/>
            </w:tcBorders>
            <w:vAlign w:val="center"/>
          </w:tcPr>
          <w:p>
            <w:pPr>
              <w:pStyle w:val="22"/>
              <w:bidi w:val="0"/>
              <w:jc w:val="center"/>
              <w:rPr>
                <w:color w:val="0000FF"/>
              </w:rPr>
            </w:pPr>
            <w:r>
              <w:rPr>
                <w:color w:val="0000FF"/>
              </w:rPr>
              <w:t>实验楼生活污水</w:t>
            </w:r>
          </w:p>
        </w:tc>
        <w:tc>
          <w:tcPr>
            <w:tcW w:w="102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144</w:t>
            </w:r>
          </w:p>
        </w:tc>
        <w:tc>
          <w:tcPr>
            <w:tcW w:w="2665" w:type="dxa"/>
            <w:vMerge w:val="continue"/>
            <w:tcBorders>
              <w:tl2br w:val="nil"/>
              <w:tr2bl w:val="nil"/>
            </w:tcBorders>
            <w:vAlign w:val="center"/>
          </w:tcPr>
          <w:p>
            <w:pPr>
              <w:pStyle w:val="22"/>
              <w:bidi w:val="0"/>
              <w:jc w:val="center"/>
              <w:rPr>
                <w:color w:val="0000FF"/>
              </w:rPr>
            </w:pPr>
          </w:p>
        </w:tc>
        <w:tc>
          <w:tcPr>
            <w:tcW w:w="1560" w:type="dxa"/>
            <w:tcBorders>
              <w:tl2br w:val="nil"/>
              <w:tr2bl w:val="nil"/>
            </w:tcBorders>
            <w:vAlign w:val="center"/>
          </w:tcPr>
          <w:p>
            <w:pPr>
              <w:pStyle w:val="22"/>
              <w:bidi w:val="0"/>
              <w:jc w:val="center"/>
              <w:rPr>
                <w:color w:val="0000FF"/>
              </w:rPr>
            </w:pPr>
            <w:r>
              <w:rPr>
                <w:color w:val="0000FF"/>
              </w:rPr>
              <w:t>化粪池处理后进入自建污水处理站</w:t>
            </w:r>
          </w:p>
        </w:tc>
        <w:tc>
          <w:tcPr>
            <w:tcW w:w="1327" w:type="dxa"/>
            <w:vMerge w:val="continue"/>
            <w:tcBorders>
              <w:tl2br w:val="nil"/>
              <w:tr2bl w:val="nil"/>
            </w:tcBorders>
            <w:vAlign w:val="center"/>
          </w:tcPr>
          <w:p>
            <w:pPr>
              <w:pStyle w:val="22"/>
              <w:bidi w:val="0"/>
              <w:jc w:val="center"/>
              <w:rPr>
                <w:color w:val="0000FF"/>
              </w:rPr>
            </w:pPr>
          </w:p>
        </w:tc>
      </w:tr>
    </w:tbl>
    <w:p>
      <w:pPr>
        <w:pStyle w:val="6"/>
        <w:bidi w:val="0"/>
        <w:rPr>
          <w:rFonts w:hint="default" w:eastAsia="宋体"/>
          <w:color w:val="0000FF"/>
          <w:lang w:val="en-US" w:eastAsia="zh-CN"/>
        </w:rPr>
      </w:pPr>
      <w:bookmarkStart w:id="68" w:name="_Toc21441"/>
      <w:r>
        <w:rPr>
          <w:color w:val="0000FF"/>
        </w:rPr>
        <w:t>3.4.3噪声</w:t>
      </w:r>
      <w:r>
        <w:rPr>
          <w:rFonts w:hint="eastAsia"/>
          <w:color w:val="0000FF"/>
          <w:lang w:val="en-US" w:eastAsia="zh-CN"/>
        </w:rPr>
        <w:t>污染源分析</w:t>
      </w:r>
      <w:bookmarkEnd w:id="68"/>
    </w:p>
    <w:p>
      <w:pPr>
        <w:bidi w:val="0"/>
        <w:rPr>
          <w:color w:val="0000FF"/>
        </w:rPr>
      </w:pPr>
      <w:r>
        <w:rPr>
          <w:color w:val="0000FF"/>
        </w:rPr>
        <w:t>本项目检验室设备较多且单一，分配合理。噪声源主要为通风罩风机运行时产生的噪声，其噪声源强在50-65dB（A）之间，综合噪声较小。</w:t>
      </w:r>
    </w:p>
    <w:p>
      <w:pPr>
        <w:bidi w:val="0"/>
        <w:rPr>
          <w:color w:val="0000FF"/>
        </w:rPr>
      </w:pPr>
      <w:r>
        <w:rPr>
          <w:color w:val="0000FF"/>
        </w:rPr>
        <w:t>其主要噪声设备分布如下表</w:t>
      </w:r>
    </w:p>
    <w:p>
      <w:pPr>
        <w:pStyle w:val="22"/>
        <w:bidi w:val="0"/>
        <w:rPr>
          <w:b/>
          <w:bCs/>
          <w:color w:val="0000FF"/>
        </w:rPr>
      </w:pPr>
      <w:r>
        <w:rPr>
          <w:b/>
          <w:bCs/>
          <w:color w:val="0000FF"/>
        </w:rPr>
        <w:t>表3.</w:t>
      </w:r>
      <w:r>
        <w:rPr>
          <w:rFonts w:hint="eastAsia"/>
          <w:b/>
          <w:bCs/>
          <w:color w:val="0000FF"/>
          <w:lang w:val="en-US" w:eastAsia="zh-CN"/>
        </w:rPr>
        <w:t>4-2</w:t>
      </w:r>
      <w:r>
        <w:rPr>
          <w:b/>
          <w:bCs/>
          <w:color w:val="0000FF"/>
        </w:rPr>
        <w:t>运营期主要噪声源及分布情况一览表</w:t>
      </w:r>
    </w:p>
    <w:tbl>
      <w:tblPr>
        <w:tblStyle w:val="23"/>
        <w:tblW w:w="83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5"/>
        <w:gridCol w:w="1293"/>
        <w:gridCol w:w="1191"/>
        <w:gridCol w:w="813"/>
        <w:gridCol w:w="32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1805" w:type="dxa"/>
            <w:tcBorders>
              <w:tl2br w:val="nil"/>
              <w:tr2bl w:val="nil"/>
            </w:tcBorders>
            <w:vAlign w:val="center"/>
          </w:tcPr>
          <w:p>
            <w:pPr>
              <w:pStyle w:val="22"/>
              <w:bidi w:val="0"/>
              <w:jc w:val="center"/>
              <w:rPr>
                <w:color w:val="0000FF"/>
              </w:rPr>
            </w:pPr>
            <w:r>
              <w:rPr>
                <w:color w:val="0000FF"/>
              </w:rPr>
              <w:t>设备名称</w:t>
            </w:r>
          </w:p>
        </w:tc>
        <w:tc>
          <w:tcPr>
            <w:tcW w:w="1293" w:type="dxa"/>
            <w:tcBorders>
              <w:tl2br w:val="nil"/>
              <w:tr2bl w:val="nil"/>
            </w:tcBorders>
            <w:vAlign w:val="center"/>
          </w:tcPr>
          <w:p>
            <w:pPr>
              <w:pStyle w:val="22"/>
              <w:bidi w:val="0"/>
              <w:jc w:val="center"/>
              <w:rPr>
                <w:color w:val="0000FF"/>
              </w:rPr>
            </w:pPr>
            <w:r>
              <w:rPr>
                <w:color w:val="0000FF"/>
              </w:rPr>
              <w:t>噪声源强</w:t>
            </w:r>
          </w:p>
        </w:tc>
        <w:tc>
          <w:tcPr>
            <w:tcW w:w="1191" w:type="dxa"/>
            <w:tcBorders>
              <w:tl2br w:val="nil"/>
              <w:tr2bl w:val="nil"/>
            </w:tcBorders>
            <w:vAlign w:val="center"/>
          </w:tcPr>
          <w:p>
            <w:pPr>
              <w:pStyle w:val="22"/>
              <w:bidi w:val="0"/>
              <w:jc w:val="center"/>
              <w:rPr>
                <w:color w:val="0000FF"/>
              </w:rPr>
            </w:pPr>
            <w:r>
              <w:rPr>
                <w:color w:val="0000FF"/>
              </w:rPr>
              <w:t>数量</w:t>
            </w:r>
          </w:p>
        </w:tc>
        <w:tc>
          <w:tcPr>
            <w:tcW w:w="813" w:type="dxa"/>
            <w:tcBorders>
              <w:tl2br w:val="nil"/>
              <w:tr2bl w:val="nil"/>
            </w:tcBorders>
            <w:vAlign w:val="center"/>
          </w:tcPr>
          <w:p>
            <w:pPr>
              <w:pStyle w:val="22"/>
              <w:bidi w:val="0"/>
              <w:jc w:val="center"/>
              <w:rPr>
                <w:color w:val="0000FF"/>
              </w:rPr>
            </w:pPr>
            <w:r>
              <w:rPr>
                <w:color w:val="0000FF"/>
              </w:rPr>
              <w:t>单位</w:t>
            </w:r>
          </w:p>
        </w:tc>
        <w:tc>
          <w:tcPr>
            <w:tcW w:w="3203" w:type="dxa"/>
            <w:tcBorders>
              <w:tl2br w:val="nil"/>
              <w:tr2bl w:val="nil"/>
            </w:tcBorders>
            <w:vAlign w:val="center"/>
          </w:tcPr>
          <w:p>
            <w:pPr>
              <w:pStyle w:val="22"/>
              <w:bidi w:val="0"/>
              <w:jc w:val="center"/>
              <w:rPr>
                <w:color w:val="0000FF"/>
              </w:rPr>
            </w:pPr>
            <w:r>
              <w:rPr>
                <w:color w:val="0000FF"/>
              </w:rPr>
              <w:t>声源布置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1805" w:type="dxa"/>
            <w:vMerge w:val="restart"/>
            <w:tcBorders>
              <w:tl2br w:val="nil"/>
              <w:tr2bl w:val="nil"/>
            </w:tcBorders>
            <w:vAlign w:val="center"/>
          </w:tcPr>
          <w:p>
            <w:pPr>
              <w:pStyle w:val="22"/>
              <w:bidi w:val="0"/>
              <w:ind w:firstLine="0" w:firstLineChars="0"/>
              <w:jc w:val="center"/>
              <w:rPr>
                <w:color w:val="0000FF"/>
              </w:rPr>
            </w:pPr>
            <w:r>
              <w:rPr>
                <w:color w:val="0000FF"/>
              </w:rPr>
              <w:t>风机</w:t>
            </w:r>
          </w:p>
        </w:tc>
        <w:tc>
          <w:tcPr>
            <w:tcW w:w="1293" w:type="dxa"/>
            <w:vMerge w:val="restart"/>
            <w:tcBorders>
              <w:tl2br w:val="nil"/>
              <w:tr2bl w:val="nil"/>
            </w:tcBorders>
            <w:vAlign w:val="center"/>
          </w:tcPr>
          <w:p>
            <w:pPr>
              <w:pStyle w:val="22"/>
              <w:bidi w:val="0"/>
              <w:ind w:firstLine="0" w:firstLineChars="0"/>
              <w:jc w:val="center"/>
              <w:rPr>
                <w:color w:val="0000FF"/>
              </w:rPr>
            </w:pPr>
            <w:r>
              <w:rPr>
                <w:color w:val="0000FF"/>
              </w:rPr>
              <w:t>50-65dB（A）</w:t>
            </w:r>
          </w:p>
        </w:tc>
        <w:tc>
          <w:tcPr>
            <w:tcW w:w="1191" w:type="dxa"/>
            <w:vMerge w:val="restart"/>
            <w:tcBorders>
              <w:tl2br w:val="nil"/>
              <w:tr2bl w:val="nil"/>
            </w:tcBorders>
            <w:vAlign w:val="center"/>
          </w:tcPr>
          <w:p>
            <w:pPr>
              <w:pStyle w:val="22"/>
              <w:bidi w:val="0"/>
              <w:ind w:firstLine="0" w:firstLineChars="0"/>
              <w:jc w:val="center"/>
              <w:rPr>
                <w:color w:val="0000FF"/>
              </w:rPr>
            </w:pPr>
            <w:r>
              <w:rPr>
                <w:color w:val="0000FF"/>
              </w:rPr>
              <w:t>台</w:t>
            </w:r>
          </w:p>
        </w:tc>
        <w:tc>
          <w:tcPr>
            <w:tcW w:w="813" w:type="dxa"/>
            <w:tcBorders>
              <w:tl2br w:val="nil"/>
              <w:tr2bl w:val="nil"/>
            </w:tcBorders>
            <w:vAlign w:val="center"/>
          </w:tcPr>
          <w:p>
            <w:pPr>
              <w:pStyle w:val="22"/>
              <w:bidi w:val="0"/>
              <w:jc w:val="center"/>
              <w:rPr>
                <w:color w:val="0000FF"/>
              </w:rPr>
            </w:pPr>
            <w:r>
              <w:rPr>
                <w:color w:val="0000FF"/>
              </w:rPr>
              <w:t>1</w:t>
            </w:r>
          </w:p>
        </w:tc>
        <w:tc>
          <w:tcPr>
            <w:tcW w:w="3203" w:type="dxa"/>
            <w:tcBorders>
              <w:tl2br w:val="nil"/>
              <w:tr2bl w:val="nil"/>
            </w:tcBorders>
            <w:vAlign w:val="center"/>
          </w:tcPr>
          <w:p>
            <w:pPr>
              <w:pStyle w:val="22"/>
              <w:bidi w:val="0"/>
              <w:jc w:val="center"/>
              <w:rPr>
                <w:color w:val="0000FF"/>
              </w:rPr>
            </w:pPr>
            <w:r>
              <w:rPr>
                <w:color w:val="0000FF"/>
              </w:rPr>
              <w:t>微生物实验室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1805" w:type="dxa"/>
            <w:vMerge w:val="continue"/>
            <w:tcBorders>
              <w:tl2br w:val="nil"/>
              <w:tr2bl w:val="nil"/>
            </w:tcBorders>
            <w:vAlign w:val="center"/>
          </w:tcPr>
          <w:p>
            <w:pPr>
              <w:pStyle w:val="22"/>
              <w:bidi w:val="0"/>
              <w:jc w:val="center"/>
              <w:rPr>
                <w:color w:val="0000FF"/>
              </w:rPr>
            </w:pPr>
          </w:p>
        </w:tc>
        <w:tc>
          <w:tcPr>
            <w:tcW w:w="1293" w:type="dxa"/>
            <w:vMerge w:val="continue"/>
            <w:tcBorders>
              <w:tl2br w:val="nil"/>
              <w:tr2bl w:val="nil"/>
            </w:tcBorders>
            <w:vAlign w:val="center"/>
          </w:tcPr>
          <w:p>
            <w:pPr>
              <w:pStyle w:val="22"/>
              <w:bidi w:val="0"/>
              <w:jc w:val="center"/>
              <w:rPr>
                <w:color w:val="0000FF"/>
              </w:rPr>
            </w:pPr>
          </w:p>
        </w:tc>
        <w:tc>
          <w:tcPr>
            <w:tcW w:w="1191" w:type="dxa"/>
            <w:vMerge w:val="continue"/>
            <w:tcBorders>
              <w:tl2br w:val="nil"/>
              <w:tr2bl w:val="nil"/>
            </w:tcBorders>
            <w:vAlign w:val="center"/>
          </w:tcPr>
          <w:p>
            <w:pPr>
              <w:pStyle w:val="22"/>
              <w:bidi w:val="0"/>
              <w:jc w:val="center"/>
              <w:rPr>
                <w:color w:val="0000FF"/>
              </w:rPr>
            </w:pPr>
          </w:p>
        </w:tc>
        <w:tc>
          <w:tcPr>
            <w:tcW w:w="813"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2</w:t>
            </w:r>
          </w:p>
        </w:tc>
        <w:tc>
          <w:tcPr>
            <w:tcW w:w="3203" w:type="dxa"/>
            <w:tcBorders>
              <w:tl2br w:val="nil"/>
              <w:tr2bl w:val="nil"/>
            </w:tcBorders>
            <w:vAlign w:val="center"/>
          </w:tcPr>
          <w:p>
            <w:pPr>
              <w:pStyle w:val="22"/>
              <w:bidi w:val="0"/>
              <w:jc w:val="center"/>
              <w:rPr>
                <w:color w:val="0000FF"/>
              </w:rPr>
            </w:pPr>
            <w:r>
              <w:rPr>
                <w:color w:val="0000FF"/>
              </w:rPr>
              <w:t>理化实验室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805" w:type="dxa"/>
            <w:tcBorders>
              <w:tl2br w:val="nil"/>
              <w:tr2bl w:val="nil"/>
            </w:tcBorders>
            <w:vAlign w:val="center"/>
          </w:tcPr>
          <w:p>
            <w:pPr>
              <w:pStyle w:val="22"/>
              <w:bidi w:val="0"/>
              <w:jc w:val="center"/>
              <w:rPr>
                <w:color w:val="0000FF"/>
              </w:rPr>
            </w:pPr>
            <w:r>
              <w:rPr>
                <w:color w:val="0000FF"/>
              </w:rPr>
              <w:t>水泵</w:t>
            </w:r>
          </w:p>
        </w:tc>
        <w:tc>
          <w:tcPr>
            <w:tcW w:w="1293" w:type="dxa"/>
            <w:tcBorders>
              <w:tl2br w:val="nil"/>
              <w:tr2bl w:val="nil"/>
            </w:tcBorders>
            <w:vAlign w:val="center"/>
          </w:tcPr>
          <w:p>
            <w:pPr>
              <w:pStyle w:val="22"/>
              <w:bidi w:val="0"/>
              <w:jc w:val="center"/>
              <w:rPr>
                <w:color w:val="0000FF"/>
              </w:rPr>
            </w:pPr>
            <w:r>
              <w:rPr>
                <w:color w:val="0000FF"/>
              </w:rPr>
              <w:t>50-65dB（A）</w:t>
            </w:r>
          </w:p>
        </w:tc>
        <w:tc>
          <w:tcPr>
            <w:tcW w:w="1191" w:type="dxa"/>
            <w:tcBorders>
              <w:tl2br w:val="nil"/>
              <w:tr2bl w:val="nil"/>
            </w:tcBorders>
            <w:vAlign w:val="center"/>
          </w:tcPr>
          <w:p>
            <w:pPr>
              <w:pStyle w:val="22"/>
              <w:bidi w:val="0"/>
              <w:jc w:val="center"/>
              <w:rPr>
                <w:color w:val="0000FF"/>
              </w:rPr>
            </w:pPr>
            <w:r>
              <w:rPr>
                <w:color w:val="0000FF"/>
              </w:rPr>
              <w:t>台</w:t>
            </w:r>
          </w:p>
        </w:tc>
        <w:tc>
          <w:tcPr>
            <w:tcW w:w="813" w:type="dxa"/>
            <w:tcBorders>
              <w:tl2br w:val="nil"/>
              <w:tr2bl w:val="nil"/>
            </w:tcBorders>
            <w:vAlign w:val="center"/>
          </w:tcPr>
          <w:p>
            <w:pPr>
              <w:pStyle w:val="22"/>
              <w:bidi w:val="0"/>
              <w:jc w:val="center"/>
              <w:rPr>
                <w:color w:val="0000FF"/>
              </w:rPr>
            </w:pPr>
            <w:r>
              <w:rPr>
                <w:color w:val="0000FF"/>
              </w:rPr>
              <w:t>1</w:t>
            </w:r>
          </w:p>
        </w:tc>
        <w:tc>
          <w:tcPr>
            <w:tcW w:w="3203" w:type="dxa"/>
            <w:tcBorders>
              <w:tl2br w:val="nil"/>
              <w:tr2bl w:val="nil"/>
            </w:tcBorders>
            <w:vAlign w:val="center"/>
          </w:tcPr>
          <w:p>
            <w:pPr>
              <w:pStyle w:val="22"/>
              <w:bidi w:val="0"/>
              <w:jc w:val="center"/>
              <w:rPr>
                <w:color w:val="0000FF"/>
              </w:rPr>
            </w:pPr>
            <w:r>
              <w:rPr>
                <w:color w:val="0000FF"/>
              </w:rPr>
              <w:t>一层泵房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805" w:type="dxa"/>
            <w:tcBorders>
              <w:tl2br w:val="nil"/>
              <w:tr2bl w:val="nil"/>
            </w:tcBorders>
            <w:vAlign w:val="center"/>
          </w:tcPr>
          <w:p>
            <w:pPr>
              <w:pStyle w:val="22"/>
              <w:bidi w:val="0"/>
              <w:jc w:val="center"/>
              <w:rPr>
                <w:color w:val="0000FF"/>
              </w:rPr>
            </w:pPr>
            <w:r>
              <w:rPr>
                <w:color w:val="0000FF"/>
              </w:rPr>
              <w:t>空调</w:t>
            </w:r>
          </w:p>
        </w:tc>
        <w:tc>
          <w:tcPr>
            <w:tcW w:w="1293" w:type="dxa"/>
            <w:tcBorders>
              <w:tl2br w:val="nil"/>
              <w:tr2bl w:val="nil"/>
            </w:tcBorders>
            <w:vAlign w:val="center"/>
          </w:tcPr>
          <w:p>
            <w:pPr>
              <w:pStyle w:val="22"/>
              <w:bidi w:val="0"/>
              <w:jc w:val="center"/>
              <w:rPr>
                <w:color w:val="0000FF"/>
              </w:rPr>
            </w:pPr>
            <w:r>
              <w:rPr>
                <w:color w:val="0000FF"/>
              </w:rPr>
              <w:t>50-65dB（A）</w:t>
            </w:r>
          </w:p>
        </w:tc>
        <w:tc>
          <w:tcPr>
            <w:tcW w:w="1191" w:type="dxa"/>
            <w:tcBorders>
              <w:tl2br w:val="nil"/>
              <w:tr2bl w:val="nil"/>
            </w:tcBorders>
            <w:vAlign w:val="center"/>
          </w:tcPr>
          <w:p>
            <w:pPr>
              <w:pStyle w:val="22"/>
              <w:bidi w:val="0"/>
              <w:jc w:val="center"/>
              <w:rPr>
                <w:color w:val="0000FF"/>
              </w:rPr>
            </w:pPr>
            <w:r>
              <w:rPr>
                <w:color w:val="0000FF"/>
              </w:rPr>
              <w:t>台</w:t>
            </w:r>
          </w:p>
        </w:tc>
        <w:tc>
          <w:tcPr>
            <w:tcW w:w="813" w:type="dxa"/>
            <w:tcBorders>
              <w:tl2br w:val="nil"/>
              <w:tr2bl w:val="nil"/>
            </w:tcBorders>
            <w:vAlign w:val="center"/>
          </w:tcPr>
          <w:p>
            <w:pPr>
              <w:pStyle w:val="22"/>
              <w:bidi w:val="0"/>
              <w:jc w:val="center"/>
              <w:rPr>
                <w:color w:val="0000FF"/>
              </w:rPr>
            </w:pPr>
            <w:r>
              <w:rPr>
                <w:color w:val="0000FF"/>
              </w:rPr>
              <w:t>若干</w:t>
            </w:r>
          </w:p>
        </w:tc>
        <w:tc>
          <w:tcPr>
            <w:tcW w:w="3203" w:type="dxa"/>
            <w:tcBorders>
              <w:tl2br w:val="nil"/>
              <w:tr2bl w:val="nil"/>
            </w:tcBorders>
            <w:vAlign w:val="center"/>
          </w:tcPr>
          <w:p>
            <w:pPr>
              <w:pStyle w:val="22"/>
              <w:bidi w:val="0"/>
              <w:jc w:val="center"/>
              <w:rPr>
                <w:color w:val="0000FF"/>
              </w:rPr>
            </w:pPr>
            <w:r>
              <w:rPr>
                <w:color w:val="0000FF"/>
              </w:rPr>
              <w:t>各办公室内</w:t>
            </w:r>
          </w:p>
        </w:tc>
      </w:tr>
    </w:tbl>
    <w:p>
      <w:pPr>
        <w:pStyle w:val="6"/>
        <w:bidi w:val="0"/>
        <w:rPr>
          <w:color w:val="0000FF"/>
        </w:rPr>
      </w:pPr>
      <w:bookmarkStart w:id="69" w:name="_Toc19485"/>
      <w:r>
        <w:rPr>
          <w:color w:val="0000FF"/>
        </w:rPr>
        <w:t>3.4.4固体废物污染源分析</w:t>
      </w:r>
      <w:bookmarkEnd w:id="69"/>
    </w:p>
    <w:p>
      <w:pPr>
        <w:bidi w:val="0"/>
        <w:rPr>
          <w:color w:val="0000FF"/>
        </w:rPr>
      </w:pPr>
      <w:r>
        <w:rPr>
          <w:color w:val="0000FF"/>
        </w:rPr>
        <w:t>本项目固体废物主要包括生活垃圾、过滤器滤芯、医疗垃圾、实验废液、废活性炭、废离子交换树脂、污水站污泥。</w:t>
      </w:r>
    </w:p>
    <w:p>
      <w:pPr>
        <w:bidi w:val="0"/>
        <w:rPr>
          <w:color w:val="0000FF"/>
        </w:rPr>
      </w:pPr>
      <w:r>
        <w:rPr>
          <w:color w:val="0000FF"/>
        </w:rPr>
        <w:t>（1）生活垃圾</w:t>
      </w:r>
    </w:p>
    <w:p>
      <w:pPr>
        <w:bidi w:val="0"/>
        <w:rPr>
          <w:color w:val="0000FF"/>
        </w:rPr>
      </w:pPr>
      <w:r>
        <w:rPr>
          <w:color w:val="0000FF"/>
        </w:rPr>
        <w:t>本项目劳动定员共计</w:t>
      </w:r>
      <w:r>
        <w:rPr>
          <w:rFonts w:hint="eastAsia"/>
          <w:color w:val="0000FF"/>
          <w:lang w:val="en-US" w:eastAsia="zh-CN"/>
        </w:rPr>
        <w:t>20</w:t>
      </w:r>
      <w:r>
        <w:rPr>
          <w:color w:val="0000FF"/>
        </w:rPr>
        <w:t>人，按平均每人每天产生0.5kg生活垃圾计，则本项目生活垃圾总产生量为</w:t>
      </w:r>
      <w:r>
        <w:rPr>
          <w:rFonts w:hint="eastAsia"/>
          <w:color w:val="0000FF"/>
          <w:lang w:val="en-US" w:eastAsia="zh-CN"/>
        </w:rPr>
        <w:t>1</w:t>
      </w:r>
      <w:r>
        <w:rPr>
          <w:color w:val="0000FF"/>
        </w:rPr>
        <w:t>t/a。</w:t>
      </w:r>
    </w:p>
    <w:p>
      <w:pPr>
        <w:bidi w:val="0"/>
        <w:rPr>
          <w:color w:val="0000FF"/>
        </w:rPr>
      </w:pPr>
      <w:r>
        <w:rPr>
          <w:color w:val="0000FF"/>
        </w:rPr>
        <w:t>（</w:t>
      </w:r>
      <w:r>
        <w:rPr>
          <w:rFonts w:hint="eastAsia"/>
          <w:color w:val="0000FF"/>
          <w:lang w:val="en-US" w:eastAsia="zh-CN"/>
        </w:rPr>
        <w:t>2</w:t>
      </w:r>
      <w:r>
        <w:rPr>
          <w:color w:val="0000FF"/>
        </w:rPr>
        <w:t>）医疗垃圾</w:t>
      </w:r>
    </w:p>
    <w:p>
      <w:pPr>
        <w:bidi w:val="0"/>
        <w:rPr>
          <w:color w:val="0000FF"/>
        </w:rPr>
      </w:pPr>
      <w:r>
        <w:rPr>
          <w:color w:val="0000FF"/>
        </w:rPr>
        <w:t>本项目产生的医疗废物按《医疗废物分类名录》主要分为</w:t>
      </w:r>
      <w:r>
        <w:rPr>
          <w:rFonts w:hint="eastAsia"/>
          <w:color w:val="0000FF"/>
          <w:lang w:val="en-US" w:eastAsia="zh-CN"/>
        </w:rPr>
        <w:t>4</w:t>
      </w:r>
      <w:r>
        <w:rPr>
          <w:color w:val="0000FF"/>
        </w:rPr>
        <w:t>类：感染性废物、损伤性废物、药物性废物和化学性废物，废物类别为HW01，代码分别为感染性废物（831-001-01）、损伤性废物（831-003-01）、药物性废物（831-004-01）和化学性废物（831-005-01）。详见下表。</w:t>
      </w:r>
    </w:p>
    <w:p>
      <w:pPr>
        <w:pStyle w:val="22"/>
        <w:bidi w:val="0"/>
        <w:rPr>
          <w:b/>
          <w:bCs/>
          <w:color w:val="0000FF"/>
        </w:rPr>
      </w:pPr>
      <w:r>
        <w:rPr>
          <w:b/>
          <w:bCs/>
          <w:color w:val="0000FF"/>
        </w:rPr>
        <w:t>表3.4-</w:t>
      </w:r>
      <w:r>
        <w:rPr>
          <w:rFonts w:hint="eastAsia"/>
          <w:b/>
          <w:bCs/>
          <w:color w:val="0000FF"/>
          <w:lang w:val="en-US" w:eastAsia="zh-CN"/>
        </w:rPr>
        <w:t>3</w:t>
      </w:r>
      <w:r>
        <w:rPr>
          <w:b/>
          <w:bCs/>
          <w:color w:val="0000FF"/>
        </w:rPr>
        <w:t>医疗废物分类目录</w:t>
      </w:r>
    </w:p>
    <w:tbl>
      <w:tblPr>
        <w:tblStyle w:val="23"/>
        <w:tblW w:w="8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1561"/>
        <w:gridCol w:w="6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781" w:type="dxa"/>
            <w:tcBorders>
              <w:tl2br w:val="nil"/>
              <w:tr2bl w:val="nil"/>
            </w:tcBorders>
            <w:vAlign w:val="center"/>
          </w:tcPr>
          <w:p>
            <w:pPr>
              <w:pStyle w:val="22"/>
              <w:bidi w:val="0"/>
              <w:jc w:val="center"/>
              <w:rPr>
                <w:color w:val="0000FF"/>
              </w:rPr>
            </w:pPr>
            <w:r>
              <w:rPr>
                <w:color w:val="0000FF"/>
              </w:rPr>
              <w:t>类别</w:t>
            </w:r>
          </w:p>
        </w:tc>
        <w:tc>
          <w:tcPr>
            <w:tcW w:w="1561" w:type="dxa"/>
            <w:tcBorders>
              <w:tl2br w:val="nil"/>
              <w:tr2bl w:val="nil"/>
            </w:tcBorders>
            <w:vAlign w:val="center"/>
          </w:tcPr>
          <w:p>
            <w:pPr>
              <w:pStyle w:val="22"/>
              <w:bidi w:val="0"/>
              <w:jc w:val="center"/>
              <w:rPr>
                <w:color w:val="0000FF"/>
              </w:rPr>
            </w:pPr>
            <w:r>
              <w:rPr>
                <w:color w:val="0000FF"/>
              </w:rPr>
              <w:t>特征</w:t>
            </w:r>
          </w:p>
        </w:tc>
        <w:tc>
          <w:tcPr>
            <w:tcW w:w="6179" w:type="dxa"/>
            <w:tcBorders>
              <w:tl2br w:val="nil"/>
              <w:tr2bl w:val="nil"/>
            </w:tcBorders>
            <w:vAlign w:val="center"/>
          </w:tcPr>
          <w:p>
            <w:pPr>
              <w:pStyle w:val="22"/>
              <w:bidi w:val="0"/>
              <w:jc w:val="center"/>
              <w:rPr>
                <w:color w:val="0000FF"/>
              </w:rPr>
            </w:pPr>
            <w:r>
              <w:rPr>
                <w:color w:val="0000FF"/>
              </w:rPr>
              <w:t>常见组分或者废物名称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781" w:type="dxa"/>
            <w:vMerge w:val="restart"/>
            <w:tcBorders>
              <w:tl2br w:val="nil"/>
              <w:tr2bl w:val="nil"/>
            </w:tcBorders>
            <w:vAlign w:val="center"/>
          </w:tcPr>
          <w:p>
            <w:pPr>
              <w:pStyle w:val="22"/>
              <w:bidi w:val="0"/>
              <w:jc w:val="center"/>
              <w:rPr>
                <w:color w:val="0000FF"/>
              </w:rPr>
            </w:pPr>
            <w:r>
              <w:rPr>
                <w:color w:val="0000FF"/>
              </w:rPr>
              <w:t>感染性废物</w:t>
            </w:r>
          </w:p>
        </w:tc>
        <w:tc>
          <w:tcPr>
            <w:tcW w:w="1561" w:type="dxa"/>
            <w:vMerge w:val="restart"/>
            <w:tcBorders>
              <w:tl2br w:val="nil"/>
              <w:tr2bl w:val="nil"/>
            </w:tcBorders>
            <w:vAlign w:val="center"/>
          </w:tcPr>
          <w:p>
            <w:pPr>
              <w:pStyle w:val="22"/>
              <w:bidi w:val="0"/>
              <w:jc w:val="center"/>
              <w:rPr>
                <w:color w:val="0000FF"/>
              </w:rPr>
            </w:pPr>
            <w:r>
              <w:rPr>
                <w:color w:val="0000FF"/>
              </w:rPr>
              <w:t>携带病原微生物具有引发感染性疾病传播危险的医疗废物</w:t>
            </w:r>
          </w:p>
        </w:tc>
        <w:tc>
          <w:tcPr>
            <w:tcW w:w="6179" w:type="dxa"/>
            <w:tcBorders>
              <w:tl2br w:val="nil"/>
              <w:tr2bl w:val="nil"/>
            </w:tcBorders>
            <w:vAlign w:val="center"/>
          </w:tcPr>
          <w:p>
            <w:pPr>
              <w:pStyle w:val="22"/>
              <w:bidi w:val="0"/>
              <w:jc w:val="both"/>
              <w:rPr>
                <w:color w:val="0000FF"/>
              </w:rPr>
            </w:pPr>
            <w:r>
              <w:rPr>
                <w:color w:val="0000FF"/>
              </w:rPr>
              <w:t>1、被病人血液、体液、排泄物污染的物品，包括：</w:t>
            </w:r>
          </w:p>
          <w:p>
            <w:pPr>
              <w:pStyle w:val="22"/>
              <w:bidi w:val="0"/>
              <w:jc w:val="both"/>
              <w:rPr>
                <w:color w:val="0000FF"/>
              </w:rPr>
            </w:pPr>
            <w:r>
              <w:rPr>
                <w:color w:val="0000FF"/>
              </w:rPr>
              <w:t>①棉球、棉签、引流棉条，纱布及其他各种敷料；</w:t>
            </w:r>
          </w:p>
          <w:p>
            <w:pPr>
              <w:pStyle w:val="22"/>
              <w:bidi w:val="0"/>
              <w:jc w:val="both"/>
              <w:rPr>
                <w:color w:val="0000FF"/>
              </w:rPr>
            </w:pPr>
            <w:r>
              <w:rPr>
                <w:color w:val="0000FF"/>
              </w:rPr>
              <w:t>②一次性使用卫生用品、医疗用品及医疗器械；</w:t>
            </w:r>
          </w:p>
          <w:p>
            <w:pPr>
              <w:pStyle w:val="22"/>
              <w:bidi w:val="0"/>
              <w:jc w:val="both"/>
              <w:rPr>
                <w:color w:val="0000FF"/>
              </w:rPr>
            </w:pPr>
            <w:r>
              <w:rPr>
                <w:color w:val="0000FF"/>
              </w:rPr>
              <w:t>③废弃的被服；</w:t>
            </w:r>
          </w:p>
          <w:p>
            <w:pPr>
              <w:pStyle w:val="22"/>
              <w:bidi w:val="0"/>
              <w:jc w:val="both"/>
              <w:rPr>
                <w:color w:val="0000FF"/>
              </w:rPr>
            </w:pPr>
            <w:r>
              <w:rPr>
                <w:color w:val="0000FF"/>
              </w:rPr>
              <w:t>④其他被病人血液、体液、排泄物污染的物品。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2、病原体的培养基、标本和菌种、毒种保存液。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3、各种废弃的医学标本。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4、废弃的血液、血清。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5、使用后的一次性使用医疗用品及一次性医疗器械视为感染性废物。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6、病人经负压排出脓血、痰等废物。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restart"/>
            <w:tcBorders>
              <w:tl2br w:val="nil"/>
              <w:tr2bl w:val="nil"/>
            </w:tcBorders>
            <w:vAlign w:val="center"/>
          </w:tcPr>
          <w:p>
            <w:pPr>
              <w:pStyle w:val="22"/>
              <w:bidi w:val="0"/>
              <w:jc w:val="center"/>
              <w:rPr>
                <w:color w:val="0000FF"/>
              </w:rPr>
            </w:pPr>
            <w:r>
              <w:rPr>
                <w:color w:val="0000FF"/>
              </w:rPr>
              <w:t>损伤性废物</w:t>
            </w:r>
          </w:p>
        </w:tc>
        <w:tc>
          <w:tcPr>
            <w:tcW w:w="1561" w:type="dxa"/>
            <w:vMerge w:val="restart"/>
            <w:tcBorders>
              <w:tl2br w:val="nil"/>
              <w:tr2bl w:val="nil"/>
            </w:tcBorders>
            <w:vAlign w:val="center"/>
          </w:tcPr>
          <w:p>
            <w:pPr>
              <w:pStyle w:val="22"/>
              <w:bidi w:val="0"/>
              <w:jc w:val="center"/>
              <w:rPr>
                <w:color w:val="0000FF"/>
              </w:rPr>
            </w:pPr>
            <w:r>
              <w:rPr>
                <w:color w:val="0000FF"/>
              </w:rPr>
              <w:t>能够刺伤或者割伤人体的废弃的医用锐器</w:t>
            </w:r>
          </w:p>
        </w:tc>
        <w:tc>
          <w:tcPr>
            <w:tcW w:w="6179" w:type="dxa"/>
            <w:tcBorders>
              <w:tl2br w:val="nil"/>
              <w:tr2bl w:val="nil"/>
            </w:tcBorders>
            <w:vAlign w:val="center"/>
          </w:tcPr>
          <w:p>
            <w:pPr>
              <w:pStyle w:val="22"/>
              <w:bidi w:val="0"/>
              <w:jc w:val="both"/>
              <w:rPr>
                <w:color w:val="0000FF"/>
              </w:rPr>
            </w:pPr>
            <w:r>
              <w:rPr>
                <w:color w:val="0000FF"/>
              </w:rPr>
              <w:t>1、医用针头、缝合针。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2、各类医用锐器，包括：解剖刀、手术刀、备皮刀、手术锯等。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3、载玻片、玻璃试管、玻璃安瓿等。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restart"/>
            <w:tcBorders>
              <w:tl2br w:val="nil"/>
              <w:tr2bl w:val="nil"/>
            </w:tcBorders>
            <w:vAlign w:val="center"/>
          </w:tcPr>
          <w:p>
            <w:pPr>
              <w:pStyle w:val="22"/>
              <w:bidi w:val="0"/>
              <w:jc w:val="center"/>
              <w:rPr>
                <w:color w:val="0000FF"/>
              </w:rPr>
            </w:pPr>
            <w:r>
              <w:rPr>
                <w:color w:val="0000FF"/>
              </w:rPr>
              <w:t>药物性废物</w:t>
            </w:r>
          </w:p>
        </w:tc>
        <w:tc>
          <w:tcPr>
            <w:tcW w:w="1561" w:type="dxa"/>
            <w:vMerge w:val="restart"/>
            <w:tcBorders>
              <w:tl2br w:val="nil"/>
              <w:tr2bl w:val="nil"/>
            </w:tcBorders>
            <w:vAlign w:val="center"/>
          </w:tcPr>
          <w:p>
            <w:pPr>
              <w:pStyle w:val="22"/>
              <w:bidi w:val="0"/>
              <w:jc w:val="center"/>
              <w:rPr>
                <w:color w:val="0000FF"/>
              </w:rPr>
            </w:pPr>
            <w:r>
              <w:rPr>
                <w:color w:val="0000FF"/>
              </w:rPr>
              <w:t>过期、淘汰、变质或者被污染的废弃的药品</w:t>
            </w:r>
          </w:p>
        </w:tc>
        <w:tc>
          <w:tcPr>
            <w:tcW w:w="6179" w:type="dxa"/>
            <w:tcBorders>
              <w:tl2br w:val="nil"/>
              <w:tr2bl w:val="nil"/>
            </w:tcBorders>
            <w:vAlign w:val="center"/>
          </w:tcPr>
          <w:p>
            <w:pPr>
              <w:pStyle w:val="22"/>
              <w:bidi w:val="0"/>
              <w:jc w:val="both"/>
              <w:rPr>
                <w:color w:val="0000FF"/>
              </w:rPr>
            </w:pPr>
            <w:r>
              <w:rPr>
                <w:color w:val="0000FF"/>
              </w:rPr>
              <w:t>1、废弃的一般性药品，如：抗生素、非处方类药品等。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2、废弃的细胞毒性药物和遗传毒性药物，包括：致癌性药物，如硫唑嘌呤、苯丁酸氮芥、萘氮芥、环孢霉素、环磷酰胺、苯丙胺酸氮芥、司莫司汀、三苯氧氨、硫替派等；可疑致癌性药物，如：顺铂、丝裂霉素、阿霉素、苯巴比妥等；免疫抑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3、废弃的疫苗、血液制品等。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81" w:type="dxa"/>
            <w:vMerge w:val="restart"/>
            <w:tcBorders>
              <w:tl2br w:val="nil"/>
              <w:tr2bl w:val="nil"/>
            </w:tcBorders>
            <w:vAlign w:val="center"/>
          </w:tcPr>
          <w:p>
            <w:pPr>
              <w:pStyle w:val="22"/>
              <w:bidi w:val="0"/>
              <w:jc w:val="center"/>
              <w:rPr>
                <w:color w:val="0000FF"/>
              </w:rPr>
            </w:pPr>
            <w:r>
              <w:rPr>
                <w:color w:val="0000FF"/>
              </w:rPr>
              <w:t>化学性废物</w:t>
            </w:r>
          </w:p>
        </w:tc>
        <w:tc>
          <w:tcPr>
            <w:tcW w:w="1561" w:type="dxa"/>
            <w:vMerge w:val="restart"/>
            <w:tcBorders>
              <w:tl2br w:val="nil"/>
              <w:tr2bl w:val="nil"/>
            </w:tcBorders>
            <w:vAlign w:val="center"/>
          </w:tcPr>
          <w:p>
            <w:pPr>
              <w:pStyle w:val="22"/>
              <w:bidi w:val="0"/>
              <w:jc w:val="center"/>
              <w:rPr>
                <w:color w:val="0000FF"/>
              </w:rPr>
            </w:pPr>
            <w:r>
              <w:rPr>
                <w:color w:val="0000FF"/>
              </w:rPr>
              <w:t>具有毒性、腐蚀性、易燃易爆性的废弃的化学物品</w:t>
            </w:r>
          </w:p>
        </w:tc>
        <w:tc>
          <w:tcPr>
            <w:tcW w:w="6179" w:type="dxa"/>
            <w:tcBorders>
              <w:tl2br w:val="nil"/>
              <w:tr2bl w:val="nil"/>
            </w:tcBorders>
            <w:vAlign w:val="center"/>
          </w:tcPr>
          <w:p>
            <w:pPr>
              <w:pStyle w:val="22"/>
              <w:bidi w:val="0"/>
              <w:jc w:val="both"/>
              <w:rPr>
                <w:color w:val="0000FF"/>
              </w:rPr>
            </w:pPr>
            <w:r>
              <w:rPr>
                <w:color w:val="0000FF"/>
              </w:rPr>
              <w:t>1、实验室废弃的化学试剂，在血液、血清、细菌和化学检查分析中常使用氰化钾、氰化钠、铁氰化钾等含氰化合物，</w:t>
            </w:r>
            <w:r>
              <w:rPr>
                <w:rFonts w:hint="eastAsia"/>
                <w:color w:val="0000FF"/>
                <w:lang w:eastAsia="zh-CN"/>
              </w:rPr>
              <w:t>有些</w:t>
            </w:r>
            <w:r>
              <w:rPr>
                <w:color w:val="0000FF"/>
              </w:rPr>
              <w:t>产生含氰废液。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2、废弃的过氧乙酸、戊二醛等化学消毒剂。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781" w:type="dxa"/>
            <w:vMerge w:val="continue"/>
            <w:tcBorders>
              <w:tl2br w:val="nil"/>
              <w:tr2bl w:val="nil"/>
            </w:tcBorders>
            <w:vAlign w:val="center"/>
          </w:tcPr>
          <w:p>
            <w:pPr>
              <w:pStyle w:val="22"/>
              <w:bidi w:val="0"/>
              <w:jc w:val="both"/>
              <w:rPr>
                <w:color w:val="0000FF"/>
              </w:rPr>
            </w:pPr>
          </w:p>
        </w:tc>
        <w:tc>
          <w:tcPr>
            <w:tcW w:w="1561" w:type="dxa"/>
            <w:vMerge w:val="continue"/>
            <w:tcBorders>
              <w:tl2br w:val="nil"/>
              <w:tr2bl w:val="nil"/>
            </w:tcBorders>
            <w:vAlign w:val="center"/>
          </w:tcPr>
          <w:p>
            <w:pPr>
              <w:pStyle w:val="22"/>
              <w:bidi w:val="0"/>
              <w:jc w:val="both"/>
              <w:rPr>
                <w:color w:val="0000FF"/>
              </w:rPr>
            </w:pPr>
          </w:p>
        </w:tc>
        <w:tc>
          <w:tcPr>
            <w:tcW w:w="6179" w:type="dxa"/>
            <w:tcBorders>
              <w:tl2br w:val="nil"/>
              <w:tr2bl w:val="nil"/>
            </w:tcBorders>
            <w:vAlign w:val="center"/>
          </w:tcPr>
          <w:p>
            <w:pPr>
              <w:pStyle w:val="22"/>
              <w:bidi w:val="0"/>
              <w:jc w:val="both"/>
              <w:rPr>
                <w:color w:val="0000FF"/>
              </w:rPr>
            </w:pPr>
            <w:r>
              <w:rPr>
                <w:color w:val="0000FF"/>
              </w:rPr>
              <w:t>3、废弃的汞血压计、汞温度计。</w:t>
            </w:r>
          </w:p>
        </w:tc>
      </w:tr>
    </w:tbl>
    <w:p>
      <w:pPr>
        <w:bidi w:val="0"/>
        <w:rPr>
          <w:color w:val="0000FF"/>
        </w:rPr>
      </w:pPr>
      <w:r>
        <w:rPr>
          <w:color w:val="0000FF"/>
        </w:rPr>
        <w:t>项目实验室及门诊接种、体检产生的感染性废物</w:t>
      </w:r>
      <w:r>
        <w:rPr>
          <w:rFonts w:hint="eastAsia"/>
          <w:color w:val="0000FF"/>
          <w:lang w:eastAsia="zh-CN"/>
        </w:rPr>
        <w:t>、</w:t>
      </w:r>
      <w:r>
        <w:rPr>
          <w:color w:val="0000FF"/>
        </w:rPr>
        <w:t>损伤性废物、药物性废物和化学性废物，主要来自于实验过程中的生物培养残余物、废液、废检验样品、化验检查残余物、废一次性医疗用品和生物安全柜自带的高效过滤器的废滤芯。</w:t>
      </w:r>
    </w:p>
    <w:p>
      <w:pPr>
        <w:bidi w:val="0"/>
        <w:rPr>
          <w:color w:val="0000FF"/>
        </w:rPr>
      </w:pPr>
      <w:r>
        <w:rPr>
          <w:color w:val="0000FF"/>
        </w:rPr>
        <w:t>①体检</w:t>
      </w:r>
      <w:r>
        <w:rPr>
          <w:rFonts w:hint="eastAsia"/>
          <w:color w:val="0000FF"/>
          <w:lang w:val="en-US" w:eastAsia="zh-CN"/>
        </w:rPr>
        <w:t>及预防接种</w:t>
      </w:r>
      <w:r>
        <w:rPr>
          <w:color w:val="0000FF"/>
        </w:rPr>
        <w:t>产生的医疗废物</w:t>
      </w:r>
    </w:p>
    <w:p>
      <w:pPr>
        <w:bidi w:val="0"/>
        <w:rPr>
          <w:color w:val="0000FF"/>
        </w:rPr>
      </w:pPr>
      <w:r>
        <w:rPr>
          <w:color w:val="0000FF"/>
        </w:rPr>
        <w:t>根据《第一次全国污染源普查城镇生活源产排污系数手册》，体检废物按0.05kg/人·d次计，项目日接待人次约为</w:t>
      </w:r>
      <w:r>
        <w:rPr>
          <w:rFonts w:hint="eastAsia"/>
          <w:color w:val="0000FF"/>
          <w:lang w:val="en-US" w:eastAsia="zh-CN"/>
        </w:rPr>
        <w:t>50</w:t>
      </w:r>
      <w:r>
        <w:rPr>
          <w:color w:val="0000FF"/>
        </w:rPr>
        <w:t>人/天，项目体检时医疗废物产生量为</w:t>
      </w:r>
      <w:r>
        <w:rPr>
          <w:rFonts w:hint="eastAsia"/>
          <w:color w:val="0000FF"/>
          <w:lang w:val="en-US" w:eastAsia="zh-CN"/>
        </w:rPr>
        <w:t>0.75</w:t>
      </w:r>
      <w:r>
        <w:rPr>
          <w:color w:val="0000FF"/>
        </w:rPr>
        <w:t>t/a。</w:t>
      </w:r>
    </w:p>
    <w:p>
      <w:pPr>
        <w:bidi w:val="0"/>
        <w:rPr>
          <w:rFonts w:hint="default" w:eastAsia="宋体"/>
          <w:color w:val="0000FF"/>
          <w:lang w:val="en-US" w:eastAsia="zh-CN"/>
        </w:rPr>
      </w:pPr>
      <w:r>
        <w:rPr>
          <w:color w:val="0000FF"/>
        </w:rPr>
        <w:t>其中，废棉签及其他各种敷料、废一次性用品、废血液、废血清等属于</w:t>
      </w:r>
      <w:r>
        <w:rPr>
          <w:rFonts w:hint="eastAsia"/>
          <w:color w:val="0000FF"/>
          <w:lang w:eastAsia="zh-CN"/>
        </w:rPr>
        <w:t>“</w:t>
      </w:r>
      <w:r>
        <w:rPr>
          <w:color w:val="0000FF"/>
        </w:rPr>
        <w:t>感染性废物（废物代码：831-001-01）</w:t>
      </w:r>
      <w:r>
        <w:rPr>
          <w:rFonts w:hint="eastAsia"/>
          <w:color w:val="0000FF"/>
          <w:lang w:eastAsia="zh-CN"/>
        </w:rPr>
        <w:t>”</w:t>
      </w:r>
      <w:r>
        <w:rPr>
          <w:color w:val="0000FF"/>
        </w:rPr>
        <w:t>；废针头、废针具等属于</w:t>
      </w:r>
      <w:r>
        <w:rPr>
          <w:rFonts w:hint="eastAsia"/>
          <w:color w:val="0000FF"/>
          <w:lang w:eastAsia="zh-CN"/>
        </w:rPr>
        <w:t>“</w:t>
      </w:r>
      <w:r>
        <w:rPr>
          <w:color w:val="0000FF"/>
        </w:rPr>
        <w:t>损伤性废物（废物代码：831-002-01）</w:t>
      </w:r>
      <w:r>
        <w:rPr>
          <w:rFonts w:hint="eastAsia"/>
          <w:color w:val="0000FF"/>
          <w:lang w:eastAsia="zh-CN"/>
        </w:rPr>
        <w:t>”</w:t>
      </w:r>
      <w:r>
        <w:rPr>
          <w:color w:val="0000FF"/>
        </w:rPr>
        <w:t>。</w:t>
      </w:r>
      <w:r>
        <w:rPr>
          <w:rFonts w:hint="eastAsia"/>
          <w:color w:val="0000FF"/>
          <w:lang w:val="en-US" w:eastAsia="zh-CN"/>
        </w:rPr>
        <w:t>废弃的疫苗属于“药物性废物</w:t>
      </w:r>
      <w:r>
        <w:rPr>
          <w:color w:val="0000FF"/>
        </w:rPr>
        <w:t>（废物代码：831-005-01）</w:t>
      </w:r>
      <w:r>
        <w:rPr>
          <w:rFonts w:hint="eastAsia"/>
          <w:color w:val="0000FF"/>
          <w:lang w:val="en-US" w:eastAsia="zh-CN"/>
        </w:rPr>
        <w:t>”</w:t>
      </w:r>
    </w:p>
    <w:p>
      <w:pPr>
        <w:pStyle w:val="22"/>
        <w:bidi w:val="0"/>
        <w:rPr>
          <w:b/>
          <w:bCs/>
          <w:color w:val="0000FF"/>
        </w:rPr>
      </w:pPr>
      <w:r>
        <w:rPr>
          <w:b/>
          <w:bCs/>
          <w:color w:val="0000FF"/>
        </w:rPr>
        <w:t>表3.4-</w:t>
      </w:r>
      <w:r>
        <w:rPr>
          <w:rFonts w:hint="eastAsia"/>
          <w:b/>
          <w:bCs/>
          <w:color w:val="0000FF"/>
          <w:lang w:val="en-US" w:eastAsia="zh-CN"/>
        </w:rPr>
        <w:t>4</w:t>
      </w:r>
      <w:r>
        <w:rPr>
          <w:b/>
          <w:bCs/>
          <w:color w:val="0000FF"/>
        </w:rPr>
        <w:t>体检医疗固废产生量</w:t>
      </w:r>
    </w:p>
    <w:tbl>
      <w:tblPr>
        <w:tblStyle w:val="23"/>
        <w:tblW w:w="85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1"/>
        <w:gridCol w:w="3045"/>
        <w:gridCol w:w="820"/>
        <w:gridCol w:w="2443"/>
        <w:gridCol w:w="13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 w:hRule="atLeast"/>
          <w:jc w:val="center"/>
        </w:trPr>
        <w:tc>
          <w:tcPr>
            <w:tcW w:w="881" w:type="dxa"/>
            <w:tcBorders>
              <w:tl2br w:val="nil"/>
              <w:tr2bl w:val="nil"/>
            </w:tcBorders>
            <w:vAlign w:val="center"/>
          </w:tcPr>
          <w:p>
            <w:pPr>
              <w:pStyle w:val="22"/>
              <w:bidi w:val="0"/>
              <w:jc w:val="center"/>
              <w:rPr>
                <w:color w:val="0000FF"/>
              </w:rPr>
            </w:pPr>
            <w:r>
              <w:rPr>
                <w:color w:val="0000FF"/>
              </w:rPr>
              <w:t>污染源</w:t>
            </w:r>
          </w:p>
        </w:tc>
        <w:tc>
          <w:tcPr>
            <w:tcW w:w="3045" w:type="dxa"/>
            <w:tcBorders>
              <w:tl2br w:val="nil"/>
              <w:tr2bl w:val="nil"/>
            </w:tcBorders>
            <w:vAlign w:val="center"/>
          </w:tcPr>
          <w:p>
            <w:pPr>
              <w:pStyle w:val="22"/>
              <w:bidi w:val="0"/>
              <w:jc w:val="center"/>
              <w:rPr>
                <w:color w:val="0000FF"/>
              </w:rPr>
            </w:pPr>
            <w:r>
              <w:rPr>
                <w:color w:val="0000FF"/>
              </w:rPr>
              <w:t>成分</w:t>
            </w:r>
          </w:p>
        </w:tc>
        <w:tc>
          <w:tcPr>
            <w:tcW w:w="3263" w:type="dxa"/>
            <w:gridSpan w:val="2"/>
            <w:tcBorders>
              <w:tl2br w:val="nil"/>
              <w:tr2bl w:val="nil"/>
            </w:tcBorders>
            <w:vAlign w:val="center"/>
          </w:tcPr>
          <w:p>
            <w:pPr>
              <w:pStyle w:val="22"/>
              <w:bidi w:val="0"/>
              <w:jc w:val="center"/>
              <w:rPr>
                <w:color w:val="0000FF"/>
              </w:rPr>
            </w:pPr>
            <w:r>
              <w:rPr>
                <w:color w:val="0000FF"/>
              </w:rPr>
              <w:t>类别</w:t>
            </w:r>
          </w:p>
        </w:tc>
        <w:tc>
          <w:tcPr>
            <w:tcW w:w="1327" w:type="dxa"/>
            <w:tcBorders>
              <w:tl2br w:val="nil"/>
              <w:tr2bl w:val="nil"/>
            </w:tcBorders>
            <w:vAlign w:val="center"/>
          </w:tcPr>
          <w:p>
            <w:pPr>
              <w:pStyle w:val="22"/>
              <w:bidi w:val="0"/>
              <w:jc w:val="center"/>
              <w:rPr>
                <w:color w:val="0000FF"/>
              </w:rPr>
            </w:pPr>
            <w:r>
              <w:rPr>
                <w:color w:val="0000FF"/>
              </w:rPr>
              <w:t>产生量t/a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881" w:type="dxa"/>
            <w:vMerge w:val="restart"/>
            <w:tcBorders>
              <w:tl2br w:val="nil"/>
              <w:tr2bl w:val="nil"/>
            </w:tcBorders>
            <w:vAlign w:val="center"/>
          </w:tcPr>
          <w:p>
            <w:pPr>
              <w:pStyle w:val="22"/>
              <w:bidi w:val="0"/>
              <w:jc w:val="center"/>
              <w:rPr>
                <w:color w:val="0000FF"/>
              </w:rPr>
            </w:pPr>
            <w:r>
              <w:rPr>
                <w:rFonts w:hint="eastAsia"/>
                <w:color w:val="0000FF"/>
                <w:lang w:val="en-US" w:eastAsia="zh-CN"/>
              </w:rPr>
              <w:t>儿童预防接种及</w:t>
            </w:r>
            <w:r>
              <w:rPr>
                <w:color w:val="0000FF"/>
              </w:rPr>
              <w:t>体检</w:t>
            </w:r>
          </w:p>
        </w:tc>
        <w:tc>
          <w:tcPr>
            <w:tcW w:w="3045" w:type="dxa"/>
            <w:tcBorders>
              <w:tl2br w:val="nil"/>
              <w:tr2bl w:val="nil"/>
            </w:tcBorders>
            <w:vAlign w:val="center"/>
          </w:tcPr>
          <w:p>
            <w:pPr>
              <w:pStyle w:val="22"/>
              <w:bidi w:val="0"/>
              <w:jc w:val="center"/>
              <w:rPr>
                <w:color w:val="0000FF"/>
              </w:rPr>
            </w:pPr>
            <w:r>
              <w:rPr>
                <w:color w:val="0000FF"/>
              </w:rPr>
              <w:t>废棉签及其他各种敷料、废一次性用品、废血液、废血清</w:t>
            </w:r>
          </w:p>
        </w:tc>
        <w:tc>
          <w:tcPr>
            <w:tcW w:w="820" w:type="dxa"/>
            <w:vMerge w:val="restart"/>
            <w:tcBorders>
              <w:tl2br w:val="nil"/>
              <w:tr2bl w:val="nil"/>
            </w:tcBorders>
            <w:vAlign w:val="center"/>
          </w:tcPr>
          <w:p>
            <w:pPr>
              <w:pStyle w:val="22"/>
              <w:bidi w:val="0"/>
              <w:jc w:val="center"/>
              <w:rPr>
                <w:color w:val="0000FF"/>
              </w:rPr>
            </w:pPr>
            <w:r>
              <w:rPr>
                <w:color w:val="0000FF"/>
              </w:rPr>
              <w:t>医疗</w:t>
            </w:r>
          </w:p>
          <w:p>
            <w:pPr>
              <w:pStyle w:val="22"/>
              <w:bidi w:val="0"/>
              <w:jc w:val="center"/>
              <w:rPr>
                <w:color w:val="0000FF"/>
              </w:rPr>
            </w:pPr>
            <w:r>
              <w:rPr>
                <w:color w:val="0000FF"/>
              </w:rPr>
              <w:t>废物</w:t>
            </w:r>
          </w:p>
        </w:tc>
        <w:tc>
          <w:tcPr>
            <w:tcW w:w="2443" w:type="dxa"/>
            <w:tcBorders>
              <w:tl2br w:val="nil"/>
              <w:tr2bl w:val="nil"/>
            </w:tcBorders>
            <w:vAlign w:val="center"/>
          </w:tcPr>
          <w:p>
            <w:pPr>
              <w:pStyle w:val="22"/>
              <w:bidi w:val="0"/>
              <w:jc w:val="center"/>
              <w:rPr>
                <w:color w:val="0000FF"/>
              </w:rPr>
            </w:pPr>
            <w:r>
              <w:rPr>
                <w:color w:val="0000FF"/>
              </w:rPr>
              <w:t>感染性废物（废物代码：</w:t>
            </w:r>
          </w:p>
          <w:p>
            <w:pPr>
              <w:pStyle w:val="22"/>
              <w:bidi w:val="0"/>
              <w:jc w:val="center"/>
              <w:rPr>
                <w:color w:val="0000FF"/>
              </w:rPr>
            </w:pPr>
            <w:r>
              <w:rPr>
                <w:color w:val="0000FF"/>
              </w:rPr>
              <w:t>831-001-01）</w:t>
            </w:r>
          </w:p>
        </w:tc>
        <w:tc>
          <w:tcPr>
            <w:tcW w:w="1327"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0.739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881" w:type="dxa"/>
            <w:vMerge w:val="continue"/>
            <w:tcBorders>
              <w:tl2br w:val="nil"/>
              <w:tr2bl w:val="nil"/>
            </w:tcBorders>
            <w:vAlign w:val="center"/>
          </w:tcPr>
          <w:p>
            <w:pPr>
              <w:pStyle w:val="22"/>
              <w:bidi w:val="0"/>
              <w:jc w:val="center"/>
              <w:rPr>
                <w:color w:val="0000FF"/>
              </w:rPr>
            </w:pPr>
          </w:p>
        </w:tc>
        <w:tc>
          <w:tcPr>
            <w:tcW w:w="3045" w:type="dxa"/>
            <w:tcBorders>
              <w:tl2br w:val="nil"/>
              <w:tr2bl w:val="nil"/>
            </w:tcBorders>
            <w:vAlign w:val="center"/>
          </w:tcPr>
          <w:p>
            <w:pPr>
              <w:pStyle w:val="22"/>
              <w:bidi w:val="0"/>
              <w:jc w:val="center"/>
              <w:rPr>
                <w:color w:val="0000FF"/>
              </w:rPr>
            </w:pPr>
            <w:r>
              <w:rPr>
                <w:color w:val="0000FF"/>
              </w:rPr>
              <w:t>废针头、废针具</w:t>
            </w:r>
          </w:p>
        </w:tc>
        <w:tc>
          <w:tcPr>
            <w:tcW w:w="820" w:type="dxa"/>
            <w:vMerge w:val="continue"/>
            <w:tcBorders>
              <w:tl2br w:val="nil"/>
              <w:tr2bl w:val="nil"/>
            </w:tcBorders>
            <w:vAlign w:val="center"/>
          </w:tcPr>
          <w:p>
            <w:pPr>
              <w:pStyle w:val="22"/>
              <w:bidi w:val="0"/>
              <w:jc w:val="center"/>
              <w:rPr>
                <w:color w:val="0000FF"/>
              </w:rPr>
            </w:pPr>
          </w:p>
        </w:tc>
        <w:tc>
          <w:tcPr>
            <w:tcW w:w="2443" w:type="dxa"/>
            <w:tcBorders>
              <w:tl2br w:val="nil"/>
              <w:tr2bl w:val="nil"/>
            </w:tcBorders>
            <w:vAlign w:val="center"/>
          </w:tcPr>
          <w:p>
            <w:pPr>
              <w:pStyle w:val="22"/>
              <w:bidi w:val="0"/>
              <w:jc w:val="center"/>
              <w:rPr>
                <w:color w:val="0000FF"/>
              </w:rPr>
            </w:pPr>
            <w:r>
              <w:rPr>
                <w:color w:val="0000FF"/>
              </w:rPr>
              <w:t>损伤性废物（废物代码：</w:t>
            </w:r>
          </w:p>
          <w:p>
            <w:pPr>
              <w:pStyle w:val="22"/>
              <w:bidi w:val="0"/>
              <w:jc w:val="center"/>
              <w:rPr>
                <w:color w:val="0000FF"/>
              </w:rPr>
            </w:pPr>
            <w:r>
              <w:rPr>
                <w:color w:val="0000FF"/>
              </w:rPr>
              <w:t>831-002-01）</w:t>
            </w:r>
          </w:p>
        </w:tc>
        <w:tc>
          <w:tcPr>
            <w:tcW w:w="1327"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881" w:type="dxa"/>
            <w:vMerge w:val="continue"/>
            <w:tcBorders>
              <w:tl2br w:val="nil"/>
              <w:tr2bl w:val="nil"/>
            </w:tcBorders>
            <w:vAlign w:val="center"/>
          </w:tcPr>
          <w:p>
            <w:pPr>
              <w:pStyle w:val="22"/>
              <w:bidi w:val="0"/>
              <w:jc w:val="center"/>
              <w:rPr>
                <w:color w:val="0000FF"/>
              </w:rPr>
            </w:pPr>
          </w:p>
        </w:tc>
        <w:tc>
          <w:tcPr>
            <w:tcW w:w="3045" w:type="dxa"/>
            <w:tcBorders>
              <w:tl2br w:val="nil"/>
              <w:tr2bl w:val="nil"/>
            </w:tcBorders>
            <w:vAlign w:val="center"/>
          </w:tcPr>
          <w:p>
            <w:pPr>
              <w:pStyle w:val="22"/>
              <w:bidi w:val="0"/>
              <w:jc w:val="center"/>
              <w:rPr>
                <w:color w:val="0000FF"/>
              </w:rPr>
            </w:pPr>
            <w:r>
              <w:rPr>
                <w:rFonts w:hint="eastAsia"/>
                <w:color w:val="0000FF"/>
                <w:lang w:val="en-US" w:eastAsia="zh-CN"/>
              </w:rPr>
              <w:t>废弃的疫苗</w:t>
            </w:r>
          </w:p>
        </w:tc>
        <w:tc>
          <w:tcPr>
            <w:tcW w:w="820" w:type="dxa"/>
            <w:vMerge w:val="continue"/>
            <w:tcBorders>
              <w:tl2br w:val="nil"/>
              <w:tr2bl w:val="nil"/>
            </w:tcBorders>
            <w:vAlign w:val="center"/>
          </w:tcPr>
          <w:p>
            <w:pPr>
              <w:pStyle w:val="22"/>
              <w:bidi w:val="0"/>
              <w:jc w:val="center"/>
              <w:rPr>
                <w:color w:val="0000FF"/>
              </w:rPr>
            </w:pPr>
          </w:p>
        </w:tc>
        <w:tc>
          <w:tcPr>
            <w:tcW w:w="2443" w:type="dxa"/>
            <w:tcBorders>
              <w:tl2br w:val="nil"/>
              <w:tr2bl w:val="nil"/>
            </w:tcBorders>
            <w:vAlign w:val="center"/>
          </w:tcPr>
          <w:p>
            <w:pPr>
              <w:pStyle w:val="22"/>
              <w:bidi w:val="0"/>
              <w:jc w:val="center"/>
              <w:rPr>
                <w:color w:val="0000FF"/>
              </w:rPr>
            </w:pPr>
            <w:r>
              <w:rPr>
                <w:rFonts w:hint="eastAsia"/>
                <w:color w:val="0000FF"/>
                <w:lang w:val="en-US" w:eastAsia="zh-CN"/>
              </w:rPr>
              <w:t>药物性废物</w:t>
            </w:r>
            <w:r>
              <w:rPr>
                <w:color w:val="0000FF"/>
              </w:rPr>
              <w:t>（废物代码：831-005-01）</w:t>
            </w:r>
          </w:p>
        </w:tc>
        <w:tc>
          <w:tcPr>
            <w:tcW w:w="1327"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0.001</w:t>
            </w:r>
          </w:p>
        </w:tc>
      </w:tr>
    </w:tbl>
    <w:p>
      <w:pPr>
        <w:bidi w:val="0"/>
        <w:rPr>
          <w:color w:val="0000FF"/>
        </w:rPr>
      </w:pPr>
      <w:r>
        <w:rPr>
          <w:color w:val="0000FF"/>
        </w:rPr>
        <w:t>②实验室产生的医疗废物</w:t>
      </w:r>
    </w:p>
    <w:p>
      <w:pPr>
        <w:bidi w:val="0"/>
        <w:rPr>
          <w:color w:val="0000FF"/>
        </w:rPr>
      </w:pPr>
      <w:r>
        <w:rPr>
          <w:rFonts w:hint="eastAsia"/>
          <w:color w:val="0000FF"/>
          <w:lang w:val="en-US" w:eastAsia="zh-CN"/>
        </w:rPr>
        <w:t>1、</w:t>
      </w:r>
      <w:r>
        <w:rPr>
          <w:color w:val="0000FF"/>
        </w:rPr>
        <w:t>微生物实验室废物</w:t>
      </w:r>
    </w:p>
    <w:p>
      <w:pPr>
        <w:bidi w:val="0"/>
        <w:rPr>
          <w:color w:val="0000FF"/>
        </w:rPr>
      </w:pPr>
      <w:r>
        <w:rPr>
          <w:color w:val="0000FF"/>
        </w:rPr>
        <w:t>微生物实验室固废产生的固体废物主要为废培养基、废一次性实验用品、废标本、实验用药等，年产生量为</w:t>
      </w:r>
      <w:r>
        <w:rPr>
          <w:rFonts w:hint="eastAsia"/>
          <w:color w:val="0000FF"/>
          <w:lang w:val="en-US" w:eastAsia="zh-CN"/>
        </w:rPr>
        <w:t>0.1</w:t>
      </w:r>
      <w:r>
        <w:rPr>
          <w:color w:val="0000FF"/>
        </w:rPr>
        <w:t>/a；其中，废培养基、废一次性用品、废标本、废高效过滤器属于</w:t>
      </w:r>
      <w:r>
        <w:rPr>
          <w:rFonts w:hint="eastAsia"/>
          <w:color w:val="0000FF"/>
          <w:lang w:eastAsia="zh-CN"/>
        </w:rPr>
        <w:t>“</w:t>
      </w:r>
      <w:r>
        <w:rPr>
          <w:color w:val="0000FF"/>
        </w:rPr>
        <w:t>感染性废物（废物代码：831-001-01）</w:t>
      </w:r>
      <w:r>
        <w:rPr>
          <w:rFonts w:hint="eastAsia"/>
          <w:color w:val="0000FF"/>
          <w:lang w:eastAsia="zh-CN"/>
        </w:rPr>
        <w:t>”</w:t>
      </w:r>
      <w:r>
        <w:rPr>
          <w:color w:val="0000FF"/>
        </w:rPr>
        <w:t>；废实验用药属于</w:t>
      </w:r>
      <w:r>
        <w:rPr>
          <w:rFonts w:hint="eastAsia"/>
          <w:color w:val="0000FF"/>
          <w:lang w:eastAsia="zh-CN"/>
        </w:rPr>
        <w:t>“</w:t>
      </w:r>
      <w:r>
        <w:rPr>
          <w:color w:val="0000FF"/>
        </w:rPr>
        <w:t>药物性废物（废物代码：831-005-01）</w:t>
      </w:r>
      <w:r>
        <w:rPr>
          <w:rFonts w:hint="eastAsia"/>
          <w:color w:val="0000FF"/>
          <w:lang w:eastAsia="zh-CN"/>
        </w:rPr>
        <w:t>”</w:t>
      </w:r>
      <w:r>
        <w:rPr>
          <w:color w:val="0000FF"/>
        </w:rPr>
        <w:t>。</w:t>
      </w:r>
    </w:p>
    <w:p>
      <w:pPr>
        <w:bidi w:val="0"/>
        <w:rPr>
          <w:color w:val="0000FF"/>
        </w:rPr>
      </w:pPr>
      <w:r>
        <w:rPr>
          <w:color w:val="0000FF"/>
        </w:rPr>
        <w:t>由生产厂家介绍，实验室供需设置该过滤器为</w:t>
      </w:r>
      <w:r>
        <w:rPr>
          <w:rFonts w:hint="eastAsia"/>
          <w:color w:val="0000FF"/>
          <w:lang w:val="en-US" w:eastAsia="zh-CN"/>
        </w:rPr>
        <w:t>10</w:t>
      </w:r>
      <w:r>
        <w:rPr>
          <w:color w:val="0000FF"/>
        </w:rPr>
        <w:t>个（一个重量约为0.1kg），无隔板高效空气过滤器</w:t>
      </w:r>
      <w:r>
        <w:rPr>
          <w:rFonts w:hint="eastAsia"/>
          <w:color w:val="0000FF"/>
          <w:lang w:eastAsia="zh-CN"/>
        </w:rPr>
        <w:t>每半年</w:t>
      </w:r>
      <w:r>
        <w:rPr>
          <w:color w:val="0000FF"/>
        </w:rPr>
        <w:t>更换一次，一年供需更换滤芯为</w:t>
      </w:r>
      <w:r>
        <w:rPr>
          <w:rFonts w:hint="eastAsia"/>
          <w:color w:val="0000FF"/>
          <w:lang w:val="en-US" w:eastAsia="zh-CN"/>
        </w:rPr>
        <w:t>20</w:t>
      </w:r>
      <w:r>
        <w:rPr>
          <w:color w:val="0000FF"/>
        </w:rPr>
        <w:t>个（</w:t>
      </w:r>
      <w:r>
        <w:rPr>
          <w:rFonts w:hint="eastAsia"/>
          <w:color w:val="0000FF"/>
          <w:lang w:val="en-US" w:eastAsia="zh-CN"/>
        </w:rPr>
        <w:t>2</w:t>
      </w:r>
      <w:r>
        <w:rPr>
          <w:color w:val="0000FF"/>
        </w:rPr>
        <w:t>kg）。</w:t>
      </w:r>
    </w:p>
    <w:p>
      <w:pPr>
        <w:bidi w:val="0"/>
        <w:rPr>
          <w:color w:val="0000FF"/>
        </w:rPr>
      </w:pPr>
      <w:r>
        <w:rPr>
          <w:color w:val="0000FF"/>
        </w:rPr>
        <w:t>生物实验室医疗废物分类收集后并经高温灭菌锅消毒后，贮存于专设的医疗废物暂存间。</w:t>
      </w:r>
    </w:p>
    <w:p>
      <w:pPr>
        <w:pStyle w:val="22"/>
        <w:bidi w:val="0"/>
        <w:rPr>
          <w:b/>
          <w:bCs/>
          <w:color w:val="0000FF"/>
        </w:rPr>
      </w:pPr>
      <w:r>
        <w:rPr>
          <w:b/>
          <w:bCs/>
          <w:color w:val="0000FF"/>
        </w:rPr>
        <w:t>表3.4-</w:t>
      </w:r>
      <w:r>
        <w:rPr>
          <w:rFonts w:hint="eastAsia"/>
          <w:b/>
          <w:bCs/>
          <w:color w:val="0000FF"/>
          <w:lang w:val="en-US" w:eastAsia="zh-CN"/>
        </w:rPr>
        <w:t>5</w:t>
      </w:r>
      <w:r>
        <w:rPr>
          <w:b/>
          <w:bCs/>
          <w:color w:val="0000FF"/>
        </w:rPr>
        <w:t>微生物实验室医疗固废产生量情况</w:t>
      </w:r>
    </w:p>
    <w:tbl>
      <w:tblPr>
        <w:tblStyle w:val="23"/>
        <w:tblW w:w="85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4"/>
        <w:gridCol w:w="2568"/>
        <w:gridCol w:w="1028"/>
        <w:gridCol w:w="2440"/>
        <w:gridCol w:w="1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154" w:type="dxa"/>
            <w:tcBorders>
              <w:tl2br w:val="nil"/>
              <w:tr2bl w:val="nil"/>
            </w:tcBorders>
            <w:vAlign w:val="center"/>
          </w:tcPr>
          <w:p>
            <w:pPr>
              <w:pStyle w:val="22"/>
              <w:bidi w:val="0"/>
              <w:jc w:val="center"/>
              <w:rPr>
                <w:color w:val="0000FF"/>
              </w:rPr>
            </w:pPr>
            <w:r>
              <w:rPr>
                <w:color w:val="0000FF"/>
              </w:rPr>
              <w:t>污染源</w:t>
            </w:r>
          </w:p>
        </w:tc>
        <w:tc>
          <w:tcPr>
            <w:tcW w:w="2568" w:type="dxa"/>
            <w:tcBorders>
              <w:tl2br w:val="nil"/>
              <w:tr2bl w:val="nil"/>
            </w:tcBorders>
            <w:vAlign w:val="center"/>
          </w:tcPr>
          <w:p>
            <w:pPr>
              <w:pStyle w:val="22"/>
              <w:bidi w:val="0"/>
              <w:jc w:val="center"/>
              <w:rPr>
                <w:color w:val="0000FF"/>
              </w:rPr>
            </w:pPr>
            <w:r>
              <w:rPr>
                <w:color w:val="0000FF"/>
              </w:rPr>
              <w:t>成分</w:t>
            </w:r>
          </w:p>
        </w:tc>
        <w:tc>
          <w:tcPr>
            <w:tcW w:w="3468" w:type="dxa"/>
            <w:gridSpan w:val="2"/>
            <w:tcBorders>
              <w:tl2br w:val="nil"/>
              <w:tr2bl w:val="nil"/>
            </w:tcBorders>
            <w:vAlign w:val="center"/>
          </w:tcPr>
          <w:p>
            <w:pPr>
              <w:pStyle w:val="22"/>
              <w:bidi w:val="0"/>
              <w:jc w:val="center"/>
              <w:rPr>
                <w:color w:val="0000FF"/>
              </w:rPr>
            </w:pPr>
            <w:r>
              <w:rPr>
                <w:color w:val="0000FF"/>
              </w:rPr>
              <w:t>类别</w:t>
            </w:r>
          </w:p>
        </w:tc>
        <w:tc>
          <w:tcPr>
            <w:tcW w:w="1326" w:type="dxa"/>
            <w:tcBorders>
              <w:tl2br w:val="nil"/>
              <w:tr2bl w:val="nil"/>
            </w:tcBorders>
            <w:vAlign w:val="center"/>
          </w:tcPr>
          <w:p>
            <w:pPr>
              <w:pStyle w:val="22"/>
              <w:bidi w:val="0"/>
              <w:jc w:val="center"/>
              <w:rPr>
                <w:color w:val="0000FF"/>
              </w:rPr>
            </w:pPr>
            <w:r>
              <w:rPr>
                <w:color w:val="0000FF"/>
              </w:rPr>
              <w:t>产生量t/a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154" w:type="dxa"/>
            <w:vMerge w:val="restart"/>
            <w:tcBorders>
              <w:tl2br w:val="nil"/>
              <w:tr2bl w:val="nil"/>
            </w:tcBorders>
            <w:vAlign w:val="center"/>
          </w:tcPr>
          <w:p>
            <w:pPr>
              <w:pStyle w:val="22"/>
              <w:bidi w:val="0"/>
              <w:jc w:val="center"/>
              <w:rPr>
                <w:color w:val="0000FF"/>
              </w:rPr>
            </w:pPr>
            <w:r>
              <w:rPr>
                <w:color w:val="0000FF"/>
              </w:rPr>
              <w:t>微生物实验室</w:t>
            </w:r>
          </w:p>
        </w:tc>
        <w:tc>
          <w:tcPr>
            <w:tcW w:w="2568" w:type="dxa"/>
            <w:tcBorders>
              <w:tl2br w:val="nil"/>
              <w:tr2bl w:val="nil"/>
            </w:tcBorders>
            <w:vAlign w:val="center"/>
          </w:tcPr>
          <w:p>
            <w:pPr>
              <w:pStyle w:val="22"/>
              <w:bidi w:val="0"/>
              <w:jc w:val="center"/>
              <w:rPr>
                <w:color w:val="0000FF"/>
              </w:rPr>
            </w:pPr>
            <w:r>
              <w:rPr>
                <w:color w:val="0000FF"/>
              </w:rPr>
              <w:t>废高效过滤器</w:t>
            </w:r>
          </w:p>
        </w:tc>
        <w:tc>
          <w:tcPr>
            <w:tcW w:w="1028" w:type="dxa"/>
            <w:vMerge w:val="restart"/>
            <w:tcBorders>
              <w:tl2br w:val="nil"/>
              <w:tr2bl w:val="nil"/>
            </w:tcBorders>
            <w:vAlign w:val="center"/>
          </w:tcPr>
          <w:p>
            <w:pPr>
              <w:pStyle w:val="22"/>
              <w:bidi w:val="0"/>
              <w:jc w:val="center"/>
              <w:rPr>
                <w:color w:val="0000FF"/>
              </w:rPr>
            </w:pPr>
            <w:r>
              <w:rPr>
                <w:color w:val="0000FF"/>
              </w:rPr>
              <w:t>医疗废物</w:t>
            </w:r>
          </w:p>
        </w:tc>
        <w:tc>
          <w:tcPr>
            <w:tcW w:w="2440" w:type="dxa"/>
            <w:tcBorders>
              <w:tl2br w:val="nil"/>
              <w:tr2bl w:val="nil"/>
            </w:tcBorders>
            <w:vAlign w:val="center"/>
          </w:tcPr>
          <w:p>
            <w:pPr>
              <w:pStyle w:val="22"/>
              <w:bidi w:val="0"/>
              <w:jc w:val="center"/>
              <w:rPr>
                <w:color w:val="0000FF"/>
              </w:rPr>
            </w:pPr>
            <w:r>
              <w:rPr>
                <w:color w:val="0000FF"/>
              </w:rPr>
              <w:t>感染性废物（废物代码：</w:t>
            </w:r>
          </w:p>
          <w:p>
            <w:pPr>
              <w:pStyle w:val="22"/>
              <w:bidi w:val="0"/>
              <w:jc w:val="center"/>
              <w:rPr>
                <w:color w:val="0000FF"/>
              </w:rPr>
            </w:pPr>
            <w:r>
              <w:rPr>
                <w:color w:val="0000FF"/>
              </w:rPr>
              <w:t>831-001-01）</w:t>
            </w:r>
          </w:p>
        </w:tc>
        <w:tc>
          <w:tcPr>
            <w:tcW w:w="1326"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154" w:type="dxa"/>
            <w:vMerge w:val="continue"/>
            <w:tcBorders>
              <w:tl2br w:val="nil"/>
              <w:tr2bl w:val="nil"/>
            </w:tcBorders>
            <w:vAlign w:val="center"/>
          </w:tcPr>
          <w:p>
            <w:pPr>
              <w:pStyle w:val="22"/>
              <w:bidi w:val="0"/>
              <w:jc w:val="center"/>
              <w:rPr>
                <w:color w:val="0000FF"/>
              </w:rPr>
            </w:pPr>
          </w:p>
        </w:tc>
        <w:tc>
          <w:tcPr>
            <w:tcW w:w="2568" w:type="dxa"/>
            <w:tcBorders>
              <w:tl2br w:val="nil"/>
              <w:tr2bl w:val="nil"/>
            </w:tcBorders>
            <w:vAlign w:val="center"/>
          </w:tcPr>
          <w:p>
            <w:pPr>
              <w:pStyle w:val="22"/>
              <w:bidi w:val="0"/>
              <w:jc w:val="center"/>
              <w:rPr>
                <w:color w:val="0000FF"/>
              </w:rPr>
            </w:pPr>
            <w:r>
              <w:rPr>
                <w:color w:val="0000FF"/>
              </w:rPr>
              <w:t>废培养基、废一次性用品、废标本</w:t>
            </w:r>
          </w:p>
        </w:tc>
        <w:tc>
          <w:tcPr>
            <w:tcW w:w="1028" w:type="dxa"/>
            <w:vMerge w:val="continue"/>
            <w:tcBorders>
              <w:tl2br w:val="nil"/>
              <w:tr2bl w:val="nil"/>
            </w:tcBorders>
            <w:vAlign w:val="center"/>
          </w:tcPr>
          <w:p>
            <w:pPr>
              <w:pStyle w:val="22"/>
              <w:bidi w:val="0"/>
              <w:jc w:val="center"/>
              <w:rPr>
                <w:color w:val="0000FF"/>
              </w:rPr>
            </w:pPr>
          </w:p>
        </w:tc>
        <w:tc>
          <w:tcPr>
            <w:tcW w:w="2440" w:type="dxa"/>
            <w:tcBorders>
              <w:tl2br w:val="nil"/>
              <w:tr2bl w:val="nil"/>
            </w:tcBorders>
            <w:vAlign w:val="center"/>
          </w:tcPr>
          <w:p>
            <w:pPr>
              <w:pStyle w:val="22"/>
              <w:bidi w:val="0"/>
              <w:jc w:val="center"/>
              <w:rPr>
                <w:color w:val="0000FF"/>
              </w:rPr>
            </w:pPr>
            <w:r>
              <w:rPr>
                <w:color w:val="0000FF"/>
              </w:rPr>
              <w:t>感染性废物（废物代码：</w:t>
            </w:r>
          </w:p>
          <w:p>
            <w:pPr>
              <w:pStyle w:val="22"/>
              <w:bidi w:val="0"/>
              <w:jc w:val="center"/>
              <w:rPr>
                <w:color w:val="0000FF"/>
              </w:rPr>
            </w:pPr>
            <w:r>
              <w:rPr>
                <w:color w:val="0000FF"/>
              </w:rPr>
              <w:t>831-001-01）</w:t>
            </w:r>
          </w:p>
        </w:tc>
        <w:tc>
          <w:tcPr>
            <w:tcW w:w="1326"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154" w:type="dxa"/>
            <w:vMerge w:val="continue"/>
            <w:tcBorders>
              <w:tl2br w:val="nil"/>
              <w:tr2bl w:val="nil"/>
            </w:tcBorders>
            <w:vAlign w:val="center"/>
          </w:tcPr>
          <w:p>
            <w:pPr>
              <w:pStyle w:val="22"/>
              <w:bidi w:val="0"/>
              <w:jc w:val="center"/>
              <w:rPr>
                <w:color w:val="0000FF"/>
              </w:rPr>
            </w:pPr>
          </w:p>
        </w:tc>
        <w:tc>
          <w:tcPr>
            <w:tcW w:w="2568" w:type="dxa"/>
            <w:tcBorders>
              <w:tl2br w:val="nil"/>
              <w:tr2bl w:val="nil"/>
            </w:tcBorders>
            <w:vAlign w:val="center"/>
          </w:tcPr>
          <w:p>
            <w:pPr>
              <w:pStyle w:val="22"/>
              <w:bidi w:val="0"/>
              <w:jc w:val="center"/>
              <w:rPr>
                <w:color w:val="0000FF"/>
              </w:rPr>
            </w:pPr>
            <w:r>
              <w:rPr>
                <w:color w:val="0000FF"/>
              </w:rPr>
              <w:t>实验用药</w:t>
            </w:r>
          </w:p>
        </w:tc>
        <w:tc>
          <w:tcPr>
            <w:tcW w:w="1028" w:type="dxa"/>
            <w:vMerge w:val="continue"/>
            <w:tcBorders>
              <w:tl2br w:val="nil"/>
              <w:tr2bl w:val="nil"/>
            </w:tcBorders>
            <w:vAlign w:val="center"/>
          </w:tcPr>
          <w:p>
            <w:pPr>
              <w:pStyle w:val="22"/>
              <w:bidi w:val="0"/>
              <w:jc w:val="center"/>
              <w:rPr>
                <w:color w:val="0000FF"/>
              </w:rPr>
            </w:pPr>
          </w:p>
        </w:tc>
        <w:tc>
          <w:tcPr>
            <w:tcW w:w="2440" w:type="dxa"/>
            <w:tcBorders>
              <w:tl2br w:val="nil"/>
              <w:tr2bl w:val="nil"/>
            </w:tcBorders>
            <w:vAlign w:val="center"/>
          </w:tcPr>
          <w:p>
            <w:pPr>
              <w:pStyle w:val="22"/>
              <w:bidi w:val="0"/>
              <w:jc w:val="center"/>
              <w:rPr>
                <w:color w:val="0000FF"/>
              </w:rPr>
            </w:pPr>
            <w:r>
              <w:rPr>
                <w:color w:val="0000FF"/>
              </w:rPr>
              <w:t>药物性废物（废物代码：</w:t>
            </w:r>
          </w:p>
          <w:p>
            <w:pPr>
              <w:pStyle w:val="22"/>
              <w:bidi w:val="0"/>
              <w:jc w:val="center"/>
              <w:rPr>
                <w:color w:val="0000FF"/>
              </w:rPr>
            </w:pPr>
            <w:r>
              <w:rPr>
                <w:color w:val="0000FF"/>
              </w:rPr>
              <w:t>831-005-01）</w:t>
            </w:r>
          </w:p>
        </w:tc>
        <w:tc>
          <w:tcPr>
            <w:tcW w:w="1326"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0.008</w:t>
            </w:r>
          </w:p>
        </w:tc>
      </w:tr>
    </w:tbl>
    <w:p>
      <w:pPr>
        <w:bidi w:val="0"/>
        <w:rPr>
          <w:color w:val="0000FF"/>
        </w:rPr>
      </w:pPr>
      <w:r>
        <w:rPr>
          <w:rFonts w:hint="eastAsia"/>
          <w:color w:val="0000FF"/>
          <w:lang w:val="en-US" w:eastAsia="zh-CN"/>
        </w:rPr>
        <w:t>2、</w:t>
      </w:r>
      <w:r>
        <w:rPr>
          <w:color w:val="0000FF"/>
        </w:rPr>
        <w:t>理化实验室废物</w:t>
      </w:r>
    </w:p>
    <w:p>
      <w:pPr>
        <w:bidi w:val="0"/>
        <w:rPr>
          <w:color w:val="0000FF"/>
        </w:rPr>
      </w:pPr>
      <w:r>
        <w:rPr>
          <w:color w:val="0000FF"/>
        </w:rPr>
        <w:t>理化实验室中会产生少量的化学废液，属于《医疗废物分类管理名录》中的</w:t>
      </w:r>
      <w:r>
        <w:rPr>
          <w:rFonts w:hint="eastAsia"/>
          <w:color w:val="0000FF"/>
          <w:lang w:eastAsia="zh-CN"/>
        </w:rPr>
        <w:t>“</w:t>
      </w:r>
      <w:r>
        <w:rPr>
          <w:color w:val="0000FF"/>
        </w:rPr>
        <w:t>化学性废物（废物代码：831-004-01）</w:t>
      </w:r>
      <w:r>
        <w:rPr>
          <w:rFonts w:hint="eastAsia"/>
          <w:color w:val="0000FF"/>
          <w:lang w:eastAsia="zh-CN"/>
        </w:rPr>
        <w:t>”</w:t>
      </w:r>
      <w:r>
        <w:rPr>
          <w:color w:val="0000FF"/>
        </w:rPr>
        <w:t>，主要</w:t>
      </w:r>
      <w:r>
        <w:rPr>
          <w:rFonts w:ascii="宋体" w:hAnsi="宋体" w:eastAsia="宋体" w:cs="宋体"/>
          <w:color w:val="0000FF"/>
          <w:spacing w:val="-5"/>
          <w:sz w:val="24"/>
          <w:szCs w:val="24"/>
        </w:rPr>
        <w:t>有机废液，酸碱废液</w:t>
      </w:r>
      <w:r>
        <w:rPr>
          <w:color w:val="0000FF"/>
        </w:rPr>
        <w:t>等多种化学品污染物等，成份复杂，属于医疗废物，年产生量为</w:t>
      </w:r>
      <w:r>
        <w:rPr>
          <w:rFonts w:ascii="Times New Roman" w:hAnsi="Times New Roman" w:eastAsia="Times New Roman" w:cs="Times New Roman"/>
          <w:color w:val="0000FF"/>
          <w:spacing w:val="-2"/>
          <w:sz w:val="24"/>
          <w:szCs w:val="24"/>
        </w:rPr>
        <w:t>0.01t/a</w:t>
      </w:r>
      <w:r>
        <w:rPr>
          <w:color w:val="0000FF"/>
        </w:rPr>
        <w:t>t，须采取</w:t>
      </w:r>
      <w:r>
        <w:rPr>
          <w:rFonts w:hint="eastAsia"/>
          <w:color w:val="0000FF"/>
          <w:lang w:eastAsia="zh-CN"/>
        </w:rPr>
        <w:t>“</w:t>
      </w:r>
      <w:r>
        <w:rPr>
          <w:color w:val="0000FF"/>
        </w:rPr>
        <w:t>单独收集+灭菌锅消毒+密封+暂存于危废间</w:t>
      </w:r>
      <w:r>
        <w:rPr>
          <w:rFonts w:hint="eastAsia"/>
          <w:color w:val="0000FF"/>
          <w:lang w:eastAsia="zh-CN"/>
        </w:rPr>
        <w:t>”</w:t>
      </w:r>
      <w:r>
        <w:rPr>
          <w:color w:val="0000FF"/>
        </w:rPr>
        <w:t>，定期送</w:t>
      </w:r>
      <w:r>
        <w:rPr>
          <w:rFonts w:hint="eastAsia"/>
          <w:color w:val="0000FF"/>
          <w:lang w:eastAsia="zh-CN"/>
        </w:rPr>
        <w:t>由</w:t>
      </w:r>
      <w:r>
        <w:rPr>
          <w:color w:val="0000FF"/>
        </w:rPr>
        <w:t>危废处理资质单位处置。</w:t>
      </w:r>
    </w:p>
    <w:p>
      <w:pPr>
        <w:bidi w:val="0"/>
        <w:rPr>
          <w:color w:val="0000FF"/>
        </w:rPr>
      </w:pPr>
      <w:r>
        <w:rPr>
          <w:color w:val="0000FF"/>
        </w:rPr>
        <w:t>综上，本项目产生的医疗废物约</w:t>
      </w:r>
      <w:r>
        <w:rPr>
          <w:rFonts w:hint="eastAsia"/>
          <w:color w:val="0000FF"/>
          <w:lang w:val="en-US" w:eastAsia="zh-CN"/>
        </w:rPr>
        <w:t>0.85</w:t>
      </w:r>
      <w:r>
        <w:rPr>
          <w:color w:val="0000FF"/>
        </w:rPr>
        <w:t>t/a，各项医疗废物分类灭活后，使用不同容器收集，并贴上相应标签，暂存于疾控中心专门设置的危险废物暂存间内，委托有危废资质单位处理。</w:t>
      </w:r>
    </w:p>
    <w:p>
      <w:pPr>
        <w:pStyle w:val="22"/>
        <w:bidi w:val="0"/>
        <w:rPr>
          <w:b/>
          <w:bCs/>
          <w:color w:val="0000FF"/>
        </w:rPr>
      </w:pPr>
      <w:r>
        <w:rPr>
          <w:b/>
          <w:bCs/>
          <w:color w:val="0000FF"/>
        </w:rPr>
        <w:t>表3.4-</w:t>
      </w:r>
      <w:r>
        <w:rPr>
          <w:rFonts w:hint="eastAsia"/>
          <w:b/>
          <w:bCs/>
          <w:color w:val="0000FF"/>
          <w:lang w:val="en-US" w:eastAsia="zh-CN"/>
        </w:rPr>
        <w:t>6</w:t>
      </w:r>
      <w:r>
        <w:rPr>
          <w:b/>
          <w:bCs/>
          <w:color w:val="0000FF"/>
        </w:rPr>
        <w:t>项目营运期医疗废物产生量情况</w:t>
      </w:r>
    </w:p>
    <w:tbl>
      <w:tblPr>
        <w:tblStyle w:val="23"/>
        <w:tblW w:w="85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728"/>
        <w:gridCol w:w="1605"/>
        <w:gridCol w:w="1328"/>
        <w:gridCol w:w="2316"/>
        <w:gridCol w:w="874"/>
        <w:gridCol w:w="1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tcBorders>
              <w:tl2br w:val="nil"/>
              <w:tr2bl w:val="nil"/>
            </w:tcBorders>
            <w:textDirection w:val="tbRlV"/>
            <w:vAlign w:val="center"/>
          </w:tcPr>
          <w:p>
            <w:pPr>
              <w:pStyle w:val="22"/>
              <w:bidi w:val="0"/>
              <w:rPr>
                <w:color w:val="0000FF"/>
              </w:rPr>
            </w:pPr>
            <w:r>
              <w:rPr>
                <w:color w:val="0000FF"/>
              </w:rPr>
              <w:t>类别</w:t>
            </w:r>
          </w:p>
        </w:tc>
        <w:tc>
          <w:tcPr>
            <w:tcW w:w="728" w:type="dxa"/>
            <w:tcBorders>
              <w:tl2br w:val="nil"/>
              <w:tr2bl w:val="nil"/>
            </w:tcBorders>
            <w:vAlign w:val="center"/>
          </w:tcPr>
          <w:p>
            <w:pPr>
              <w:pStyle w:val="22"/>
              <w:bidi w:val="0"/>
              <w:rPr>
                <w:color w:val="0000FF"/>
              </w:rPr>
            </w:pPr>
            <w:r>
              <w:rPr>
                <w:color w:val="0000FF"/>
              </w:rPr>
              <w:t>污染</w:t>
            </w:r>
          </w:p>
          <w:p>
            <w:pPr>
              <w:pStyle w:val="22"/>
              <w:bidi w:val="0"/>
              <w:rPr>
                <w:color w:val="0000FF"/>
              </w:rPr>
            </w:pPr>
            <w:r>
              <w:rPr>
                <w:color w:val="0000FF"/>
              </w:rPr>
              <w:t>源</w:t>
            </w:r>
          </w:p>
        </w:tc>
        <w:tc>
          <w:tcPr>
            <w:tcW w:w="1605" w:type="dxa"/>
            <w:tcBorders>
              <w:tl2br w:val="nil"/>
              <w:tr2bl w:val="nil"/>
            </w:tcBorders>
            <w:vAlign w:val="center"/>
          </w:tcPr>
          <w:p>
            <w:pPr>
              <w:pStyle w:val="22"/>
              <w:bidi w:val="0"/>
              <w:rPr>
                <w:color w:val="0000FF"/>
              </w:rPr>
            </w:pPr>
            <w:r>
              <w:rPr>
                <w:color w:val="0000FF"/>
              </w:rPr>
              <w:t>成分</w:t>
            </w:r>
          </w:p>
        </w:tc>
        <w:tc>
          <w:tcPr>
            <w:tcW w:w="1328" w:type="dxa"/>
            <w:tcBorders>
              <w:tl2br w:val="nil"/>
              <w:tr2bl w:val="nil"/>
            </w:tcBorders>
            <w:vAlign w:val="center"/>
          </w:tcPr>
          <w:p>
            <w:pPr>
              <w:pStyle w:val="22"/>
              <w:bidi w:val="0"/>
              <w:rPr>
                <w:color w:val="0000FF"/>
              </w:rPr>
            </w:pPr>
            <w:r>
              <w:rPr>
                <w:color w:val="0000FF"/>
              </w:rPr>
              <w:t>危险特性</w:t>
            </w:r>
          </w:p>
        </w:tc>
        <w:tc>
          <w:tcPr>
            <w:tcW w:w="2316" w:type="dxa"/>
            <w:tcBorders>
              <w:tl2br w:val="nil"/>
              <w:tr2bl w:val="nil"/>
            </w:tcBorders>
            <w:vAlign w:val="center"/>
          </w:tcPr>
          <w:p>
            <w:pPr>
              <w:pStyle w:val="22"/>
              <w:bidi w:val="0"/>
              <w:rPr>
                <w:color w:val="0000FF"/>
              </w:rPr>
            </w:pPr>
            <w:r>
              <w:rPr>
                <w:color w:val="0000FF"/>
              </w:rPr>
              <w:t>危废代码</w:t>
            </w:r>
          </w:p>
        </w:tc>
        <w:tc>
          <w:tcPr>
            <w:tcW w:w="874" w:type="dxa"/>
            <w:tcBorders>
              <w:tl2br w:val="nil"/>
              <w:tr2bl w:val="nil"/>
            </w:tcBorders>
            <w:vAlign w:val="center"/>
          </w:tcPr>
          <w:p>
            <w:pPr>
              <w:pStyle w:val="22"/>
              <w:bidi w:val="0"/>
              <w:rPr>
                <w:color w:val="0000FF"/>
              </w:rPr>
            </w:pPr>
            <w:r>
              <w:rPr>
                <w:color w:val="0000FF"/>
              </w:rPr>
              <w:t>预计产生量t/a</w:t>
            </w:r>
          </w:p>
        </w:tc>
        <w:tc>
          <w:tcPr>
            <w:tcW w:w="1247" w:type="dxa"/>
            <w:tcBorders>
              <w:tl2br w:val="nil"/>
              <w:tr2bl w:val="nil"/>
            </w:tcBorders>
            <w:vAlign w:val="center"/>
          </w:tcPr>
          <w:p>
            <w:pPr>
              <w:pStyle w:val="22"/>
              <w:bidi w:val="0"/>
              <w:rPr>
                <w:color w:val="0000FF"/>
              </w:rPr>
            </w:pPr>
            <w:r>
              <w:rPr>
                <w:color w:val="0000FF"/>
              </w:rPr>
              <w:t>处置方法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jc w:val="center"/>
        </w:trPr>
        <w:tc>
          <w:tcPr>
            <w:tcW w:w="439" w:type="dxa"/>
            <w:vMerge w:val="restart"/>
            <w:tcBorders>
              <w:tl2br w:val="nil"/>
              <w:tr2bl w:val="nil"/>
            </w:tcBorders>
            <w:textDirection w:val="tbRlV"/>
            <w:vAlign w:val="center"/>
          </w:tcPr>
          <w:p>
            <w:pPr>
              <w:pStyle w:val="22"/>
              <w:bidi w:val="0"/>
              <w:rPr>
                <w:color w:val="0000FF"/>
              </w:rPr>
            </w:pPr>
            <w:r>
              <w:rPr>
                <w:color w:val="0000FF"/>
              </w:rPr>
              <w:t>医疗废物</w:t>
            </w:r>
          </w:p>
        </w:tc>
        <w:tc>
          <w:tcPr>
            <w:tcW w:w="728" w:type="dxa"/>
            <w:vMerge w:val="restart"/>
            <w:tcBorders>
              <w:tl2br w:val="nil"/>
              <w:tr2bl w:val="nil"/>
            </w:tcBorders>
            <w:vAlign w:val="center"/>
          </w:tcPr>
          <w:p>
            <w:pPr>
              <w:pStyle w:val="22"/>
              <w:bidi w:val="0"/>
              <w:rPr>
                <w:color w:val="0000FF"/>
              </w:rPr>
            </w:pPr>
            <w:r>
              <w:rPr>
                <w:rFonts w:hint="eastAsia"/>
                <w:color w:val="0000FF"/>
                <w:lang w:val="en-US" w:eastAsia="zh-CN"/>
              </w:rPr>
              <w:t>儿童预防接种及</w:t>
            </w:r>
            <w:r>
              <w:rPr>
                <w:color w:val="0000FF"/>
              </w:rPr>
              <w:t>体检</w:t>
            </w:r>
          </w:p>
        </w:tc>
        <w:tc>
          <w:tcPr>
            <w:tcW w:w="1605" w:type="dxa"/>
            <w:tcBorders>
              <w:tl2br w:val="nil"/>
              <w:tr2bl w:val="nil"/>
            </w:tcBorders>
            <w:vAlign w:val="center"/>
          </w:tcPr>
          <w:p>
            <w:pPr>
              <w:pStyle w:val="22"/>
              <w:bidi w:val="0"/>
              <w:rPr>
                <w:color w:val="0000FF"/>
              </w:rPr>
            </w:pPr>
            <w:r>
              <w:rPr>
                <w:color w:val="0000FF"/>
              </w:rPr>
              <w:t>废棉签及其他</w:t>
            </w:r>
          </w:p>
          <w:p>
            <w:pPr>
              <w:pStyle w:val="22"/>
              <w:bidi w:val="0"/>
              <w:rPr>
                <w:color w:val="0000FF"/>
              </w:rPr>
            </w:pPr>
            <w:r>
              <w:rPr>
                <w:color w:val="0000FF"/>
              </w:rPr>
              <w:t>各种敷料、废一</w:t>
            </w:r>
          </w:p>
          <w:p>
            <w:pPr>
              <w:pStyle w:val="22"/>
              <w:bidi w:val="0"/>
              <w:rPr>
                <w:color w:val="0000FF"/>
              </w:rPr>
            </w:pPr>
            <w:r>
              <w:rPr>
                <w:color w:val="0000FF"/>
              </w:rPr>
              <w:t>次性用品、废血</w:t>
            </w:r>
          </w:p>
          <w:p>
            <w:pPr>
              <w:pStyle w:val="22"/>
              <w:bidi w:val="0"/>
              <w:rPr>
                <w:color w:val="0000FF"/>
              </w:rPr>
            </w:pPr>
            <w:r>
              <w:rPr>
                <w:color w:val="0000FF"/>
              </w:rPr>
              <w:t>液、废血清</w:t>
            </w:r>
          </w:p>
        </w:tc>
        <w:tc>
          <w:tcPr>
            <w:tcW w:w="1328" w:type="dxa"/>
            <w:tcBorders>
              <w:tl2br w:val="nil"/>
              <w:tr2bl w:val="nil"/>
            </w:tcBorders>
            <w:vAlign w:val="center"/>
          </w:tcPr>
          <w:p>
            <w:pPr>
              <w:pStyle w:val="22"/>
              <w:bidi w:val="0"/>
              <w:rPr>
                <w:color w:val="0000FF"/>
              </w:rPr>
            </w:pPr>
            <w:r>
              <w:rPr>
                <w:color w:val="0000FF"/>
              </w:rPr>
              <w:t>感染性废物</w:t>
            </w:r>
          </w:p>
        </w:tc>
        <w:tc>
          <w:tcPr>
            <w:tcW w:w="2316" w:type="dxa"/>
            <w:tcBorders>
              <w:tl2br w:val="nil"/>
              <w:tr2bl w:val="nil"/>
            </w:tcBorders>
            <w:vAlign w:val="center"/>
          </w:tcPr>
          <w:p>
            <w:pPr>
              <w:pStyle w:val="22"/>
              <w:bidi w:val="0"/>
              <w:rPr>
                <w:color w:val="0000FF"/>
              </w:rPr>
            </w:pPr>
            <w:r>
              <w:rPr>
                <w:color w:val="0000FF"/>
              </w:rPr>
              <w:t>HW01医疗废物（废物代码：831-001-01、</w:t>
            </w:r>
          </w:p>
        </w:tc>
        <w:tc>
          <w:tcPr>
            <w:tcW w:w="874" w:type="dxa"/>
            <w:tcBorders>
              <w:tl2br w:val="nil"/>
              <w:tr2bl w:val="nil"/>
            </w:tcBorders>
            <w:vAlign w:val="center"/>
          </w:tcPr>
          <w:p>
            <w:pPr>
              <w:pStyle w:val="22"/>
              <w:bidi w:val="0"/>
              <w:rPr>
                <w:color w:val="0000FF"/>
              </w:rPr>
            </w:pPr>
            <w:r>
              <w:rPr>
                <w:rFonts w:hint="eastAsia"/>
                <w:color w:val="0000FF"/>
                <w:lang w:val="en-US" w:eastAsia="zh-CN"/>
              </w:rPr>
              <w:t>0.739</w:t>
            </w:r>
          </w:p>
        </w:tc>
        <w:tc>
          <w:tcPr>
            <w:tcW w:w="1247" w:type="dxa"/>
            <w:vMerge w:val="restart"/>
            <w:tcBorders>
              <w:tl2br w:val="nil"/>
              <w:tr2bl w:val="nil"/>
            </w:tcBorders>
            <w:vAlign w:val="center"/>
          </w:tcPr>
          <w:p>
            <w:pPr>
              <w:pStyle w:val="22"/>
              <w:bidi w:val="0"/>
              <w:rPr>
                <w:color w:val="0000FF"/>
              </w:rPr>
            </w:pPr>
            <w:r>
              <w:rPr>
                <w:color w:val="0000FF"/>
              </w:rPr>
              <w:t>设专用垃圾桶分类收集，感染性废物经高温灭菌</w:t>
            </w:r>
          </w:p>
          <w:p>
            <w:pPr>
              <w:pStyle w:val="22"/>
              <w:bidi w:val="0"/>
              <w:rPr>
                <w:color w:val="0000FF"/>
              </w:rPr>
            </w:pPr>
            <w:r>
              <w:rPr>
                <w:color w:val="0000FF"/>
              </w:rPr>
              <w:t>锅消毒后，贮存于专设的医疗废物暂存间，定期交由有资质单位处理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vMerge w:val="continue"/>
            <w:tcBorders>
              <w:tl2br w:val="nil"/>
              <w:tr2bl w:val="nil"/>
            </w:tcBorders>
            <w:textDirection w:val="tbRlV"/>
            <w:vAlign w:val="center"/>
          </w:tcPr>
          <w:p>
            <w:pPr>
              <w:pStyle w:val="22"/>
              <w:bidi w:val="0"/>
              <w:rPr>
                <w:color w:val="0000FF"/>
              </w:rPr>
            </w:pPr>
          </w:p>
        </w:tc>
        <w:tc>
          <w:tcPr>
            <w:tcW w:w="728" w:type="dxa"/>
            <w:vMerge w:val="continue"/>
            <w:tcBorders>
              <w:tl2br w:val="nil"/>
              <w:tr2bl w:val="nil"/>
            </w:tcBorders>
            <w:vAlign w:val="center"/>
          </w:tcPr>
          <w:p>
            <w:pPr>
              <w:pStyle w:val="22"/>
              <w:bidi w:val="0"/>
              <w:rPr>
                <w:color w:val="0000FF"/>
              </w:rPr>
            </w:pPr>
          </w:p>
        </w:tc>
        <w:tc>
          <w:tcPr>
            <w:tcW w:w="1605" w:type="dxa"/>
            <w:tcBorders>
              <w:tl2br w:val="nil"/>
              <w:tr2bl w:val="nil"/>
            </w:tcBorders>
            <w:vAlign w:val="center"/>
          </w:tcPr>
          <w:p>
            <w:pPr>
              <w:pStyle w:val="22"/>
              <w:bidi w:val="0"/>
              <w:rPr>
                <w:color w:val="0000FF"/>
              </w:rPr>
            </w:pPr>
            <w:r>
              <w:rPr>
                <w:color w:val="0000FF"/>
              </w:rPr>
              <w:t>废针头、废针具</w:t>
            </w:r>
          </w:p>
        </w:tc>
        <w:tc>
          <w:tcPr>
            <w:tcW w:w="1328" w:type="dxa"/>
            <w:tcBorders>
              <w:tl2br w:val="nil"/>
              <w:tr2bl w:val="nil"/>
            </w:tcBorders>
            <w:vAlign w:val="center"/>
          </w:tcPr>
          <w:p>
            <w:pPr>
              <w:pStyle w:val="22"/>
              <w:bidi w:val="0"/>
              <w:rPr>
                <w:color w:val="0000FF"/>
              </w:rPr>
            </w:pPr>
            <w:r>
              <w:rPr>
                <w:color w:val="0000FF"/>
              </w:rPr>
              <w:t>损伤性废物</w:t>
            </w:r>
          </w:p>
        </w:tc>
        <w:tc>
          <w:tcPr>
            <w:tcW w:w="2316" w:type="dxa"/>
            <w:tcBorders>
              <w:tl2br w:val="nil"/>
              <w:tr2bl w:val="nil"/>
            </w:tcBorders>
            <w:vAlign w:val="center"/>
          </w:tcPr>
          <w:p>
            <w:pPr>
              <w:pStyle w:val="22"/>
              <w:bidi w:val="0"/>
              <w:rPr>
                <w:color w:val="0000FF"/>
              </w:rPr>
            </w:pPr>
            <w:r>
              <w:rPr>
                <w:color w:val="0000FF"/>
              </w:rPr>
              <w:t>HW01医疗废物（废物代码：831-002-01）</w:t>
            </w:r>
          </w:p>
        </w:tc>
        <w:tc>
          <w:tcPr>
            <w:tcW w:w="874" w:type="dxa"/>
            <w:tcBorders>
              <w:tl2br w:val="nil"/>
              <w:tr2bl w:val="nil"/>
            </w:tcBorders>
            <w:vAlign w:val="center"/>
          </w:tcPr>
          <w:p>
            <w:pPr>
              <w:pStyle w:val="22"/>
              <w:bidi w:val="0"/>
              <w:rPr>
                <w:color w:val="0000FF"/>
              </w:rPr>
            </w:pPr>
            <w:r>
              <w:rPr>
                <w:rFonts w:hint="eastAsia"/>
                <w:color w:val="0000FF"/>
                <w:lang w:val="en-US" w:eastAsia="zh-CN"/>
              </w:rPr>
              <w:t>0.01</w:t>
            </w:r>
          </w:p>
        </w:tc>
        <w:tc>
          <w:tcPr>
            <w:tcW w:w="1247" w:type="dxa"/>
            <w:vMerge w:val="continue"/>
            <w:tcBorders>
              <w:tl2br w:val="nil"/>
              <w:tr2bl w:val="nil"/>
            </w:tcBorders>
            <w:vAlign w:val="center"/>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vMerge w:val="continue"/>
            <w:tcBorders>
              <w:tl2br w:val="nil"/>
              <w:tr2bl w:val="nil"/>
            </w:tcBorders>
            <w:textDirection w:val="tbRlV"/>
            <w:vAlign w:val="center"/>
          </w:tcPr>
          <w:p>
            <w:pPr>
              <w:pStyle w:val="22"/>
              <w:bidi w:val="0"/>
              <w:rPr>
                <w:color w:val="0000FF"/>
              </w:rPr>
            </w:pPr>
          </w:p>
        </w:tc>
        <w:tc>
          <w:tcPr>
            <w:tcW w:w="728" w:type="dxa"/>
            <w:vMerge w:val="continue"/>
            <w:tcBorders>
              <w:tl2br w:val="nil"/>
              <w:tr2bl w:val="nil"/>
            </w:tcBorders>
            <w:vAlign w:val="center"/>
          </w:tcPr>
          <w:p>
            <w:pPr>
              <w:pStyle w:val="22"/>
              <w:bidi w:val="0"/>
              <w:rPr>
                <w:color w:val="0000FF"/>
              </w:rPr>
            </w:pPr>
          </w:p>
        </w:tc>
        <w:tc>
          <w:tcPr>
            <w:tcW w:w="1605" w:type="dxa"/>
            <w:tcBorders>
              <w:tl2br w:val="nil"/>
              <w:tr2bl w:val="nil"/>
            </w:tcBorders>
            <w:vAlign w:val="center"/>
          </w:tcPr>
          <w:p>
            <w:pPr>
              <w:pStyle w:val="22"/>
              <w:bidi w:val="0"/>
              <w:rPr>
                <w:color w:val="0000FF"/>
              </w:rPr>
            </w:pPr>
            <w:r>
              <w:rPr>
                <w:rFonts w:hint="eastAsia"/>
                <w:color w:val="0000FF"/>
                <w:lang w:val="en-US" w:eastAsia="zh-CN"/>
              </w:rPr>
              <w:t>废弃的疫苗</w:t>
            </w:r>
          </w:p>
        </w:tc>
        <w:tc>
          <w:tcPr>
            <w:tcW w:w="1328" w:type="dxa"/>
            <w:tcBorders>
              <w:tl2br w:val="nil"/>
              <w:tr2bl w:val="nil"/>
            </w:tcBorders>
            <w:vAlign w:val="center"/>
          </w:tcPr>
          <w:p>
            <w:pPr>
              <w:pStyle w:val="22"/>
              <w:bidi w:val="0"/>
              <w:rPr>
                <w:color w:val="0000FF"/>
              </w:rPr>
            </w:pPr>
            <w:r>
              <w:rPr>
                <w:rFonts w:hint="eastAsia"/>
                <w:color w:val="0000FF"/>
                <w:lang w:val="en-US" w:eastAsia="zh-CN"/>
              </w:rPr>
              <w:t>药物性废物</w:t>
            </w:r>
          </w:p>
        </w:tc>
        <w:tc>
          <w:tcPr>
            <w:tcW w:w="2316" w:type="dxa"/>
            <w:tcBorders>
              <w:tl2br w:val="nil"/>
              <w:tr2bl w:val="nil"/>
            </w:tcBorders>
            <w:vAlign w:val="center"/>
          </w:tcPr>
          <w:p>
            <w:pPr>
              <w:pStyle w:val="22"/>
              <w:bidi w:val="0"/>
              <w:rPr>
                <w:color w:val="0000FF"/>
              </w:rPr>
            </w:pPr>
            <w:r>
              <w:rPr>
                <w:color w:val="0000FF"/>
              </w:rPr>
              <w:t>HW01医疗废物（废物代码：831-005-01）</w:t>
            </w:r>
          </w:p>
        </w:tc>
        <w:tc>
          <w:tcPr>
            <w:tcW w:w="874" w:type="dxa"/>
            <w:tcBorders>
              <w:tl2br w:val="nil"/>
              <w:tr2bl w:val="nil"/>
            </w:tcBorders>
            <w:vAlign w:val="center"/>
          </w:tcPr>
          <w:p>
            <w:pPr>
              <w:pStyle w:val="22"/>
              <w:bidi w:val="0"/>
              <w:rPr>
                <w:color w:val="0000FF"/>
              </w:rPr>
            </w:pPr>
            <w:r>
              <w:rPr>
                <w:rFonts w:hint="eastAsia"/>
                <w:color w:val="0000FF"/>
                <w:lang w:val="en-US" w:eastAsia="zh-CN"/>
              </w:rPr>
              <w:t>0.001</w:t>
            </w:r>
          </w:p>
        </w:tc>
        <w:tc>
          <w:tcPr>
            <w:tcW w:w="1247" w:type="dxa"/>
            <w:vMerge w:val="continue"/>
            <w:tcBorders>
              <w:tl2br w:val="nil"/>
              <w:tr2bl w:val="nil"/>
            </w:tcBorders>
            <w:vAlign w:val="center"/>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vMerge w:val="continue"/>
            <w:tcBorders>
              <w:tl2br w:val="nil"/>
              <w:tr2bl w:val="nil"/>
            </w:tcBorders>
            <w:textDirection w:val="tbRlV"/>
            <w:vAlign w:val="center"/>
          </w:tcPr>
          <w:p>
            <w:pPr>
              <w:pStyle w:val="22"/>
              <w:bidi w:val="0"/>
              <w:rPr>
                <w:color w:val="0000FF"/>
              </w:rPr>
            </w:pPr>
          </w:p>
        </w:tc>
        <w:tc>
          <w:tcPr>
            <w:tcW w:w="728" w:type="dxa"/>
            <w:vMerge w:val="restart"/>
            <w:tcBorders>
              <w:tl2br w:val="nil"/>
              <w:tr2bl w:val="nil"/>
            </w:tcBorders>
            <w:vAlign w:val="center"/>
          </w:tcPr>
          <w:p>
            <w:pPr>
              <w:pStyle w:val="22"/>
              <w:bidi w:val="0"/>
              <w:rPr>
                <w:color w:val="0000FF"/>
              </w:rPr>
            </w:pPr>
            <w:r>
              <w:rPr>
                <w:color w:val="0000FF"/>
              </w:rPr>
              <w:t>微生</w:t>
            </w:r>
          </w:p>
          <w:p>
            <w:pPr>
              <w:pStyle w:val="22"/>
              <w:bidi w:val="0"/>
              <w:rPr>
                <w:color w:val="0000FF"/>
              </w:rPr>
            </w:pPr>
            <w:r>
              <w:rPr>
                <w:color w:val="0000FF"/>
              </w:rPr>
              <w:t>物实</w:t>
            </w:r>
          </w:p>
          <w:p>
            <w:pPr>
              <w:pStyle w:val="22"/>
              <w:bidi w:val="0"/>
              <w:rPr>
                <w:color w:val="0000FF"/>
              </w:rPr>
            </w:pPr>
            <w:r>
              <w:rPr>
                <w:color w:val="0000FF"/>
              </w:rPr>
              <w:t>验室</w:t>
            </w:r>
          </w:p>
        </w:tc>
        <w:tc>
          <w:tcPr>
            <w:tcW w:w="1605" w:type="dxa"/>
            <w:tcBorders>
              <w:tl2br w:val="nil"/>
              <w:tr2bl w:val="nil"/>
            </w:tcBorders>
            <w:vAlign w:val="center"/>
          </w:tcPr>
          <w:p>
            <w:pPr>
              <w:pStyle w:val="22"/>
              <w:bidi w:val="0"/>
              <w:rPr>
                <w:color w:val="0000FF"/>
              </w:rPr>
            </w:pPr>
            <w:r>
              <w:rPr>
                <w:color w:val="0000FF"/>
              </w:rPr>
              <w:t>定期更换的废高效过滤器</w:t>
            </w:r>
          </w:p>
        </w:tc>
        <w:tc>
          <w:tcPr>
            <w:tcW w:w="1328" w:type="dxa"/>
            <w:tcBorders>
              <w:tl2br w:val="nil"/>
              <w:tr2bl w:val="nil"/>
            </w:tcBorders>
            <w:vAlign w:val="center"/>
          </w:tcPr>
          <w:p>
            <w:pPr>
              <w:pStyle w:val="22"/>
              <w:bidi w:val="0"/>
              <w:rPr>
                <w:color w:val="0000FF"/>
              </w:rPr>
            </w:pPr>
            <w:r>
              <w:rPr>
                <w:color w:val="0000FF"/>
              </w:rPr>
              <w:t>感染性废物</w:t>
            </w:r>
          </w:p>
        </w:tc>
        <w:tc>
          <w:tcPr>
            <w:tcW w:w="2316" w:type="dxa"/>
            <w:tcBorders>
              <w:tl2br w:val="nil"/>
              <w:tr2bl w:val="nil"/>
            </w:tcBorders>
            <w:vAlign w:val="center"/>
          </w:tcPr>
          <w:p>
            <w:pPr>
              <w:pStyle w:val="22"/>
              <w:bidi w:val="0"/>
              <w:rPr>
                <w:color w:val="0000FF"/>
              </w:rPr>
            </w:pPr>
            <w:r>
              <w:rPr>
                <w:color w:val="0000FF"/>
              </w:rPr>
              <w:t>HW01医疗废物（废物代码：831-001-01）</w:t>
            </w:r>
          </w:p>
        </w:tc>
        <w:tc>
          <w:tcPr>
            <w:tcW w:w="874" w:type="dxa"/>
            <w:tcBorders>
              <w:tl2br w:val="nil"/>
              <w:tr2bl w:val="nil"/>
            </w:tcBorders>
            <w:vAlign w:val="center"/>
          </w:tcPr>
          <w:p>
            <w:pPr>
              <w:pStyle w:val="22"/>
              <w:bidi w:val="0"/>
              <w:rPr>
                <w:color w:val="0000FF"/>
              </w:rPr>
            </w:pPr>
            <w:r>
              <w:rPr>
                <w:rFonts w:hint="eastAsia"/>
                <w:color w:val="0000FF"/>
                <w:lang w:val="en-US" w:eastAsia="zh-CN"/>
              </w:rPr>
              <w:t>0.002</w:t>
            </w:r>
          </w:p>
        </w:tc>
        <w:tc>
          <w:tcPr>
            <w:tcW w:w="1247" w:type="dxa"/>
            <w:vMerge w:val="continue"/>
            <w:tcBorders>
              <w:tl2br w:val="nil"/>
              <w:tr2bl w:val="nil"/>
            </w:tcBorders>
            <w:vAlign w:val="center"/>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439" w:type="dxa"/>
            <w:vMerge w:val="continue"/>
            <w:tcBorders>
              <w:tl2br w:val="nil"/>
              <w:tr2bl w:val="nil"/>
            </w:tcBorders>
            <w:textDirection w:val="tbRlV"/>
            <w:vAlign w:val="center"/>
          </w:tcPr>
          <w:p>
            <w:pPr>
              <w:pStyle w:val="22"/>
              <w:bidi w:val="0"/>
              <w:rPr>
                <w:color w:val="0000FF"/>
              </w:rPr>
            </w:pPr>
          </w:p>
        </w:tc>
        <w:tc>
          <w:tcPr>
            <w:tcW w:w="728" w:type="dxa"/>
            <w:vMerge w:val="continue"/>
            <w:tcBorders>
              <w:tl2br w:val="nil"/>
              <w:tr2bl w:val="nil"/>
            </w:tcBorders>
            <w:vAlign w:val="center"/>
          </w:tcPr>
          <w:p>
            <w:pPr>
              <w:pStyle w:val="22"/>
              <w:bidi w:val="0"/>
              <w:rPr>
                <w:color w:val="0000FF"/>
              </w:rPr>
            </w:pPr>
          </w:p>
        </w:tc>
        <w:tc>
          <w:tcPr>
            <w:tcW w:w="1605" w:type="dxa"/>
            <w:tcBorders>
              <w:tl2br w:val="nil"/>
              <w:tr2bl w:val="nil"/>
            </w:tcBorders>
            <w:vAlign w:val="center"/>
          </w:tcPr>
          <w:p>
            <w:pPr>
              <w:pStyle w:val="22"/>
              <w:bidi w:val="0"/>
              <w:rPr>
                <w:color w:val="0000FF"/>
              </w:rPr>
            </w:pPr>
            <w:r>
              <w:rPr>
                <w:color w:val="0000FF"/>
              </w:rPr>
              <w:t>废培养基、废一</w:t>
            </w:r>
          </w:p>
          <w:p>
            <w:pPr>
              <w:pStyle w:val="22"/>
              <w:bidi w:val="0"/>
              <w:rPr>
                <w:color w:val="0000FF"/>
              </w:rPr>
            </w:pPr>
            <w:r>
              <w:rPr>
                <w:color w:val="0000FF"/>
              </w:rPr>
              <w:t>次性实验用品、废标本、</w:t>
            </w:r>
          </w:p>
        </w:tc>
        <w:tc>
          <w:tcPr>
            <w:tcW w:w="1328" w:type="dxa"/>
            <w:tcBorders>
              <w:tl2br w:val="nil"/>
              <w:tr2bl w:val="nil"/>
            </w:tcBorders>
            <w:vAlign w:val="center"/>
          </w:tcPr>
          <w:p>
            <w:pPr>
              <w:pStyle w:val="22"/>
              <w:bidi w:val="0"/>
              <w:rPr>
                <w:color w:val="0000FF"/>
              </w:rPr>
            </w:pPr>
            <w:r>
              <w:rPr>
                <w:color w:val="0000FF"/>
              </w:rPr>
              <w:t>感染性废物</w:t>
            </w:r>
          </w:p>
        </w:tc>
        <w:tc>
          <w:tcPr>
            <w:tcW w:w="2316" w:type="dxa"/>
            <w:tcBorders>
              <w:tl2br w:val="nil"/>
              <w:tr2bl w:val="nil"/>
            </w:tcBorders>
            <w:vAlign w:val="center"/>
          </w:tcPr>
          <w:p>
            <w:pPr>
              <w:pStyle w:val="22"/>
              <w:bidi w:val="0"/>
              <w:rPr>
                <w:color w:val="0000FF"/>
              </w:rPr>
            </w:pPr>
            <w:r>
              <w:rPr>
                <w:color w:val="0000FF"/>
              </w:rPr>
              <w:t>HW01医疗废物（废物代码：831-001-01）</w:t>
            </w:r>
          </w:p>
        </w:tc>
        <w:tc>
          <w:tcPr>
            <w:tcW w:w="874" w:type="dxa"/>
            <w:tcBorders>
              <w:tl2br w:val="nil"/>
              <w:tr2bl w:val="nil"/>
            </w:tcBorders>
            <w:vAlign w:val="center"/>
          </w:tcPr>
          <w:p>
            <w:pPr>
              <w:pStyle w:val="22"/>
              <w:bidi w:val="0"/>
              <w:rPr>
                <w:color w:val="0000FF"/>
              </w:rPr>
            </w:pPr>
            <w:r>
              <w:rPr>
                <w:rFonts w:hint="eastAsia"/>
                <w:color w:val="0000FF"/>
                <w:lang w:val="en-US" w:eastAsia="zh-CN"/>
              </w:rPr>
              <w:t>0.09</w:t>
            </w:r>
          </w:p>
        </w:tc>
        <w:tc>
          <w:tcPr>
            <w:tcW w:w="1247" w:type="dxa"/>
            <w:vMerge w:val="continue"/>
            <w:tcBorders>
              <w:tl2br w:val="nil"/>
              <w:tr2bl w:val="nil"/>
            </w:tcBorders>
            <w:vAlign w:val="center"/>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vMerge w:val="continue"/>
            <w:tcBorders>
              <w:tl2br w:val="nil"/>
              <w:tr2bl w:val="nil"/>
            </w:tcBorders>
            <w:textDirection w:val="tbRlV"/>
            <w:vAlign w:val="center"/>
          </w:tcPr>
          <w:p>
            <w:pPr>
              <w:pStyle w:val="22"/>
              <w:bidi w:val="0"/>
              <w:rPr>
                <w:color w:val="0000FF"/>
              </w:rPr>
            </w:pPr>
          </w:p>
        </w:tc>
        <w:tc>
          <w:tcPr>
            <w:tcW w:w="728" w:type="dxa"/>
            <w:vMerge w:val="continue"/>
            <w:tcBorders>
              <w:tl2br w:val="nil"/>
              <w:tr2bl w:val="nil"/>
            </w:tcBorders>
            <w:vAlign w:val="center"/>
          </w:tcPr>
          <w:p>
            <w:pPr>
              <w:pStyle w:val="22"/>
              <w:bidi w:val="0"/>
              <w:rPr>
                <w:color w:val="0000FF"/>
              </w:rPr>
            </w:pPr>
          </w:p>
        </w:tc>
        <w:tc>
          <w:tcPr>
            <w:tcW w:w="1605" w:type="dxa"/>
            <w:tcBorders>
              <w:tl2br w:val="nil"/>
              <w:tr2bl w:val="nil"/>
            </w:tcBorders>
            <w:vAlign w:val="center"/>
          </w:tcPr>
          <w:p>
            <w:pPr>
              <w:pStyle w:val="22"/>
              <w:bidi w:val="0"/>
              <w:rPr>
                <w:color w:val="0000FF"/>
              </w:rPr>
            </w:pPr>
            <w:r>
              <w:rPr>
                <w:color w:val="0000FF"/>
              </w:rPr>
              <w:t>实验用药</w:t>
            </w:r>
          </w:p>
        </w:tc>
        <w:tc>
          <w:tcPr>
            <w:tcW w:w="1328" w:type="dxa"/>
            <w:tcBorders>
              <w:tl2br w:val="nil"/>
              <w:tr2bl w:val="nil"/>
            </w:tcBorders>
            <w:vAlign w:val="center"/>
          </w:tcPr>
          <w:p>
            <w:pPr>
              <w:pStyle w:val="22"/>
              <w:bidi w:val="0"/>
              <w:rPr>
                <w:color w:val="0000FF"/>
              </w:rPr>
            </w:pPr>
            <w:r>
              <w:rPr>
                <w:color w:val="0000FF"/>
              </w:rPr>
              <w:t>药物性废物</w:t>
            </w:r>
          </w:p>
        </w:tc>
        <w:tc>
          <w:tcPr>
            <w:tcW w:w="2316" w:type="dxa"/>
            <w:tcBorders>
              <w:tl2br w:val="nil"/>
              <w:tr2bl w:val="nil"/>
            </w:tcBorders>
            <w:vAlign w:val="center"/>
          </w:tcPr>
          <w:p>
            <w:pPr>
              <w:pStyle w:val="22"/>
              <w:bidi w:val="0"/>
              <w:rPr>
                <w:color w:val="0000FF"/>
              </w:rPr>
            </w:pPr>
            <w:r>
              <w:rPr>
                <w:color w:val="0000FF"/>
              </w:rPr>
              <w:t>HW01医疗废物（废物代码：831-005-01）</w:t>
            </w:r>
          </w:p>
        </w:tc>
        <w:tc>
          <w:tcPr>
            <w:tcW w:w="874" w:type="dxa"/>
            <w:tcBorders>
              <w:tl2br w:val="nil"/>
              <w:tr2bl w:val="nil"/>
            </w:tcBorders>
            <w:vAlign w:val="center"/>
          </w:tcPr>
          <w:p>
            <w:pPr>
              <w:pStyle w:val="22"/>
              <w:bidi w:val="0"/>
              <w:rPr>
                <w:color w:val="0000FF"/>
              </w:rPr>
            </w:pPr>
            <w:r>
              <w:rPr>
                <w:rFonts w:hint="eastAsia"/>
                <w:color w:val="0000FF"/>
                <w:lang w:val="en-US" w:eastAsia="zh-CN"/>
              </w:rPr>
              <w:t>0.008</w:t>
            </w:r>
          </w:p>
        </w:tc>
        <w:tc>
          <w:tcPr>
            <w:tcW w:w="1247" w:type="dxa"/>
            <w:vMerge w:val="continue"/>
            <w:tcBorders>
              <w:tl2br w:val="nil"/>
              <w:tr2bl w:val="nil"/>
            </w:tcBorders>
            <w:vAlign w:val="center"/>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jc w:val="center"/>
        </w:trPr>
        <w:tc>
          <w:tcPr>
            <w:tcW w:w="439" w:type="dxa"/>
            <w:vMerge w:val="continue"/>
            <w:tcBorders>
              <w:tl2br w:val="nil"/>
              <w:tr2bl w:val="nil"/>
            </w:tcBorders>
            <w:textDirection w:val="tbRlV"/>
            <w:vAlign w:val="center"/>
          </w:tcPr>
          <w:p>
            <w:pPr>
              <w:pStyle w:val="22"/>
              <w:bidi w:val="0"/>
              <w:rPr>
                <w:color w:val="0000FF"/>
              </w:rPr>
            </w:pPr>
          </w:p>
        </w:tc>
        <w:tc>
          <w:tcPr>
            <w:tcW w:w="728" w:type="dxa"/>
            <w:tcBorders>
              <w:tl2br w:val="nil"/>
              <w:tr2bl w:val="nil"/>
            </w:tcBorders>
            <w:vAlign w:val="center"/>
          </w:tcPr>
          <w:p>
            <w:pPr>
              <w:pStyle w:val="22"/>
              <w:bidi w:val="0"/>
              <w:rPr>
                <w:color w:val="0000FF"/>
              </w:rPr>
            </w:pPr>
            <w:r>
              <w:rPr>
                <w:color w:val="0000FF"/>
              </w:rPr>
              <w:t>理化</w:t>
            </w:r>
          </w:p>
          <w:p>
            <w:pPr>
              <w:pStyle w:val="22"/>
              <w:bidi w:val="0"/>
              <w:rPr>
                <w:color w:val="0000FF"/>
              </w:rPr>
            </w:pPr>
            <w:r>
              <w:rPr>
                <w:color w:val="0000FF"/>
              </w:rPr>
              <w:t>实验</w:t>
            </w:r>
          </w:p>
          <w:p>
            <w:pPr>
              <w:pStyle w:val="22"/>
              <w:bidi w:val="0"/>
              <w:rPr>
                <w:color w:val="0000FF"/>
              </w:rPr>
            </w:pPr>
            <w:r>
              <w:rPr>
                <w:color w:val="0000FF"/>
              </w:rPr>
              <w:t>室</w:t>
            </w:r>
          </w:p>
        </w:tc>
        <w:tc>
          <w:tcPr>
            <w:tcW w:w="1605" w:type="dxa"/>
            <w:tcBorders>
              <w:tl2br w:val="nil"/>
              <w:tr2bl w:val="nil"/>
            </w:tcBorders>
            <w:vAlign w:val="center"/>
          </w:tcPr>
          <w:p>
            <w:pPr>
              <w:pStyle w:val="22"/>
              <w:bidi w:val="0"/>
              <w:rPr>
                <w:color w:val="0000FF"/>
              </w:rPr>
            </w:pPr>
            <w:r>
              <w:rPr>
                <w:color w:val="0000FF"/>
              </w:rPr>
              <w:t>有机废液，酸碱废液</w:t>
            </w:r>
          </w:p>
        </w:tc>
        <w:tc>
          <w:tcPr>
            <w:tcW w:w="1328" w:type="dxa"/>
            <w:tcBorders>
              <w:tl2br w:val="nil"/>
              <w:tr2bl w:val="nil"/>
            </w:tcBorders>
            <w:vAlign w:val="center"/>
          </w:tcPr>
          <w:p>
            <w:pPr>
              <w:pStyle w:val="22"/>
              <w:bidi w:val="0"/>
              <w:rPr>
                <w:color w:val="0000FF"/>
              </w:rPr>
            </w:pPr>
            <w:r>
              <w:rPr>
                <w:color w:val="0000FF"/>
              </w:rPr>
              <w:t>化学性废物</w:t>
            </w:r>
          </w:p>
        </w:tc>
        <w:tc>
          <w:tcPr>
            <w:tcW w:w="2316" w:type="dxa"/>
            <w:tcBorders>
              <w:tl2br w:val="nil"/>
              <w:tr2bl w:val="nil"/>
            </w:tcBorders>
            <w:vAlign w:val="center"/>
          </w:tcPr>
          <w:p>
            <w:pPr>
              <w:pStyle w:val="22"/>
              <w:bidi w:val="0"/>
              <w:rPr>
                <w:color w:val="0000FF"/>
              </w:rPr>
            </w:pPr>
            <w:r>
              <w:rPr>
                <w:color w:val="0000FF"/>
              </w:rPr>
              <w:t>HW01医疗废物（废物代码：831-004-01）</w:t>
            </w:r>
          </w:p>
        </w:tc>
        <w:tc>
          <w:tcPr>
            <w:tcW w:w="874" w:type="dxa"/>
            <w:tcBorders>
              <w:tl2br w:val="nil"/>
              <w:tr2bl w:val="nil"/>
            </w:tcBorders>
            <w:vAlign w:val="center"/>
          </w:tcPr>
          <w:p>
            <w:pPr>
              <w:pStyle w:val="22"/>
              <w:bidi w:val="0"/>
              <w:rPr>
                <w:rFonts w:hint="default"/>
                <w:color w:val="0000FF"/>
                <w:lang w:val="en-US" w:eastAsia="zh-CN"/>
              </w:rPr>
            </w:pPr>
            <w:r>
              <w:rPr>
                <w:rFonts w:hint="eastAsia"/>
                <w:color w:val="0000FF"/>
                <w:lang w:val="en-US" w:eastAsia="zh-CN"/>
              </w:rPr>
              <w:t>0.01</w:t>
            </w:r>
          </w:p>
        </w:tc>
        <w:tc>
          <w:tcPr>
            <w:tcW w:w="1247" w:type="dxa"/>
            <w:vMerge w:val="continue"/>
            <w:tcBorders>
              <w:tl2br w:val="nil"/>
              <w:tr2bl w:val="nil"/>
            </w:tcBorders>
            <w:vAlign w:val="center"/>
          </w:tcPr>
          <w:p>
            <w:pPr>
              <w:pStyle w:val="22"/>
              <w:bidi w:val="0"/>
              <w:rPr>
                <w:color w:val="0000FF"/>
              </w:rPr>
            </w:pPr>
          </w:p>
        </w:tc>
      </w:tr>
    </w:tbl>
    <w:p>
      <w:pPr>
        <w:bidi w:val="0"/>
        <w:rPr>
          <w:color w:val="0000FF"/>
        </w:rPr>
      </w:pPr>
      <w:r>
        <w:rPr>
          <w:color w:val="0000FF"/>
        </w:rPr>
        <w:t>（</w:t>
      </w:r>
      <w:r>
        <w:rPr>
          <w:rFonts w:hint="eastAsia"/>
          <w:color w:val="0000FF"/>
          <w:lang w:val="en-US" w:eastAsia="zh-CN"/>
        </w:rPr>
        <w:t>3</w:t>
      </w:r>
      <w:r>
        <w:rPr>
          <w:color w:val="0000FF"/>
        </w:rPr>
        <w:t>）废活性炭</w:t>
      </w:r>
    </w:p>
    <w:p>
      <w:pPr>
        <w:bidi w:val="0"/>
        <w:rPr>
          <w:color w:val="0000FF"/>
        </w:rPr>
      </w:pPr>
      <w:r>
        <w:rPr>
          <w:color w:val="0000FF"/>
        </w:rPr>
        <w:t>主要来源于废气处理装置中活性炭吸附工序，其定期需更换活性炭，由于项目实验室检验项目较少，预计活性炭一年更换一次；污水处理站恶臭吸附装置也定期更换活性度，其产生量较少共约0.</w:t>
      </w:r>
      <w:r>
        <w:rPr>
          <w:rFonts w:hint="eastAsia"/>
          <w:color w:val="0000FF"/>
          <w:lang w:val="en-US" w:eastAsia="zh-CN"/>
        </w:rPr>
        <w:t>0</w:t>
      </w:r>
      <w:r>
        <w:rPr>
          <w:color w:val="0000FF"/>
        </w:rPr>
        <w:t>1t/a。此类固废属于《国家危险废物名录》，本项目废气处理产生的废活性炭属于HW49。</w:t>
      </w:r>
    </w:p>
    <w:p>
      <w:pPr>
        <w:bidi w:val="0"/>
        <w:rPr>
          <w:color w:val="0000FF"/>
        </w:rPr>
      </w:pPr>
      <w:r>
        <w:rPr>
          <w:color w:val="0000FF"/>
        </w:rPr>
        <w:t>（</w:t>
      </w:r>
      <w:r>
        <w:rPr>
          <w:rFonts w:hint="eastAsia"/>
          <w:color w:val="0000FF"/>
          <w:lang w:val="en-US" w:eastAsia="zh-CN"/>
        </w:rPr>
        <w:t>4</w:t>
      </w:r>
      <w:r>
        <w:rPr>
          <w:color w:val="0000FF"/>
        </w:rPr>
        <w:t>）废离子交换树脂</w:t>
      </w:r>
    </w:p>
    <w:p>
      <w:pPr>
        <w:bidi w:val="0"/>
        <w:rPr>
          <w:color w:val="0000FF"/>
        </w:rPr>
      </w:pPr>
      <w:r>
        <w:rPr>
          <w:color w:val="0000FF"/>
        </w:rPr>
        <w:t>主要来源于纯水制备工序，其定期需更换离子交换树脂，由于项目实验室所需纯水，离子交换树脂两年更换一次，更换一次产生废弃离子交换树脂0.006t，折合0.003t/a。废离子交换树脂属于一般固废，经收集后由专门厂家回收。</w:t>
      </w:r>
    </w:p>
    <w:p>
      <w:pPr>
        <w:bidi w:val="0"/>
        <w:rPr>
          <w:color w:val="0000FF"/>
        </w:rPr>
      </w:pPr>
      <w:r>
        <w:rPr>
          <w:color w:val="0000FF"/>
        </w:rPr>
        <w:t>（</w:t>
      </w:r>
      <w:r>
        <w:rPr>
          <w:rFonts w:hint="eastAsia"/>
          <w:color w:val="0000FF"/>
          <w:lang w:val="en-US" w:eastAsia="zh-CN"/>
        </w:rPr>
        <w:t>5</w:t>
      </w:r>
      <w:r>
        <w:rPr>
          <w:color w:val="0000FF"/>
        </w:rPr>
        <w:t>）</w:t>
      </w:r>
      <w:r>
        <w:rPr>
          <w:rFonts w:hint="eastAsia"/>
          <w:color w:val="0000FF"/>
          <w:lang w:val="en-US" w:eastAsia="zh-CN"/>
        </w:rPr>
        <w:t>水处理栅渣及污泥</w:t>
      </w:r>
    </w:p>
    <w:p>
      <w:pPr>
        <w:bidi w:val="0"/>
        <w:rPr>
          <w:color w:val="0000FF"/>
        </w:rPr>
      </w:pPr>
      <w:r>
        <w:rPr>
          <w:color w:val="0000FF"/>
        </w:rPr>
        <w:t>根据《医疗机构水污染物排放标准》（GB18466-2005），污水处理站格栅过滤产生的栅渣、化粪池和污水处理站污泥均属危险废物，应按危险废物进行处理和处置。经查阅《国家危险废物名录（2021年版）》，栅渣、化粪池和污水处理站污泥均属于HW49其他废物，废物代码为772-006-49。</w:t>
      </w:r>
    </w:p>
    <w:p>
      <w:pPr>
        <w:bidi w:val="0"/>
        <w:rPr>
          <w:color w:val="0000FF"/>
        </w:rPr>
      </w:pPr>
      <w:r>
        <w:rPr>
          <w:color w:val="0000FF"/>
        </w:rPr>
        <w:t>栅渣产生量按0.2kg/m</w:t>
      </w:r>
      <w:r>
        <w:rPr>
          <w:color w:val="0000FF"/>
          <w:vertAlign w:val="superscript"/>
        </w:rPr>
        <w:t>3</w:t>
      </w:r>
      <w:r>
        <w:rPr>
          <w:color w:val="0000FF"/>
        </w:rPr>
        <w:t>污水计，污泥产生量按0.4kg/m3污水计，则本项目栅渣产生量为0.</w:t>
      </w:r>
      <w:r>
        <w:rPr>
          <w:rFonts w:hint="eastAsia"/>
          <w:color w:val="0000FF"/>
          <w:lang w:val="en-US" w:eastAsia="zh-CN"/>
        </w:rPr>
        <w:t>1</w:t>
      </w:r>
      <w:r>
        <w:rPr>
          <w:color w:val="0000FF"/>
        </w:rPr>
        <w:t>t/a、污泥产生量为0.</w:t>
      </w:r>
      <w:r>
        <w:rPr>
          <w:rFonts w:hint="eastAsia"/>
          <w:color w:val="0000FF"/>
          <w:lang w:val="en-US" w:eastAsia="zh-CN"/>
        </w:rPr>
        <w:t>2</w:t>
      </w:r>
      <w:r>
        <w:rPr>
          <w:color w:val="0000FF"/>
        </w:rPr>
        <w:t>t/a（含水率约80%）。评价建议将栅渣收集后用密封容器贮存在医疗废物暂存间，定期交由有资质的单位进行处置；污泥在清掏前委托有资质的单位进行污泥监测，达到《医疗机构水污染物排放标准》</w:t>
      </w:r>
    </w:p>
    <w:p>
      <w:pPr>
        <w:bidi w:val="0"/>
        <w:rPr>
          <w:color w:val="0000FF"/>
        </w:rPr>
      </w:pPr>
      <w:r>
        <w:rPr>
          <w:color w:val="0000FF"/>
        </w:rPr>
        <w:t>（GB18466-2005）表4医疗机构污泥控制标准后再进行清掏，清掏出的污泥交由有资质的单位进行处置。</w:t>
      </w:r>
    </w:p>
    <w:p>
      <w:pPr>
        <w:bidi w:val="0"/>
        <w:rPr>
          <w:color w:val="0000FF"/>
        </w:rPr>
      </w:pPr>
      <w:r>
        <w:rPr>
          <w:color w:val="0000FF"/>
        </w:rPr>
        <w:t>综上所述，本项目运营期间固废产生情况详见下表。</w:t>
      </w:r>
    </w:p>
    <w:p>
      <w:pPr>
        <w:pStyle w:val="22"/>
        <w:bidi w:val="0"/>
        <w:rPr>
          <w:b/>
          <w:bCs/>
          <w:color w:val="0000FF"/>
        </w:rPr>
      </w:pPr>
      <w:r>
        <w:rPr>
          <w:b/>
          <w:bCs/>
          <w:color w:val="0000FF"/>
        </w:rPr>
        <w:t>表3.</w:t>
      </w:r>
      <w:r>
        <w:rPr>
          <w:rFonts w:hint="eastAsia"/>
          <w:b/>
          <w:bCs/>
          <w:color w:val="0000FF"/>
          <w:lang w:val="en-US" w:eastAsia="zh-CN"/>
        </w:rPr>
        <w:t>4</w:t>
      </w:r>
      <w:r>
        <w:rPr>
          <w:b/>
          <w:bCs/>
          <w:color w:val="0000FF"/>
        </w:rPr>
        <w:t>-</w:t>
      </w:r>
      <w:r>
        <w:rPr>
          <w:rFonts w:hint="eastAsia"/>
          <w:b/>
          <w:bCs/>
          <w:color w:val="0000FF"/>
          <w:lang w:val="en-US" w:eastAsia="zh-CN"/>
        </w:rPr>
        <w:t>7</w:t>
      </w:r>
      <w:r>
        <w:rPr>
          <w:b/>
          <w:bCs/>
          <w:color w:val="0000FF"/>
        </w:rPr>
        <w:t>项目运营期产生固体废物分类目录</w:t>
      </w:r>
    </w:p>
    <w:tbl>
      <w:tblPr>
        <w:tblStyle w:val="23"/>
        <w:tblW w:w="84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
        <w:gridCol w:w="443"/>
        <w:gridCol w:w="1513"/>
        <w:gridCol w:w="2"/>
        <w:gridCol w:w="774"/>
        <w:gridCol w:w="1206"/>
        <w:gridCol w:w="2"/>
        <w:gridCol w:w="1185"/>
        <w:gridCol w:w="2"/>
        <w:gridCol w:w="3325"/>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571" w:hRule="atLeast"/>
          <w:jc w:val="center"/>
        </w:trPr>
        <w:tc>
          <w:tcPr>
            <w:tcW w:w="451" w:type="dxa"/>
            <w:gridSpan w:val="2"/>
            <w:tcBorders>
              <w:tl2br w:val="nil"/>
              <w:tr2bl w:val="nil"/>
            </w:tcBorders>
            <w:textDirection w:val="tbRlV"/>
            <w:vAlign w:val="center"/>
          </w:tcPr>
          <w:p>
            <w:pPr>
              <w:pStyle w:val="22"/>
              <w:bidi w:val="0"/>
              <w:jc w:val="center"/>
              <w:rPr>
                <w:color w:val="0000FF"/>
              </w:rPr>
            </w:pPr>
            <w:r>
              <w:rPr>
                <w:color w:val="0000FF"/>
              </w:rPr>
              <w:t>序号</w:t>
            </w:r>
          </w:p>
        </w:tc>
        <w:tc>
          <w:tcPr>
            <w:tcW w:w="1513" w:type="dxa"/>
            <w:tcBorders>
              <w:tl2br w:val="nil"/>
              <w:tr2bl w:val="nil"/>
            </w:tcBorders>
            <w:vAlign w:val="center"/>
          </w:tcPr>
          <w:p>
            <w:pPr>
              <w:pStyle w:val="22"/>
              <w:bidi w:val="0"/>
              <w:jc w:val="center"/>
              <w:rPr>
                <w:color w:val="0000FF"/>
              </w:rPr>
            </w:pPr>
            <w:r>
              <w:rPr>
                <w:color w:val="0000FF"/>
              </w:rPr>
              <w:t>名称</w:t>
            </w:r>
          </w:p>
        </w:tc>
        <w:tc>
          <w:tcPr>
            <w:tcW w:w="776" w:type="dxa"/>
            <w:gridSpan w:val="2"/>
            <w:tcBorders>
              <w:tl2br w:val="nil"/>
              <w:tr2bl w:val="nil"/>
            </w:tcBorders>
            <w:vAlign w:val="center"/>
          </w:tcPr>
          <w:p>
            <w:pPr>
              <w:pStyle w:val="22"/>
              <w:bidi w:val="0"/>
              <w:jc w:val="center"/>
              <w:rPr>
                <w:color w:val="0000FF"/>
              </w:rPr>
            </w:pPr>
            <w:r>
              <w:rPr>
                <w:color w:val="0000FF"/>
              </w:rPr>
              <w:t>排放量</w:t>
            </w:r>
          </w:p>
          <w:p>
            <w:pPr>
              <w:pStyle w:val="22"/>
              <w:bidi w:val="0"/>
              <w:jc w:val="center"/>
              <w:rPr>
                <w:color w:val="0000FF"/>
              </w:rPr>
            </w:pPr>
            <w:r>
              <w:rPr>
                <w:color w:val="0000FF"/>
              </w:rPr>
              <w:t>（t/a）</w:t>
            </w:r>
          </w:p>
        </w:tc>
        <w:tc>
          <w:tcPr>
            <w:tcW w:w="1206" w:type="dxa"/>
            <w:tcBorders>
              <w:tl2br w:val="nil"/>
              <w:tr2bl w:val="nil"/>
            </w:tcBorders>
            <w:vAlign w:val="center"/>
          </w:tcPr>
          <w:p>
            <w:pPr>
              <w:pStyle w:val="22"/>
              <w:bidi w:val="0"/>
              <w:jc w:val="center"/>
              <w:rPr>
                <w:color w:val="0000FF"/>
              </w:rPr>
            </w:pPr>
            <w:r>
              <w:rPr>
                <w:color w:val="0000FF"/>
              </w:rPr>
              <w:t>固废性质</w:t>
            </w:r>
          </w:p>
        </w:tc>
        <w:tc>
          <w:tcPr>
            <w:tcW w:w="1187" w:type="dxa"/>
            <w:gridSpan w:val="2"/>
            <w:tcBorders>
              <w:tl2br w:val="nil"/>
              <w:tr2bl w:val="nil"/>
            </w:tcBorders>
            <w:vAlign w:val="center"/>
          </w:tcPr>
          <w:p>
            <w:pPr>
              <w:pStyle w:val="22"/>
              <w:bidi w:val="0"/>
              <w:jc w:val="center"/>
              <w:rPr>
                <w:color w:val="0000FF"/>
              </w:rPr>
            </w:pPr>
            <w:r>
              <w:rPr>
                <w:color w:val="0000FF"/>
              </w:rPr>
              <w:t>废物代码</w:t>
            </w:r>
          </w:p>
        </w:tc>
        <w:tc>
          <w:tcPr>
            <w:tcW w:w="3327" w:type="dxa"/>
            <w:gridSpan w:val="2"/>
            <w:tcBorders>
              <w:tl2br w:val="nil"/>
              <w:tr2bl w:val="nil"/>
            </w:tcBorders>
            <w:vAlign w:val="center"/>
          </w:tcPr>
          <w:p>
            <w:pPr>
              <w:pStyle w:val="22"/>
              <w:bidi w:val="0"/>
              <w:jc w:val="center"/>
              <w:rPr>
                <w:color w:val="0000FF"/>
              </w:rPr>
            </w:pPr>
            <w:r>
              <w:rPr>
                <w:color w:val="0000FF"/>
              </w:rPr>
              <w:t>采取的处置措施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1</w:t>
            </w:r>
          </w:p>
        </w:tc>
        <w:tc>
          <w:tcPr>
            <w:tcW w:w="1515" w:type="dxa"/>
            <w:gridSpan w:val="2"/>
            <w:tcBorders>
              <w:tl2br w:val="nil"/>
              <w:tr2bl w:val="nil"/>
            </w:tcBorders>
            <w:vAlign w:val="center"/>
          </w:tcPr>
          <w:p>
            <w:pPr>
              <w:pStyle w:val="22"/>
              <w:bidi w:val="0"/>
              <w:jc w:val="center"/>
              <w:rPr>
                <w:color w:val="0000FF"/>
              </w:rPr>
            </w:pPr>
            <w:r>
              <w:rPr>
                <w:color w:val="0000FF"/>
              </w:rPr>
              <w:t>生活办公垃圾</w:t>
            </w:r>
          </w:p>
        </w:tc>
        <w:tc>
          <w:tcPr>
            <w:tcW w:w="774"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1</w:t>
            </w:r>
          </w:p>
        </w:tc>
        <w:tc>
          <w:tcPr>
            <w:tcW w:w="1208" w:type="dxa"/>
            <w:gridSpan w:val="2"/>
            <w:tcBorders>
              <w:tl2br w:val="nil"/>
              <w:tr2bl w:val="nil"/>
            </w:tcBorders>
            <w:vAlign w:val="center"/>
          </w:tcPr>
          <w:p>
            <w:pPr>
              <w:pStyle w:val="22"/>
              <w:bidi w:val="0"/>
              <w:jc w:val="center"/>
              <w:rPr>
                <w:color w:val="0000FF"/>
              </w:rPr>
            </w:pPr>
            <w:r>
              <w:rPr>
                <w:color w:val="0000FF"/>
              </w:rPr>
              <w:t>一般固废</w:t>
            </w:r>
          </w:p>
        </w:tc>
        <w:tc>
          <w:tcPr>
            <w:tcW w:w="1187" w:type="dxa"/>
            <w:gridSpan w:val="2"/>
            <w:tcBorders>
              <w:tl2br w:val="nil"/>
              <w:tr2bl w:val="nil"/>
            </w:tcBorders>
            <w:vAlign w:val="center"/>
          </w:tcPr>
          <w:p>
            <w:pPr>
              <w:pStyle w:val="22"/>
              <w:bidi w:val="0"/>
              <w:jc w:val="center"/>
              <w:rPr>
                <w:color w:val="0000FF"/>
              </w:rPr>
            </w:pPr>
            <w:r>
              <w:rPr>
                <w:color w:val="0000FF"/>
              </w:rPr>
              <w:t>——</w:t>
            </w:r>
          </w:p>
        </w:tc>
        <w:tc>
          <w:tcPr>
            <w:tcW w:w="3327" w:type="dxa"/>
            <w:gridSpan w:val="2"/>
            <w:tcBorders>
              <w:tl2br w:val="nil"/>
              <w:tr2bl w:val="nil"/>
            </w:tcBorders>
            <w:vAlign w:val="center"/>
          </w:tcPr>
          <w:p>
            <w:pPr>
              <w:pStyle w:val="22"/>
              <w:bidi w:val="0"/>
              <w:jc w:val="center"/>
              <w:rPr>
                <w:color w:val="0000FF"/>
              </w:rPr>
            </w:pPr>
            <w:r>
              <w:rPr>
                <w:color w:val="0000FF"/>
              </w:rPr>
              <w:t>在项目区设置垃圾箱集中收集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2</w:t>
            </w:r>
          </w:p>
        </w:tc>
        <w:tc>
          <w:tcPr>
            <w:tcW w:w="1515" w:type="dxa"/>
            <w:gridSpan w:val="2"/>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医疗废物</w:t>
            </w:r>
          </w:p>
        </w:tc>
        <w:tc>
          <w:tcPr>
            <w:tcW w:w="774"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0.85</w:t>
            </w:r>
          </w:p>
        </w:tc>
        <w:tc>
          <w:tcPr>
            <w:tcW w:w="1208" w:type="dxa"/>
            <w:gridSpan w:val="2"/>
            <w:tcBorders>
              <w:tl2br w:val="nil"/>
              <w:tr2bl w:val="nil"/>
            </w:tcBorders>
            <w:vAlign w:val="center"/>
          </w:tcPr>
          <w:p>
            <w:pPr>
              <w:pStyle w:val="22"/>
              <w:bidi w:val="0"/>
              <w:jc w:val="center"/>
              <w:rPr>
                <w:color w:val="0000FF"/>
              </w:rPr>
            </w:pPr>
            <w:r>
              <w:rPr>
                <w:color w:val="0000FF"/>
              </w:rPr>
              <w:t>危险废物</w:t>
            </w:r>
          </w:p>
        </w:tc>
        <w:tc>
          <w:tcPr>
            <w:tcW w:w="1187" w:type="dxa"/>
            <w:gridSpan w:val="2"/>
            <w:tcBorders>
              <w:tl2br w:val="nil"/>
              <w:tr2bl w:val="nil"/>
            </w:tcBorders>
            <w:vAlign w:val="center"/>
          </w:tcPr>
          <w:p>
            <w:pPr>
              <w:pStyle w:val="22"/>
              <w:bidi w:val="0"/>
              <w:jc w:val="center"/>
              <w:rPr>
                <w:color w:val="0000FF"/>
              </w:rPr>
            </w:pPr>
            <w:r>
              <w:rPr>
                <w:color w:val="0000FF"/>
              </w:rPr>
              <w:t>831-001-01</w:t>
            </w:r>
          </w:p>
          <w:p>
            <w:pPr>
              <w:pStyle w:val="22"/>
              <w:bidi w:val="0"/>
              <w:jc w:val="center"/>
              <w:rPr>
                <w:color w:val="0000FF"/>
              </w:rPr>
            </w:pPr>
            <w:r>
              <w:rPr>
                <w:color w:val="0000FF"/>
              </w:rPr>
              <w:t>831-002-01</w:t>
            </w:r>
          </w:p>
          <w:p>
            <w:pPr>
              <w:pStyle w:val="22"/>
              <w:bidi w:val="0"/>
              <w:jc w:val="center"/>
              <w:rPr>
                <w:color w:val="0000FF"/>
              </w:rPr>
            </w:pPr>
            <w:r>
              <w:rPr>
                <w:color w:val="0000FF"/>
              </w:rPr>
              <w:t>831-004-01</w:t>
            </w:r>
          </w:p>
          <w:p>
            <w:pPr>
              <w:pStyle w:val="22"/>
              <w:bidi w:val="0"/>
              <w:jc w:val="center"/>
              <w:rPr>
                <w:color w:val="0000FF"/>
              </w:rPr>
            </w:pPr>
            <w:r>
              <w:rPr>
                <w:color w:val="0000FF"/>
              </w:rPr>
              <w:t>831-005-01</w:t>
            </w:r>
          </w:p>
        </w:tc>
        <w:tc>
          <w:tcPr>
            <w:tcW w:w="3327" w:type="dxa"/>
            <w:gridSpan w:val="2"/>
            <w:tcBorders>
              <w:tl2br w:val="nil"/>
              <w:tr2bl w:val="nil"/>
            </w:tcBorders>
            <w:vAlign w:val="center"/>
          </w:tcPr>
          <w:p>
            <w:pPr>
              <w:pStyle w:val="22"/>
              <w:bidi w:val="0"/>
              <w:jc w:val="center"/>
              <w:rPr>
                <w:color w:val="0000FF"/>
              </w:rPr>
            </w:pPr>
            <w:r>
              <w:rPr>
                <w:color w:val="0000FF"/>
              </w:rPr>
              <w:t>灭活后，暂存于危废暂存间，委托有危废资质单位处理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1101"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3</w:t>
            </w:r>
          </w:p>
        </w:tc>
        <w:tc>
          <w:tcPr>
            <w:tcW w:w="1515" w:type="dxa"/>
            <w:gridSpan w:val="2"/>
            <w:tcBorders>
              <w:tl2br w:val="nil"/>
              <w:tr2bl w:val="nil"/>
            </w:tcBorders>
            <w:vAlign w:val="center"/>
          </w:tcPr>
          <w:p>
            <w:pPr>
              <w:pStyle w:val="22"/>
              <w:bidi w:val="0"/>
              <w:jc w:val="center"/>
              <w:rPr>
                <w:color w:val="0000FF"/>
              </w:rPr>
            </w:pPr>
            <w:r>
              <w:rPr>
                <w:color w:val="0000FF"/>
              </w:rPr>
              <w:t>废活性炭</w:t>
            </w:r>
          </w:p>
        </w:tc>
        <w:tc>
          <w:tcPr>
            <w:tcW w:w="774" w:type="dxa"/>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0</w:t>
            </w:r>
            <w:r>
              <w:rPr>
                <w:color w:val="0000FF"/>
              </w:rPr>
              <w:t>1</w:t>
            </w:r>
          </w:p>
        </w:tc>
        <w:tc>
          <w:tcPr>
            <w:tcW w:w="1208" w:type="dxa"/>
            <w:gridSpan w:val="2"/>
            <w:tcBorders>
              <w:tl2br w:val="nil"/>
              <w:tr2bl w:val="nil"/>
            </w:tcBorders>
            <w:vAlign w:val="center"/>
          </w:tcPr>
          <w:p>
            <w:pPr>
              <w:pStyle w:val="22"/>
              <w:bidi w:val="0"/>
              <w:jc w:val="center"/>
              <w:rPr>
                <w:color w:val="0000FF"/>
              </w:rPr>
            </w:pPr>
            <w:r>
              <w:rPr>
                <w:color w:val="0000FF"/>
              </w:rPr>
              <w:t>HW4</w:t>
            </w:r>
            <w:r>
              <w:rPr>
                <w:rFonts w:hint="eastAsia"/>
                <w:color w:val="0000FF"/>
                <w:lang w:val="en-US" w:eastAsia="zh-CN"/>
              </w:rPr>
              <w:t>9</w:t>
            </w:r>
            <w:r>
              <w:rPr>
                <w:color w:val="0000FF"/>
              </w:rPr>
              <w:t>其他非特定行业</w:t>
            </w:r>
          </w:p>
        </w:tc>
        <w:tc>
          <w:tcPr>
            <w:tcW w:w="1187" w:type="dxa"/>
            <w:gridSpan w:val="2"/>
            <w:tcBorders>
              <w:tl2br w:val="nil"/>
              <w:tr2bl w:val="nil"/>
            </w:tcBorders>
            <w:vAlign w:val="center"/>
          </w:tcPr>
          <w:p>
            <w:pPr>
              <w:pStyle w:val="22"/>
              <w:bidi w:val="0"/>
              <w:jc w:val="center"/>
              <w:rPr>
                <w:color w:val="0000FF"/>
              </w:rPr>
            </w:pPr>
            <w:r>
              <w:rPr>
                <w:color w:val="0000FF"/>
              </w:rPr>
              <w:t>900-039-49</w:t>
            </w:r>
          </w:p>
        </w:tc>
        <w:tc>
          <w:tcPr>
            <w:tcW w:w="3327" w:type="dxa"/>
            <w:gridSpan w:val="2"/>
            <w:tcBorders>
              <w:tl2br w:val="nil"/>
              <w:tr2bl w:val="nil"/>
            </w:tcBorders>
            <w:vAlign w:val="center"/>
          </w:tcPr>
          <w:p>
            <w:pPr>
              <w:pStyle w:val="22"/>
              <w:bidi w:val="0"/>
              <w:jc w:val="center"/>
              <w:rPr>
                <w:color w:val="0000FF"/>
              </w:rPr>
            </w:pPr>
            <w:r>
              <w:rPr>
                <w:color w:val="0000FF"/>
              </w:rPr>
              <w:t>暂存于危废暂存间，委托有危废资</w:t>
            </w:r>
          </w:p>
          <w:p>
            <w:pPr>
              <w:pStyle w:val="22"/>
              <w:bidi w:val="0"/>
              <w:jc w:val="center"/>
              <w:rPr>
                <w:color w:val="0000FF"/>
              </w:rPr>
            </w:pPr>
            <w:r>
              <w:rPr>
                <w:color w:val="0000FF"/>
              </w:rPr>
              <w:t>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4</w:t>
            </w:r>
          </w:p>
        </w:tc>
        <w:tc>
          <w:tcPr>
            <w:tcW w:w="1515" w:type="dxa"/>
            <w:gridSpan w:val="2"/>
            <w:tcBorders>
              <w:tl2br w:val="nil"/>
              <w:tr2bl w:val="nil"/>
            </w:tcBorders>
            <w:vAlign w:val="center"/>
          </w:tcPr>
          <w:p>
            <w:pPr>
              <w:pStyle w:val="22"/>
              <w:bidi w:val="0"/>
              <w:jc w:val="center"/>
              <w:rPr>
                <w:color w:val="0000FF"/>
              </w:rPr>
            </w:pPr>
            <w:r>
              <w:rPr>
                <w:color w:val="0000FF"/>
              </w:rPr>
              <w:t>废离子交换树脂</w:t>
            </w:r>
          </w:p>
        </w:tc>
        <w:tc>
          <w:tcPr>
            <w:tcW w:w="774" w:type="dxa"/>
            <w:tcBorders>
              <w:tl2br w:val="nil"/>
              <w:tr2bl w:val="nil"/>
            </w:tcBorders>
            <w:vAlign w:val="center"/>
          </w:tcPr>
          <w:p>
            <w:pPr>
              <w:pStyle w:val="22"/>
              <w:bidi w:val="0"/>
              <w:jc w:val="center"/>
              <w:rPr>
                <w:color w:val="0000FF"/>
              </w:rPr>
            </w:pPr>
            <w:r>
              <w:rPr>
                <w:color w:val="0000FF"/>
              </w:rPr>
              <w:t>0.003</w:t>
            </w:r>
          </w:p>
        </w:tc>
        <w:tc>
          <w:tcPr>
            <w:tcW w:w="1208" w:type="dxa"/>
            <w:gridSpan w:val="2"/>
            <w:tcBorders>
              <w:tl2br w:val="nil"/>
              <w:tr2bl w:val="nil"/>
            </w:tcBorders>
            <w:vAlign w:val="center"/>
          </w:tcPr>
          <w:p>
            <w:pPr>
              <w:pStyle w:val="22"/>
              <w:bidi w:val="0"/>
              <w:jc w:val="center"/>
              <w:rPr>
                <w:color w:val="0000FF"/>
              </w:rPr>
            </w:pPr>
            <w:r>
              <w:rPr>
                <w:color w:val="0000FF"/>
              </w:rPr>
              <w:t>一般固废</w:t>
            </w:r>
          </w:p>
        </w:tc>
        <w:tc>
          <w:tcPr>
            <w:tcW w:w="1187" w:type="dxa"/>
            <w:gridSpan w:val="2"/>
            <w:tcBorders>
              <w:tl2br w:val="nil"/>
              <w:tr2bl w:val="nil"/>
            </w:tcBorders>
            <w:vAlign w:val="center"/>
          </w:tcPr>
          <w:p>
            <w:pPr>
              <w:pStyle w:val="22"/>
              <w:bidi w:val="0"/>
              <w:jc w:val="center"/>
              <w:rPr>
                <w:color w:val="0000FF"/>
              </w:rPr>
            </w:pPr>
            <w:r>
              <w:rPr>
                <w:color w:val="0000FF"/>
              </w:rPr>
              <w:t>——</w:t>
            </w:r>
          </w:p>
        </w:tc>
        <w:tc>
          <w:tcPr>
            <w:tcW w:w="3327" w:type="dxa"/>
            <w:gridSpan w:val="2"/>
            <w:tcBorders>
              <w:tl2br w:val="nil"/>
              <w:tr2bl w:val="nil"/>
            </w:tcBorders>
            <w:vAlign w:val="center"/>
          </w:tcPr>
          <w:p>
            <w:pPr>
              <w:pStyle w:val="22"/>
              <w:bidi w:val="0"/>
              <w:jc w:val="center"/>
              <w:rPr>
                <w:color w:val="0000FF"/>
              </w:rPr>
            </w:pPr>
            <w:r>
              <w:rPr>
                <w:color w:val="0000FF"/>
              </w:rPr>
              <w:t>经收集后由专门厂家回收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Before w:val="1"/>
          <w:wBefore w:w="8" w:type="dxa"/>
          <w:trHeight w:val="112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5</w:t>
            </w:r>
          </w:p>
        </w:tc>
        <w:tc>
          <w:tcPr>
            <w:tcW w:w="1515" w:type="dxa"/>
            <w:gridSpan w:val="2"/>
            <w:tcBorders>
              <w:tl2br w:val="nil"/>
              <w:tr2bl w:val="nil"/>
            </w:tcBorders>
            <w:vAlign w:val="center"/>
          </w:tcPr>
          <w:p>
            <w:pPr>
              <w:pStyle w:val="22"/>
              <w:bidi w:val="0"/>
              <w:jc w:val="center"/>
              <w:rPr>
                <w:color w:val="0000FF"/>
              </w:rPr>
            </w:pPr>
            <w:r>
              <w:rPr>
                <w:rFonts w:hint="eastAsia"/>
                <w:color w:val="0000FF"/>
                <w:lang w:val="en-US" w:eastAsia="zh-CN"/>
              </w:rPr>
              <w:t>水处理栅渣及污泥</w:t>
            </w:r>
          </w:p>
        </w:tc>
        <w:tc>
          <w:tcPr>
            <w:tcW w:w="774" w:type="dxa"/>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3</w:t>
            </w:r>
            <w:r>
              <w:rPr>
                <w:color w:val="0000FF"/>
              </w:rPr>
              <w:t>t/a</w:t>
            </w:r>
          </w:p>
        </w:tc>
        <w:tc>
          <w:tcPr>
            <w:tcW w:w="1208" w:type="dxa"/>
            <w:gridSpan w:val="2"/>
            <w:tcBorders>
              <w:tl2br w:val="nil"/>
              <w:tr2bl w:val="nil"/>
            </w:tcBorders>
            <w:vAlign w:val="center"/>
          </w:tcPr>
          <w:p>
            <w:pPr>
              <w:pStyle w:val="22"/>
              <w:bidi w:val="0"/>
              <w:jc w:val="center"/>
              <w:rPr>
                <w:color w:val="0000FF"/>
              </w:rPr>
            </w:pPr>
            <w:r>
              <w:rPr>
                <w:color w:val="0000FF"/>
              </w:rPr>
              <w:t>HW4</w:t>
            </w:r>
            <w:r>
              <w:rPr>
                <w:rFonts w:hint="eastAsia"/>
                <w:color w:val="0000FF"/>
                <w:lang w:val="en-US" w:eastAsia="zh-CN"/>
              </w:rPr>
              <w:t>9</w:t>
            </w:r>
            <w:r>
              <w:rPr>
                <w:color w:val="0000FF"/>
              </w:rPr>
              <w:t>其他非特定行业</w:t>
            </w:r>
          </w:p>
        </w:tc>
        <w:tc>
          <w:tcPr>
            <w:tcW w:w="1187" w:type="dxa"/>
            <w:gridSpan w:val="2"/>
            <w:tcBorders>
              <w:tl2br w:val="nil"/>
              <w:tr2bl w:val="nil"/>
            </w:tcBorders>
            <w:vAlign w:val="center"/>
          </w:tcPr>
          <w:p>
            <w:pPr>
              <w:pStyle w:val="22"/>
              <w:bidi w:val="0"/>
              <w:jc w:val="center"/>
              <w:rPr>
                <w:color w:val="0000FF"/>
              </w:rPr>
            </w:pPr>
            <w:r>
              <w:rPr>
                <w:color w:val="0000FF"/>
              </w:rPr>
              <w:t>900-053-49</w:t>
            </w:r>
          </w:p>
        </w:tc>
        <w:tc>
          <w:tcPr>
            <w:tcW w:w="3327" w:type="dxa"/>
            <w:gridSpan w:val="2"/>
            <w:tcBorders>
              <w:tl2br w:val="nil"/>
              <w:tr2bl w:val="nil"/>
            </w:tcBorders>
            <w:vAlign w:val="center"/>
          </w:tcPr>
          <w:p>
            <w:pPr>
              <w:pStyle w:val="22"/>
              <w:bidi w:val="0"/>
              <w:jc w:val="center"/>
              <w:rPr>
                <w:color w:val="0000FF"/>
              </w:rPr>
            </w:pPr>
            <w:r>
              <w:rPr>
                <w:color w:val="0000FF"/>
              </w:rPr>
              <w:t>消毒后，暂存于危废暂存间，委托有</w:t>
            </w:r>
          </w:p>
          <w:p>
            <w:pPr>
              <w:pStyle w:val="22"/>
              <w:bidi w:val="0"/>
              <w:jc w:val="center"/>
              <w:rPr>
                <w:color w:val="0000FF"/>
              </w:rPr>
            </w:pPr>
            <w:r>
              <w:rPr>
                <w:color w:val="0000FF"/>
              </w:rPr>
              <w:t>危废资质单位处理</w:t>
            </w:r>
          </w:p>
        </w:tc>
      </w:tr>
    </w:tbl>
    <w:p>
      <w:pPr>
        <w:pStyle w:val="22"/>
        <w:bidi w:val="0"/>
        <w:jc w:val="left"/>
        <w:rPr>
          <w:b w:val="0"/>
          <w:bCs w:val="0"/>
          <w:color w:val="0000FF"/>
        </w:rPr>
      </w:pPr>
      <w:r>
        <w:rPr>
          <w:b w:val="0"/>
          <w:bCs w:val="0"/>
          <w:color w:val="0000FF"/>
        </w:rPr>
        <w:t>备注：危废进行分类密闭收集后，分类堆存，暂存至危废暂存间，禁止将不相容（相互反应）的危险废物在同一容器内混装，各类危废应按性质不同分类进行贮存。</w:t>
      </w:r>
    </w:p>
    <w:p>
      <w:pPr>
        <w:pStyle w:val="6"/>
        <w:bidi w:val="0"/>
        <w:rPr>
          <w:color w:val="0000FF"/>
        </w:rPr>
      </w:pPr>
      <w:bookmarkStart w:id="70" w:name="_Toc13630"/>
      <w:r>
        <w:rPr>
          <w:color w:val="0000FF"/>
        </w:rPr>
        <w:t>3.4.5运营期“三废”产排情况汇总</w:t>
      </w:r>
      <w:bookmarkEnd w:id="70"/>
    </w:p>
    <w:p>
      <w:pPr>
        <w:rPr>
          <w:rFonts w:hint="default"/>
          <w:color w:val="0000FF"/>
          <w:lang w:val="en-US" w:eastAsia="zh-CN"/>
        </w:rPr>
        <w:sectPr>
          <w:footerReference r:id="rId10" w:type="default"/>
          <w:pgSz w:w="11906" w:h="16838"/>
          <w:pgMar w:top="1440" w:right="1800" w:bottom="1440" w:left="1800" w:header="1077"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2"/>
        <w:bidi w:val="0"/>
        <w:rPr>
          <w:b/>
          <w:bCs/>
          <w:color w:val="0000FF"/>
        </w:rPr>
      </w:pPr>
      <w:r>
        <w:rPr>
          <w:b/>
          <w:bCs/>
          <w:color w:val="0000FF"/>
        </w:rPr>
        <w:t>表3</w:t>
      </w:r>
      <w:r>
        <w:rPr>
          <w:rFonts w:hint="eastAsia"/>
          <w:b/>
          <w:bCs/>
          <w:color w:val="0000FF"/>
          <w:lang w:val="en-US" w:eastAsia="zh-CN"/>
        </w:rPr>
        <w:t>.4-9</w:t>
      </w:r>
      <w:r>
        <w:rPr>
          <w:b/>
          <w:bCs/>
          <w:color w:val="0000FF"/>
        </w:rPr>
        <w:t>本项目污染物产排情况汇总表</w:t>
      </w:r>
    </w:p>
    <w:tbl>
      <w:tblPr>
        <w:tblStyle w:val="23"/>
        <w:tblW w:w="1419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
        <w:gridCol w:w="1702"/>
        <w:gridCol w:w="1844"/>
        <w:gridCol w:w="1986"/>
        <w:gridCol w:w="5821"/>
        <w:gridCol w:w="2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22" w:type="dxa"/>
            <w:tcBorders>
              <w:tl2br w:val="nil"/>
              <w:tr2bl w:val="nil"/>
            </w:tcBorders>
            <w:vAlign w:val="center"/>
          </w:tcPr>
          <w:p>
            <w:pPr>
              <w:pStyle w:val="22"/>
              <w:bidi w:val="0"/>
              <w:jc w:val="center"/>
              <w:rPr>
                <w:color w:val="0000FF"/>
              </w:rPr>
            </w:pPr>
            <w:r>
              <w:rPr>
                <w:color w:val="0000FF"/>
              </w:rPr>
              <w:t>类型</w:t>
            </w:r>
          </w:p>
        </w:tc>
        <w:tc>
          <w:tcPr>
            <w:tcW w:w="1702" w:type="dxa"/>
            <w:tcBorders>
              <w:tl2br w:val="nil"/>
              <w:tr2bl w:val="nil"/>
            </w:tcBorders>
            <w:vAlign w:val="center"/>
          </w:tcPr>
          <w:p>
            <w:pPr>
              <w:pStyle w:val="22"/>
              <w:bidi w:val="0"/>
              <w:jc w:val="center"/>
              <w:rPr>
                <w:color w:val="0000FF"/>
              </w:rPr>
            </w:pPr>
            <w:r>
              <w:rPr>
                <w:color w:val="0000FF"/>
              </w:rPr>
              <w:t>污染源</w:t>
            </w:r>
          </w:p>
        </w:tc>
        <w:tc>
          <w:tcPr>
            <w:tcW w:w="1844" w:type="dxa"/>
            <w:tcBorders>
              <w:tl2br w:val="nil"/>
              <w:tr2bl w:val="nil"/>
            </w:tcBorders>
            <w:vAlign w:val="center"/>
          </w:tcPr>
          <w:p>
            <w:pPr>
              <w:pStyle w:val="22"/>
              <w:bidi w:val="0"/>
              <w:jc w:val="center"/>
              <w:rPr>
                <w:color w:val="0000FF"/>
              </w:rPr>
            </w:pPr>
            <w:r>
              <w:rPr>
                <w:color w:val="0000FF"/>
              </w:rPr>
              <w:t>污染物名称</w:t>
            </w:r>
          </w:p>
        </w:tc>
        <w:tc>
          <w:tcPr>
            <w:tcW w:w="1986" w:type="dxa"/>
            <w:tcBorders>
              <w:tl2br w:val="nil"/>
              <w:tr2bl w:val="nil"/>
            </w:tcBorders>
            <w:vAlign w:val="center"/>
          </w:tcPr>
          <w:p>
            <w:pPr>
              <w:pStyle w:val="22"/>
              <w:bidi w:val="0"/>
              <w:jc w:val="center"/>
              <w:rPr>
                <w:color w:val="0000FF"/>
              </w:rPr>
            </w:pPr>
            <w:r>
              <w:rPr>
                <w:color w:val="0000FF"/>
              </w:rPr>
              <w:t>产生浓度及产生量</w:t>
            </w:r>
          </w:p>
        </w:tc>
        <w:tc>
          <w:tcPr>
            <w:tcW w:w="5821" w:type="dxa"/>
            <w:tcBorders>
              <w:tl2br w:val="nil"/>
              <w:tr2bl w:val="nil"/>
            </w:tcBorders>
            <w:vAlign w:val="center"/>
          </w:tcPr>
          <w:p>
            <w:pPr>
              <w:pStyle w:val="22"/>
              <w:bidi w:val="0"/>
              <w:jc w:val="center"/>
              <w:rPr>
                <w:color w:val="0000FF"/>
              </w:rPr>
            </w:pPr>
            <w:r>
              <w:rPr>
                <w:color w:val="0000FF"/>
              </w:rPr>
              <w:t>措施</w:t>
            </w:r>
          </w:p>
        </w:tc>
        <w:tc>
          <w:tcPr>
            <w:tcW w:w="2023" w:type="dxa"/>
            <w:tcBorders>
              <w:tl2br w:val="nil"/>
              <w:tr2bl w:val="nil"/>
            </w:tcBorders>
            <w:vAlign w:val="center"/>
          </w:tcPr>
          <w:p>
            <w:pPr>
              <w:pStyle w:val="22"/>
              <w:bidi w:val="0"/>
              <w:jc w:val="center"/>
              <w:rPr>
                <w:color w:val="0000FF"/>
              </w:rPr>
            </w:pPr>
            <w:r>
              <w:rPr>
                <w:color w:val="0000FF"/>
              </w:rPr>
              <w:t>排放浓度及排放量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restart"/>
            <w:tcBorders>
              <w:tl2br w:val="nil"/>
              <w:tr2bl w:val="nil"/>
            </w:tcBorders>
            <w:vAlign w:val="center"/>
          </w:tcPr>
          <w:p>
            <w:pPr>
              <w:pStyle w:val="22"/>
              <w:bidi w:val="0"/>
              <w:jc w:val="center"/>
              <w:rPr>
                <w:color w:val="0000FF"/>
              </w:rPr>
            </w:pPr>
            <w:r>
              <w:rPr>
                <w:color w:val="0000FF"/>
              </w:rPr>
              <w:t>废气</w:t>
            </w:r>
          </w:p>
        </w:tc>
        <w:tc>
          <w:tcPr>
            <w:tcW w:w="1702"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消毒异味</w:t>
            </w:r>
          </w:p>
        </w:tc>
        <w:tc>
          <w:tcPr>
            <w:tcW w:w="1844" w:type="dxa"/>
            <w:tcBorders>
              <w:tl2br w:val="nil"/>
              <w:tr2bl w:val="nil"/>
            </w:tcBorders>
            <w:vAlign w:val="center"/>
          </w:tcPr>
          <w:p>
            <w:pPr>
              <w:pStyle w:val="22"/>
              <w:bidi w:val="0"/>
              <w:jc w:val="center"/>
              <w:rPr>
                <w:color w:val="0000FF"/>
              </w:rPr>
            </w:pPr>
          </w:p>
        </w:tc>
        <w:tc>
          <w:tcPr>
            <w:tcW w:w="1986"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少量</w:t>
            </w:r>
          </w:p>
        </w:tc>
        <w:tc>
          <w:tcPr>
            <w:tcW w:w="5821" w:type="dxa"/>
            <w:tcBorders>
              <w:tl2br w:val="nil"/>
              <w:tr2bl w:val="nil"/>
            </w:tcBorders>
            <w:vAlign w:val="center"/>
          </w:tcPr>
          <w:p>
            <w:pPr>
              <w:pStyle w:val="22"/>
              <w:bidi w:val="0"/>
              <w:jc w:val="center"/>
              <w:rPr>
                <w:color w:val="0000FF"/>
              </w:rPr>
            </w:pPr>
            <w:r>
              <w:rPr>
                <w:rFonts w:ascii="宋体" w:hAnsi="宋体" w:eastAsia="宋体" w:cs="宋体"/>
                <w:color w:val="0000FF"/>
                <w:spacing w:val="-2"/>
                <w:sz w:val="21"/>
                <w:szCs w:val="21"/>
              </w:rPr>
              <w:t>楼层内加强通风</w:t>
            </w:r>
          </w:p>
        </w:tc>
        <w:tc>
          <w:tcPr>
            <w:tcW w:w="2023" w:type="dxa"/>
            <w:tcBorders>
              <w:tl2br w:val="nil"/>
              <w:tr2bl w:val="nil"/>
            </w:tcBorders>
            <w:vAlign w:val="center"/>
          </w:tcPr>
          <w:p>
            <w:pPr>
              <w:pStyle w:val="22"/>
              <w:bidi w:val="0"/>
              <w:jc w:val="center"/>
              <w:rPr>
                <w:rFonts w:hint="eastAsia"/>
                <w:color w:val="0000FF"/>
                <w:lang w:val="en-US" w:eastAsia="zh-CN"/>
              </w:rPr>
            </w:pPr>
            <w:r>
              <w:rPr>
                <w:rFonts w:hint="eastAsia"/>
                <w:color w:val="0000FF"/>
                <w:lang w:val="en-US" w:eastAsia="zh-CN"/>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continue"/>
            <w:tcBorders>
              <w:tl2br w:val="nil"/>
              <w:tr2bl w:val="nil"/>
            </w:tcBorders>
            <w:vAlign w:val="center"/>
          </w:tcPr>
          <w:p>
            <w:pPr>
              <w:pStyle w:val="22"/>
              <w:bidi w:val="0"/>
              <w:jc w:val="center"/>
              <w:rPr>
                <w:color w:val="0000FF"/>
              </w:rPr>
            </w:pPr>
          </w:p>
        </w:tc>
        <w:tc>
          <w:tcPr>
            <w:tcW w:w="1702" w:type="dxa"/>
            <w:vMerge w:val="restart"/>
            <w:tcBorders>
              <w:tl2br w:val="nil"/>
              <w:tr2bl w:val="nil"/>
            </w:tcBorders>
            <w:vAlign w:val="center"/>
          </w:tcPr>
          <w:p>
            <w:pPr>
              <w:pStyle w:val="22"/>
              <w:bidi w:val="0"/>
              <w:jc w:val="center"/>
              <w:rPr>
                <w:color w:val="0000FF"/>
              </w:rPr>
            </w:pPr>
            <w:r>
              <w:rPr>
                <w:color w:val="0000FF"/>
              </w:rPr>
              <w:t>污水处理站</w:t>
            </w:r>
          </w:p>
        </w:tc>
        <w:tc>
          <w:tcPr>
            <w:tcW w:w="1844" w:type="dxa"/>
            <w:tcBorders>
              <w:tl2br w:val="nil"/>
              <w:tr2bl w:val="nil"/>
            </w:tcBorders>
            <w:vAlign w:val="center"/>
          </w:tcPr>
          <w:p>
            <w:pPr>
              <w:pStyle w:val="22"/>
              <w:bidi w:val="0"/>
              <w:jc w:val="center"/>
              <w:rPr>
                <w:color w:val="0000FF"/>
              </w:rPr>
            </w:pPr>
            <w:r>
              <w:rPr>
                <w:color w:val="0000FF"/>
              </w:rPr>
              <w:t>NH</w:t>
            </w:r>
            <w:r>
              <w:rPr>
                <w:color w:val="0000FF"/>
                <w:vertAlign w:val="subscript"/>
              </w:rPr>
              <w:t>3</w:t>
            </w:r>
          </w:p>
        </w:tc>
        <w:tc>
          <w:tcPr>
            <w:tcW w:w="1986" w:type="dxa"/>
            <w:tcBorders>
              <w:tl2br w:val="nil"/>
              <w:tr2bl w:val="nil"/>
            </w:tcBorders>
            <w:vAlign w:val="center"/>
          </w:tcPr>
          <w:p>
            <w:pPr>
              <w:pStyle w:val="22"/>
              <w:bidi w:val="0"/>
              <w:jc w:val="center"/>
              <w:rPr>
                <w:color w:val="0000FF"/>
              </w:rPr>
            </w:pPr>
            <w:r>
              <w:rPr>
                <w:rFonts w:hint="eastAsia"/>
                <w:color w:val="0000FF"/>
                <w:lang w:val="en-US" w:eastAsia="zh-CN"/>
              </w:rPr>
              <w:t>0.248</w:t>
            </w:r>
            <w:r>
              <w:rPr>
                <w:color w:val="0000FF"/>
              </w:rPr>
              <w:t>kg/a</w:t>
            </w:r>
          </w:p>
        </w:tc>
        <w:tc>
          <w:tcPr>
            <w:tcW w:w="5821" w:type="dxa"/>
            <w:vMerge w:val="restart"/>
            <w:tcBorders>
              <w:tl2br w:val="nil"/>
              <w:tr2bl w:val="nil"/>
            </w:tcBorders>
            <w:vAlign w:val="center"/>
          </w:tcPr>
          <w:p>
            <w:pPr>
              <w:pStyle w:val="22"/>
              <w:bidi w:val="0"/>
              <w:jc w:val="center"/>
              <w:rPr>
                <w:color w:val="0000FF"/>
              </w:rPr>
            </w:pPr>
            <w:r>
              <w:rPr>
                <w:color w:val="0000FF"/>
              </w:rPr>
              <w:t>污水处理设施及构筑物均进行密闭，各部分产生的废气经集中收集后通过活性炭吸附后排放</w:t>
            </w:r>
          </w:p>
        </w:tc>
        <w:tc>
          <w:tcPr>
            <w:tcW w:w="2023" w:type="dxa"/>
            <w:tcBorders>
              <w:tl2br w:val="nil"/>
              <w:tr2bl w:val="nil"/>
            </w:tcBorders>
            <w:vAlign w:val="center"/>
          </w:tcPr>
          <w:p>
            <w:pPr>
              <w:pStyle w:val="22"/>
              <w:bidi w:val="0"/>
              <w:jc w:val="center"/>
              <w:rPr>
                <w:color w:val="0000FF"/>
              </w:rPr>
            </w:pPr>
            <w:r>
              <w:rPr>
                <w:rFonts w:hint="eastAsia"/>
                <w:color w:val="0000FF"/>
                <w:lang w:val="en-US" w:eastAsia="zh-CN"/>
              </w:rPr>
              <w:t>0.05</w:t>
            </w:r>
            <w:r>
              <w:rPr>
                <w:color w:val="0000FF"/>
              </w:rPr>
              <w:t>kg/a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22" w:type="dxa"/>
            <w:vMerge w:val="continue"/>
            <w:tcBorders>
              <w:tl2br w:val="nil"/>
              <w:tr2bl w:val="nil"/>
            </w:tcBorders>
            <w:vAlign w:val="center"/>
          </w:tcPr>
          <w:p>
            <w:pPr>
              <w:pStyle w:val="22"/>
              <w:bidi w:val="0"/>
              <w:jc w:val="center"/>
              <w:rPr>
                <w:color w:val="0000FF"/>
              </w:rPr>
            </w:pPr>
          </w:p>
        </w:tc>
        <w:tc>
          <w:tcPr>
            <w:tcW w:w="1702" w:type="dxa"/>
            <w:vMerge w:val="continue"/>
            <w:tcBorders>
              <w:tl2br w:val="nil"/>
              <w:tr2bl w:val="nil"/>
            </w:tcBorders>
            <w:vAlign w:val="center"/>
          </w:tcPr>
          <w:p>
            <w:pPr>
              <w:pStyle w:val="22"/>
              <w:bidi w:val="0"/>
              <w:jc w:val="center"/>
              <w:rPr>
                <w:color w:val="0000FF"/>
              </w:rPr>
            </w:pPr>
          </w:p>
        </w:tc>
        <w:tc>
          <w:tcPr>
            <w:tcW w:w="1844" w:type="dxa"/>
            <w:tcBorders>
              <w:tl2br w:val="nil"/>
              <w:tr2bl w:val="nil"/>
            </w:tcBorders>
            <w:vAlign w:val="center"/>
          </w:tcPr>
          <w:p>
            <w:pPr>
              <w:pStyle w:val="22"/>
              <w:bidi w:val="0"/>
              <w:jc w:val="center"/>
              <w:rPr>
                <w:color w:val="0000FF"/>
              </w:rPr>
            </w:pPr>
            <w:r>
              <w:rPr>
                <w:color w:val="0000FF"/>
              </w:rPr>
              <w:t>H</w:t>
            </w:r>
            <w:r>
              <w:rPr>
                <w:color w:val="0000FF"/>
                <w:vertAlign w:val="subscript"/>
              </w:rPr>
              <w:t>2</w:t>
            </w:r>
            <w:r>
              <w:rPr>
                <w:color w:val="0000FF"/>
              </w:rPr>
              <w:t>S</w:t>
            </w:r>
          </w:p>
        </w:tc>
        <w:tc>
          <w:tcPr>
            <w:tcW w:w="1986" w:type="dxa"/>
            <w:tcBorders>
              <w:tl2br w:val="nil"/>
              <w:tr2bl w:val="nil"/>
            </w:tcBorders>
            <w:vAlign w:val="center"/>
          </w:tcPr>
          <w:p>
            <w:pPr>
              <w:pStyle w:val="22"/>
              <w:bidi w:val="0"/>
              <w:jc w:val="center"/>
              <w:rPr>
                <w:color w:val="0000FF"/>
              </w:rPr>
            </w:pPr>
            <w:r>
              <w:rPr>
                <w:rFonts w:hint="eastAsia"/>
                <w:color w:val="0000FF"/>
                <w:lang w:val="en-US" w:eastAsia="zh-CN"/>
              </w:rPr>
              <w:t>0.0096</w:t>
            </w:r>
            <w:r>
              <w:rPr>
                <w:color w:val="0000FF"/>
              </w:rPr>
              <w:t>kg/a</w:t>
            </w:r>
          </w:p>
        </w:tc>
        <w:tc>
          <w:tcPr>
            <w:tcW w:w="5821" w:type="dxa"/>
            <w:vMerge w:val="continue"/>
            <w:tcBorders>
              <w:tl2br w:val="nil"/>
              <w:tr2bl w:val="nil"/>
            </w:tcBorders>
            <w:vAlign w:val="center"/>
          </w:tcPr>
          <w:p>
            <w:pPr>
              <w:pStyle w:val="22"/>
              <w:bidi w:val="0"/>
              <w:jc w:val="center"/>
              <w:rPr>
                <w:color w:val="0000FF"/>
              </w:rPr>
            </w:pPr>
          </w:p>
        </w:tc>
        <w:tc>
          <w:tcPr>
            <w:tcW w:w="2023" w:type="dxa"/>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002</w:t>
            </w:r>
            <w:r>
              <w:rPr>
                <w:color w:val="0000FF"/>
              </w:rPr>
              <w:t>kg/a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9" w:hRule="atLeast"/>
        </w:trPr>
        <w:tc>
          <w:tcPr>
            <w:tcW w:w="822" w:type="dxa"/>
            <w:vMerge w:val="continue"/>
            <w:tcBorders>
              <w:tl2br w:val="nil"/>
              <w:tr2bl w:val="nil"/>
            </w:tcBorders>
            <w:vAlign w:val="center"/>
          </w:tcPr>
          <w:p>
            <w:pPr>
              <w:pStyle w:val="22"/>
              <w:bidi w:val="0"/>
              <w:jc w:val="center"/>
              <w:rPr>
                <w:color w:val="0000FF"/>
              </w:rPr>
            </w:pPr>
          </w:p>
        </w:tc>
        <w:tc>
          <w:tcPr>
            <w:tcW w:w="1702" w:type="dxa"/>
            <w:tcBorders>
              <w:tl2br w:val="nil"/>
              <w:tr2bl w:val="nil"/>
            </w:tcBorders>
            <w:vAlign w:val="center"/>
          </w:tcPr>
          <w:p>
            <w:pPr>
              <w:pStyle w:val="22"/>
              <w:bidi w:val="0"/>
              <w:jc w:val="center"/>
              <w:rPr>
                <w:color w:val="0000FF"/>
              </w:rPr>
            </w:pPr>
            <w:r>
              <w:rPr>
                <w:color w:val="0000FF"/>
              </w:rPr>
              <w:t>实验室</w:t>
            </w:r>
          </w:p>
        </w:tc>
        <w:tc>
          <w:tcPr>
            <w:tcW w:w="1844" w:type="dxa"/>
            <w:tcBorders>
              <w:tl2br w:val="nil"/>
              <w:tr2bl w:val="nil"/>
            </w:tcBorders>
            <w:vAlign w:val="center"/>
          </w:tcPr>
          <w:p>
            <w:pPr>
              <w:pStyle w:val="22"/>
              <w:bidi w:val="0"/>
              <w:jc w:val="center"/>
              <w:rPr>
                <w:color w:val="0000FF"/>
              </w:rPr>
            </w:pPr>
            <w:r>
              <w:rPr>
                <w:color w:val="0000FF"/>
              </w:rPr>
              <w:t>酸碱试剂、有机试剂、病原微生物等</w:t>
            </w:r>
          </w:p>
        </w:tc>
        <w:tc>
          <w:tcPr>
            <w:tcW w:w="1986" w:type="dxa"/>
            <w:tcBorders>
              <w:tl2br w:val="nil"/>
              <w:tr2bl w:val="nil"/>
            </w:tcBorders>
            <w:vAlign w:val="center"/>
          </w:tcPr>
          <w:p>
            <w:pPr>
              <w:pStyle w:val="22"/>
              <w:bidi w:val="0"/>
              <w:jc w:val="center"/>
              <w:rPr>
                <w:color w:val="0000FF"/>
              </w:rPr>
            </w:pPr>
            <w:r>
              <w:rPr>
                <w:color w:val="0000FF"/>
              </w:rPr>
              <w:t>微量</w:t>
            </w:r>
          </w:p>
        </w:tc>
        <w:tc>
          <w:tcPr>
            <w:tcW w:w="5821" w:type="dxa"/>
            <w:tcBorders>
              <w:tl2br w:val="nil"/>
              <w:tr2bl w:val="nil"/>
            </w:tcBorders>
            <w:vAlign w:val="center"/>
          </w:tcPr>
          <w:p>
            <w:pPr>
              <w:pStyle w:val="22"/>
              <w:bidi w:val="0"/>
              <w:jc w:val="center"/>
              <w:rPr>
                <w:color w:val="0000FF"/>
              </w:rPr>
            </w:pPr>
            <w:r>
              <w:rPr>
                <w:color w:val="0000FF"/>
              </w:rPr>
              <w:t>理化实验室</w:t>
            </w:r>
            <w:r>
              <w:rPr>
                <w:rFonts w:hint="eastAsia"/>
                <w:color w:val="0000FF"/>
                <w:lang w:val="en-US" w:eastAsia="zh-CN"/>
              </w:rPr>
              <w:t>废气</w:t>
            </w:r>
            <w:r>
              <w:rPr>
                <w:color w:val="0000FF"/>
              </w:rPr>
              <w:t>集气罩收集，</w:t>
            </w:r>
            <w:r>
              <w:rPr>
                <w:rFonts w:hint="eastAsia"/>
                <w:color w:val="0000FF"/>
                <w:lang w:val="en-US" w:eastAsia="zh-CN"/>
              </w:rPr>
              <w:t>经</w:t>
            </w:r>
            <w:r>
              <w:rPr>
                <w:color w:val="0000FF"/>
              </w:rPr>
              <w:t>活性炭吸附后</w:t>
            </w:r>
            <w:r>
              <w:rPr>
                <w:rFonts w:hint="eastAsia"/>
                <w:color w:val="0000FF"/>
                <w:lang w:val="en-US" w:eastAsia="zh-CN"/>
              </w:rPr>
              <w:t>通过专用电控风道引至屋顶排放；</w:t>
            </w:r>
          </w:p>
          <w:p>
            <w:pPr>
              <w:pStyle w:val="22"/>
              <w:bidi w:val="0"/>
              <w:jc w:val="center"/>
              <w:rPr>
                <w:color w:val="0000FF"/>
              </w:rPr>
            </w:pPr>
            <w:r>
              <w:rPr>
                <w:color w:val="0000FF"/>
              </w:rPr>
              <w:t>微生物实验室均设置生物安全柜，所有涉及病原微生物的操作均在生物安全柜中进行，可能含有病原微生物的气溶胶只有从其上部的排风口经高效过滤后外排，实验室排风系统均设置高效过滤器，实验室内气体经室内高效过滤器处理后通过专用排气筒送至楼顶排放。</w:t>
            </w:r>
          </w:p>
        </w:tc>
        <w:tc>
          <w:tcPr>
            <w:tcW w:w="2023" w:type="dxa"/>
            <w:tcBorders>
              <w:tl2br w:val="nil"/>
              <w:tr2bl w:val="nil"/>
            </w:tcBorders>
            <w:vAlign w:val="center"/>
          </w:tcPr>
          <w:p>
            <w:pPr>
              <w:pStyle w:val="22"/>
              <w:bidi w:val="0"/>
              <w:jc w:val="center"/>
              <w:rPr>
                <w:color w:val="0000FF"/>
              </w:rPr>
            </w:pPr>
            <w:r>
              <w:rPr>
                <w:color w:val="0000FF"/>
              </w:rPr>
              <w:t>微量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22" w:type="dxa"/>
            <w:vMerge w:val="continue"/>
            <w:tcBorders>
              <w:tl2br w:val="nil"/>
              <w:tr2bl w:val="nil"/>
            </w:tcBorders>
            <w:vAlign w:val="center"/>
          </w:tcPr>
          <w:p>
            <w:pPr>
              <w:pStyle w:val="22"/>
              <w:bidi w:val="0"/>
              <w:jc w:val="center"/>
              <w:rPr>
                <w:color w:val="0000FF"/>
              </w:rPr>
            </w:pPr>
          </w:p>
        </w:tc>
        <w:tc>
          <w:tcPr>
            <w:tcW w:w="1702" w:type="dxa"/>
            <w:tcBorders>
              <w:tl2br w:val="nil"/>
              <w:tr2bl w:val="nil"/>
            </w:tcBorders>
            <w:vAlign w:val="center"/>
          </w:tcPr>
          <w:p>
            <w:pPr>
              <w:pStyle w:val="22"/>
              <w:bidi w:val="0"/>
              <w:jc w:val="center"/>
              <w:rPr>
                <w:color w:val="0000FF"/>
              </w:rPr>
            </w:pPr>
            <w:r>
              <w:rPr>
                <w:color w:val="0000FF"/>
              </w:rPr>
              <w:t>医疗废物暂存间</w:t>
            </w:r>
          </w:p>
        </w:tc>
        <w:tc>
          <w:tcPr>
            <w:tcW w:w="1844" w:type="dxa"/>
            <w:tcBorders>
              <w:tl2br w:val="nil"/>
              <w:tr2bl w:val="nil"/>
            </w:tcBorders>
            <w:vAlign w:val="center"/>
          </w:tcPr>
          <w:p>
            <w:pPr>
              <w:pStyle w:val="22"/>
              <w:bidi w:val="0"/>
              <w:jc w:val="center"/>
              <w:rPr>
                <w:color w:val="0000FF"/>
              </w:rPr>
            </w:pPr>
            <w:r>
              <w:rPr>
                <w:color w:val="0000FF"/>
              </w:rPr>
              <w:t>臭气</w:t>
            </w:r>
          </w:p>
        </w:tc>
        <w:tc>
          <w:tcPr>
            <w:tcW w:w="1986" w:type="dxa"/>
            <w:tcBorders>
              <w:tl2br w:val="nil"/>
              <w:tr2bl w:val="nil"/>
            </w:tcBorders>
            <w:vAlign w:val="center"/>
          </w:tcPr>
          <w:p>
            <w:pPr>
              <w:pStyle w:val="22"/>
              <w:bidi w:val="0"/>
              <w:jc w:val="center"/>
              <w:rPr>
                <w:color w:val="0000FF"/>
              </w:rPr>
            </w:pPr>
            <w:r>
              <w:rPr>
                <w:color w:val="0000FF"/>
              </w:rPr>
              <w:t>微量</w:t>
            </w:r>
          </w:p>
        </w:tc>
        <w:tc>
          <w:tcPr>
            <w:tcW w:w="5821" w:type="dxa"/>
            <w:tcBorders>
              <w:tl2br w:val="nil"/>
              <w:tr2bl w:val="nil"/>
            </w:tcBorders>
            <w:vAlign w:val="center"/>
          </w:tcPr>
          <w:p>
            <w:pPr>
              <w:pStyle w:val="22"/>
              <w:bidi w:val="0"/>
              <w:jc w:val="center"/>
              <w:rPr>
                <w:color w:val="0000FF"/>
              </w:rPr>
            </w:pPr>
            <w:r>
              <w:rPr>
                <w:color w:val="0000FF"/>
              </w:rPr>
              <w:t>暂存间有严密的封闭措施，消毒处理后通过排气扇将暂存间废气排出</w:t>
            </w:r>
          </w:p>
        </w:tc>
        <w:tc>
          <w:tcPr>
            <w:tcW w:w="2023" w:type="dxa"/>
            <w:tcBorders>
              <w:tl2br w:val="nil"/>
              <w:tr2bl w:val="nil"/>
            </w:tcBorders>
            <w:vAlign w:val="center"/>
          </w:tcPr>
          <w:p>
            <w:pPr>
              <w:pStyle w:val="22"/>
              <w:bidi w:val="0"/>
              <w:jc w:val="center"/>
              <w:rPr>
                <w:color w:val="0000FF"/>
              </w:rPr>
            </w:pPr>
            <w:r>
              <w:rPr>
                <w:color w:val="0000FF"/>
              </w:rPr>
              <w:t>微量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0" w:hRule="atLeast"/>
        </w:trPr>
        <w:tc>
          <w:tcPr>
            <w:tcW w:w="822" w:type="dxa"/>
            <w:vMerge w:val="restart"/>
            <w:tcBorders>
              <w:tl2br w:val="nil"/>
              <w:tr2bl w:val="nil"/>
            </w:tcBorders>
            <w:vAlign w:val="center"/>
          </w:tcPr>
          <w:p>
            <w:pPr>
              <w:pStyle w:val="22"/>
              <w:bidi w:val="0"/>
              <w:jc w:val="center"/>
              <w:rPr>
                <w:color w:val="0000FF"/>
              </w:rPr>
            </w:pPr>
            <w:r>
              <w:rPr>
                <w:color w:val="0000FF"/>
              </w:rPr>
              <w:t>废水</w:t>
            </w:r>
          </w:p>
        </w:tc>
        <w:tc>
          <w:tcPr>
            <w:tcW w:w="1702" w:type="dxa"/>
            <w:vMerge w:val="restart"/>
            <w:tcBorders>
              <w:tl2br w:val="nil"/>
              <w:tr2bl w:val="nil"/>
            </w:tcBorders>
            <w:vAlign w:val="center"/>
          </w:tcPr>
          <w:p>
            <w:pPr>
              <w:pStyle w:val="22"/>
              <w:bidi w:val="0"/>
              <w:jc w:val="center"/>
              <w:rPr>
                <w:color w:val="0000FF"/>
              </w:rPr>
            </w:pPr>
            <w:r>
              <w:rPr>
                <w:color w:val="0000FF"/>
              </w:rPr>
              <w:t>办公楼生活污水</w:t>
            </w:r>
          </w:p>
        </w:tc>
        <w:tc>
          <w:tcPr>
            <w:tcW w:w="1844" w:type="dxa"/>
            <w:vMerge w:val="restart"/>
            <w:tcBorders>
              <w:tl2br w:val="nil"/>
              <w:tr2bl w:val="nil"/>
            </w:tcBorders>
            <w:vAlign w:val="center"/>
          </w:tcPr>
          <w:p>
            <w:pPr>
              <w:pStyle w:val="22"/>
              <w:bidi w:val="0"/>
              <w:jc w:val="both"/>
              <w:rPr>
                <w:rFonts w:hint="eastAsia" w:eastAsia="宋体"/>
                <w:color w:val="0000FF"/>
                <w:lang w:eastAsia="zh-CN"/>
              </w:rPr>
            </w:pPr>
            <w:r>
              <w:rPr>
                <w:color w:val="0000FF"/>
              </w:rPr>
              <w:t>COD</w:t>
            </w:r>
            <w:r>
              <w:rPr>
                <w:rFonts w:hint="eastAsia"/>
                <w:color w:val="0000FF"/>
                <w:lang w:eastAsia="zh-CN"/>
              </w:rPr>
              <w:t>、</w:t>
            </w:r>
            <w:r>
              <w:rPr>
                <w:color w:val="0000FF"/>
              </w:rPr>
              <w:t>BOD</w:t>
            </w:r>
            <w:r>
              <w:rPr>
                <w:color w:val="0000FF"/>
                <w:vertAlign w:val="subscript"/>
              </w:rPr>
              <w:t>5</w:t>
            </w:r>
            <w:r>
              <w:rPr>
                <w:rFonts w:hint="eastAsia"/>
                <w:color w:val="0000FF"/>
                <w:lang w:eastAsia="zh-CN"/>
              </w:rPr>
              <w:t>、</w:t>
            </w:r>
            <w:r>
              <w:rPr>
                <w:color w:val="0000FF"/>
              </w:rPr>
              <w:t>SS</w:t>
            </w:r>
            <w:r>
              <w:rPr>
                <w:rFonts w:hint="eastAsia"/>
                <w:color w:val="0000FF"/>
                <w:lang w:eastAsia="zh-CN"/>
              </w:rPr>
              <w:t>、</w:t>
            </w:r>
          </w:p>
          <w:p>
            <w:pPr>
              <w:pStyle w:val="22"/>
              <w:bidi w:val="0"/>
              <w:jc w:val="center"/>
              <w:rPr>
                <w:color w:val="0000FF"/>
              </w:rPr>
            </w:pPr>
            <w:r>
              <w:rPr>
                <w:color w:val="0000FF"/>
              </w:rPr>
              <w:t>NH</w:t>
            </w:r>
            <w:r>
              <w:rPr>
                <w:color w:val="0000FF"/>
                <w:vertAlign w:val="subscript"/>
              </w:rPr>
              <w:t>3</w:t>
            </w:r>
            <w:r>
              <w:rPr>
                <w:color w:val="0000FF"/>
              </w:rPr>
              <w:t>-N</w:t>
            </w:r>
          </w:p>
        </w:tc>
        <w:tc>
          <w:tcPr>
            <w:tcW w:w="1986" w:type="dxa"/>
            <w:tcBorders>
              <w:tl2br w:val="nil"/>
              <w:tr2bl w:val="nil"/>
            </w:tcBorders>
            <w:vAlign w:val="center"/>
          </w:tcPr>
          <w:p>
            <w:pPr>
              <w:pStyle w:val="22"/>
              <w:bidi w:val="0"/>
              <w:jc w:val="center"/>
              <w:rPr>
                <w:color w:val="0000FF"/>
              </w:rPr>
            </w:pPr>
            <w:r>
              <w:rPr>
                <w:rFonts w:hint="eastAsia"/>
                <w:color w:val="0000FF"/>
                <w:lang w:val="en-US" w:eastAsia="zh-CN"/>
              </w:rPr>
              <w:t>48</w:t>
            </w:r>
            <w:r>
              <w:rPr>
                <w:rFonts w:ascii="Times New Roman" w:hAnsi="Times New Roman" w:eastAsia="Times New Roman" w:cs="Times New Roman"/>
                <w:color w:val="0000FF"/>
                <w:spacing w:val="-2"/>
                <w:sz w:val="21"/>
                <w:szCs w:val="21"/>
              </w:rPr>
              <w:t>m</w:t>
            </w:r>
            <w:r>
              <w:rPr>
                <w:rFonts w:ascii="Times New Roman" w:hAnsi="Times New Roman" w:eastAsia="Times New Roman" w:cs="Times New Roman"/>
                <w:color w:val="0000FF"/>
                <w:spacing w:val="-2"/>
                <w:position w:val="6"/>
                <w:sz w:val="14"/>
                <w:szCs w:val="14"/>
              </w:rPr>
              <w:t>3</w:t>
            </w:r>
            <w:r>
              <w:rPr>
                <w:rFonts w:ascii="Times New Roman" w:hAnsi="Times New Roman" w:eastAsia="Times New Roman" w:cs="Times New Roman"/>
                <w:color w:val="0000FF"/>
                <w:spacing w:val="-2"/>
                <w:sz w:val="21"/>
                <w:szCs w:val="21"/>
              </w:rPr>
              <w:t>/a</w:t>
            </w:r>
          </w:p>
        </w:tc>
        <w:tc>
          <w:tcPr>
            <w:tcW w:w="5821" w:type="dxa"/>
            <w:vMerge w:val="restart"/>
            <w:tcBorders>
              <w:tl2br w:val="nil"/>
              <w:tr2bl w:val="nil"/>
            </w:tcBorders>
            <w:vAlign w:val="center"/>
          </w:tcPr>
          <w:p>
            <w:pPr>
              <w:pStyle w:val="22"/>
              <w:bidi w:val="0"/>
              <w:jc w:val="center"/>
              <w:rPr>
                <w:color w:val="0000FF"/>
              </w:rPr>
            </w:pPr>
            <w:r>
              <w:rPr>
                <w:color w:val="0000FF"/>
              </w:rPr>
              <w:t>化粪池处理</w:t>
            </w:r>
          </w:p>
        </w:tc>
        <w:tc>
          <w:tcPr>
            <w:tcW w:w="2023" w:type="dxa"/>
            <w:vMerge w:val="restart"/>
            <w:tcBorders>
              <w:tl2br w:val="nil"/>
              <w:tr2bl w:val="nil"/>
            </w:tcBorders>
            <w:vAlign w:val="center"/>
          </w:tcPr>
          <w:p>
            <w:pPr>
              <w:pStyle w:val="22"/>
              <w:bidi w:val="0"/>
              <w:jc w:val="center"/>
              <w:rPr>
                <w:color w:val="0000FF"/>
              </w:rPr>
            </w:pPr>
            <w:r>
              <w:rPr>
                <w:rFonts w:hint="eastAsia"/>
                <w:color w:val="0000FF"/>
                <w:lang w:val="en-US" w:eastAsia="zh-CN"/>
              </w:rPr>
              <w:t>48</w:t>
            </w:r>
            <w:r>
              <w:rPr>
                <w:rFonts w:ascii="Times New Roman" w:hAnsi="Times New Roman" w:eastAsia="Times New Roman" w:cs="Times New Roman"/>
                <w:color w:val="0000FF"/>
                <w:spacing w:val="-2"/>
                <w:sz w:val="21"/>
                <w:szCs w:val="21"/>
              </w:rPr>
              <w:t>m</w:t>
            </w:r>
            <w:r>
              <w:rPr>
                <w:rFonts w:ascii="Times New Roman" w:hAnsi="Times New Roman" w:eastAsia="Times New Roman" w:cs="Times New Roman"/>
                <w:color w:val="0000FF"/>
                <w:spacing w:val="-2"/>
                <w:position w:val="6"/>
                <w:sz w:val="14"/>
                <w:szCs w:val="14"/>
              </w:rPr>
              <w:t>3</w:t>
            </w:r>
            <w:r>
              <w:rPr>
                <w:rFonts w:ascii="Times New Roman" w:hAnsi="Times New Roman" w:eastAsia="Times New Roman" w:cs="Times New Roman"/>
                <w:color w:val="0000FF"/>
                <w:spacing w:val="-2"/>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822" w:type="dxa"/>
            <w:vMerge w:val="continue"/>
            <w:tcBorders>
              <w:tl2br w:val="nil"/>
              <w:tr2bl w:val="nil"/>
            </w:tcBorders>
            <w:vAlign w:val="center"/>
          </w:tcPr>
          <w:p>
            <w:pPr>
              <w:pStyle w:val="22"/>
              <w:bidi w:val="0"/>
              <w:jc w:val="center"/>
              <w:rPr>
                <w:color w:val="0000FF"/>
              </w:rPr>
            </w:pPr>
          </w:p>
        </w:tc>
        <w:tc>
          <w:tcPr>
            <w:tcW w:w="1702" w:type="dxa"/>
            <w:tcBorders>
              <w:tl2br w:val="nil"/>
              <w:tr2bl w:val="nil"/>
            </w:tcBorders>
            <w:vAlign w:val="center"/>
          </w:tcPr>
          <w:p>
            <w:pPr>
              <w:pStyle w:val="22"/>
              <w:bidi w:val="0"/>
              <w:jc w:val="center"/>
              <w:rPr>
                <w:rFonts w:hint="eastAsia" w:eastAsia="宋体"/>
                <w:color w:val="0000FF"/>
                <w:lang w:eastAsia="zh-CN"/>
              </w:rPr>
            </w:pPr>
            <w:r>
              <w:rPr>
                <w:color w:val="0000FF"/>
              </w:rPr>
              <w:t>纯水制备浓水</w:t>
            </w:r>
            <w:r>
              <w:rPr>
                <w:rFonts w:hint="eastAsia"/>
                <w:color w:val="0000FF"/>
                <w:lang w:eastAsia="zh-CN"/>
              </w:rPr>
              <w:t>、</w:t>
            </w:r>
          </w:p>
          <w:p>
            <w:pPr>
              <w:pStyle w:val="22"/>
              <w:bidi w:val="0"/>
              <w:jc w:val="center"/>
              <w:rPr>
                <w:color w:val="0000FF"/>
              </w:rPr>
            </w:pPr>
            <w:r>
              <w:rPr>
                <w:color w:val="0000FF"/>
              </w:rPr>
              <w:t>微生物实验室废</w:t>
            </w:r>
          </w:p>
          <w:p>
            <w:pPr>
              <w:pStyle w:val="22"/>
              <w:bidi w:val="0"/>
              <w:jc w:val="center"/>
              <w:rPr>
                <w:color w:val="0000FF"/>
              </w:rPr>
            </w:pPr>
            <w:r>
              <w:rPr>
                <w:color w:val="0000FF"/>
              </w:rPr>
              <w:t>水</w:t>
            </w:r>
            <w:r>
              <w:rPr>
                <w:rFonts w:hint="eastAsia"/>
                <w:color w:val="0000FF"/>
                <w:lang w:eastAsia="zh-CN"/>
              </w:rPr>
              <w:t>、</w:t>
            </w:r>
            <w:r>
              <w:rPr>
                <w:color w:val="0000FF"/>
              </w:rPr>
              <w:t>理化实验室废水</w:t>
            </w:r>
          </w:p>
        </w:tc>
        <w:tc>
          <w:tcPr>
            <w:tcW w:w="1844" w:type="dxa"/>
            <w:tcBorders>
              <w:tl2br w:val="nil"/>
              <w:tr2bl w:val="nil"/>
            </w:tcBorders>
            <w:vAlign w:val="center"/>
          </w:tcPr>
          <w:p>
            <w:pPr>
              <w:pStyle w:val="22"/>
              <w:bidi w:val="0"/>
              <w:jc w:val="both"/>
              <w:rPr>
                <w:color w:val="0000FF"/>
              </w:rPr>
            </w:pPr>
            <w:r>
              <w:rPr>
                <w:color w:val="0000FF"/>
              </w:rPr>
              <w:t>全盐类</w:t>
            </w:r>
            <w:r>
              <w:rPr>
                <w:rFonts w:hint="eastAsia"/>
                <w:color w:val="0000FF"/>
                <w:lang w:eastAsia="zh-CN"/>
              </w:rPr>
              <w:t>、</w:t>
            </w:r>
            <w:r>
              <w:rPr>
                <w:color w:val="0000FF"/>
              </w:rPr>
              <w:t>COD</w:t>
            </w:r>
            <w:r>
              <w:rPr>
                <w:rFonts w:hint="eastAsia"/>
                <w:color w:val="0000FF"/>
                <w:lang w:eastAsia="zh-CN"/>
              </w:rPr>
              <w:t>、</w:t>
            </w:r>
            <w:r>
              <w:rPr>
                <w:color w:val="0000FF"/>
              </w:rPr>
              <w:t>BOD</w:t>
            </w:r>
            <w:r>
              <w:rPr>
                <w:color w:val="0000FF"/>
                <w:vertAlign w:val="subscript"/>
              </w:rPr>
              <w:t>5</w:t>
            </w:r>
          </w:p>
          <w:p>
            <w:pPr>
              <w:pStyle w:val="22"/>
              <w:bidi w:val="0"/>
              <w:jc w:val="center"/>
              <w:rPr>
                <w:color w:val="0000FF"/>
              </w:rPr>
            </w:pPr>
            <w:r>
              <w:rPr>
                <w:color w:val="0000FF"/>
              </w:rPr>
              <w:t>SS</w:t>
            </w:r>
            <w:r>
              <w:rPr>
                <w:rFonts w:hint="eastAsia"/>
                <w:color w:val="0000FF"/>
                <w:lang w:eastAsia="zh-CN"/>
              </w:rPr>
              <w:t>、</w:t>
            </w:r>
            <w:r>
              <w:rPr>
                <w:color w:val="0000FF"/>
              </w:rPr>
              <w:t>NH</w:t>
            </w:r>
            <w:r>
              <w:rPr>
                <w:color w:val="0000FF"/>
                <w:vertAlign w:val="subscript"/>
              </w:rPr>
              <w:t>3</w:t>
            </w:r>
            <w:r>
              <w:rPr>
                <w:color w:val="0000FF"/>
              </w:rPr>
              <w:t>-N</w:t>
            </w:r>
          </w:p>
          <w:p>
            <w:pPr>
              <w:pStyle w:val="22"/>
              <w:bidi w:val="0"/>
              <w:jc w:val="center"/>
              <w:rPr>
                <w:color w:val="0000FF"/>
              </w:rPr>
            </w:pPr>
            <w:r>
              <w:rPr>
                <w:color w:val="0000FF"/>
              </w:rPr>
              <w:t>粪大肠菌群</w:t>
            </w:r>
          </w:p>
        </w:tc>
        <w:tc>
          <w:tcPr>
            <w:tcW w:w="1986"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444</w:t>
            </w:r>
            <w:r>
              <w:rPr>
                <w:rFonts w:ascii="Times New Roman" w:hAnsi="Times New Roman" w:eastAsia="Times New Roman" w:cs="Times New Roman"/>
                <w:color w:val="0000FF"/>
                <w:spacing w:val="-2"/>
                <w:sz w:val="21"/>
                <w:szCs w:val="21"/>
              </w:rPr>
              <w:t>m</w:t>
            </w:r>
            <w:r>
              <w:rPr>
                <w:rFonts w:ascii="Times New Roman" w:hAnsi="Times New Roman" w:eastAsia="Times New Roman" w:cs="Times New Roman"/>
                <w:color w:val="0000FF"/>
                <w:spacing w:val="-2"/>
                <w:position w:val="6"/>
                <w:sz w:val="14"/>
                <w:szCs w:val="14"/>
              </w:rPr>
              <w:t>3</w:t>
            </w:r>
            <w:r>
              <w:rPr>
                <w:rFonts w:ascii="Times New Roman" w:hAnsi="Times New Roman" w:eastAsia="Times New Roman" w:cs="Times New Roman"/>
                <w:color w:val="0000FF"/>
                <w:spacing w:val="-2"/>
                <w:sz w:val="21"/>
                <w:szCs w:val="21"/>
              </w:rPr>
              <w:t>/a</w:t>
            </w:r>
          </w:p>
        </w:tc>
        <w:tc>
          <w:tcPr>
            <w:tcW w:w="5821" w:type="dxa"/>
            <w:tcBorders>
              <w:tl2br w:val="nil"/>
              <w:tr2bl w:val="nil"/>
            </w:tcBorders>
            <w:vAlign w:val="center"/>
          </w:tcPr>
          <w:p>
            <w:pPr>
              <w:pStyle w:val="22"/>
              <w:bidi w:val="0"/>
              <w:jc w:val="center"/>
              <w:rPr>
                <w:color w:val="0000FF"/>
              </w:rPr>
            </w:pPr>
            <w:r>
              <w:rPr>
                <w:color w:val="0000FF"/>
              </w:rPr>
              <w:t>进入自建污水处理站处理</w:t>
            </w:r>
          </w:p>
        </w:tc>
        <w:tc>
          <w:tcPr>
            <w:tcW w:w="2023" w:type="dxa"/>
            <w:tcBorders>
              <w:tl2br w:val="nil"/>
              <w:tr2bl w:val="nil"/>
            </w:tcBorders>
            <w:vAlign w:val="center"/>
          </w:tcPr>
          <w:p>
            <w:pPr>
              <w:pStyle w:val="22"/>
              <w:bidi w:val="0"/>
              <w:jc w:val="center"/>
              <w:rPr>
                <w:color w:val="0000FF"/>
              </w:rPr>
            </w:pPr>
            <w:r>
              <w:rPr>
                <w:rFonts w:hint="eastAsia"/>
                <w:color w:val="0000FF"/>
                <w:lang w:val="en-US" w:eastAsia="zh-CN"/>
              </w:rPr>
              <w:t>444</w:t>
            </w:r>
            <w:r>
              <w:rPr>
                <w:rFonts w:ascii="Times New Roman" w:hAnsi="Times New Roman" w:eastAsia="Times New Roman" w:cs="Times New Roman"/>
                <w:color w:val="0000FF"/>
                <w:spacing w:val="-2"/>
                <w:sz w:val="21"/>
                <w:szCs w:val="21"/>
              </w:rPr>
              <w:t>m</w:t>
            </w:r>
            <w:r>
              <w:rPr>
                <w:rFonts w:ascii="Times New Roman" w:hAnsi="Times New Roman" w:eastAsia="Times New Roman" w:cs="Times New Roman"/>
                <w:color w:val="0000FF"/>
                <w:spacing w:val="-2"/>
                <w:position w:val="6"/>
                <w:sz w:val="14"/>
                <w:szCs w:val="14"/>
              </w:rPr>
              <w:t>3</w:t>
            </w:r>
            <w:r>
              <w:rPr>
                <w:rFonts w:ascii="Times New Roman" w:hAnsi="Times New Roman" w:eastAsia="Times New Roman" w:cs="Times New Roman"/>
                <w:color w:val="0000FF"/>
                <w:spacing w:val="-2"/>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22" w:type="dxa"/>
            <w:tcBorders>
              <w:tl2br w:val="nil"/>
              <w:tr2bl w:val="nil"/>
            </w:tcBorders>
            <w:vAlign w:val="center"/>
          </w:tcPr>
          <w:p>
            <w:pPr>
              <w:pStyle w:val="22"/>
              <w:bidi w:val="0"/>
              <w:jc w:val="center"/>
              <w:rPr>
                <w:color w:val="0000FF"/>
              </w:rPr>
            </w:pPr>
            <w:r>
              <w:rPr>
                <w:color w:val="0000FF"/>
              </w:rPr>
              <w:t>噪声</w:t>
            </w:r>
          </w:p>
        </w:tc>
        <w:tc>
          <w:tcPr>
            <w:tcW w:w="1702" w:type="dxa"/>
            <w:tcBorders>
              <w:tl2br w:val="nil"/>
              <w:tr2bl w:val="nil"/>
            </w:tcBorders>
            <w:vAlign w:val="center"/>
          </w:tcPr>
          <w:p>
            <w:pPr>
              <w:pStyle w:val="22"/>
              <w:bidi w:val="0"/>
              <w:jc w:val="center"/>
              <w:rPr>
                <w:color w:val="0000FF"/>
              </w:rPr>
            </w:pPr>
            <w:r>
              <w:rPr>
                <w:color w:val="0000FF"/>
              </w:rPr>
              <w:t>机械设备、人群噪声、车辆</w:t>
            </w:r>
          </w:p>
        </w:tc>
        <w:tc>
          <w:tcPr>
            <w:tcW w:w="1844" w:type="dxa"/>
            <w:tcBorders>
              <w:tl2br w:val="nil"/>
              <w:tr2bl w:val="nil"/>
            </w:tcBorders>
            <w:vAlign w:val="center"/>
          </w:tcPr>
          <w:p>
            <w:pPr>
              <w:pStyle w:val="22"/>
              <w:bidi w:val="0"/>
              <w:jc w:val="center"/>
              <w:rPr>
                <w:color w:val="0000FF"/>
              </w:rPr>
            </w:pPr>
            <w:r>
              <w:rPr>
                <w:color w:val="0000FF"/>
              </w:rPr>
              <w:t>等效A声级</w:t>
            </w:r>
          </w:p>
        </w:tc>
        <w:tc>
          <w:tcPr>
            <w:tcW w:w="1986" w:type="dxa"/>
            <w:tcBorders>
              <w:tl2br w:val="nil"/>
              <w:tr2bl w:val="nil"/>
            </w:tcBorders>
            <w:vAlign w:val="center"/>
          </w:tcPr>
          <w:p>
            <w:pPr>
              <w:pStyle w:val="22"/>
              <w:bidi w:val="0"/>
              <w:jc w:val="center"/>
              <w:rPr>
                <w:color w:val="0000FF"/>
              </w:rPr>
            </w:pPr>
            <w:r>
              <w:rPr>
                <w:color w:val="0000FF"/>
              </w:rPr>
              <w:t>60～90dB(A)</w:t>
            </w:r>
          </w:p>
        </w:tc>
        <w:tc>
          <w:tcPr>
            <w:tcW w:w="5821" w:type="dxa"/>
            <w:tcBorders>
              <w:tl2br w:val="nil"/>
              <w:tr2bl w:val="nil"/>
            </w:tcBorders>
            <w:vAlign w:val="center"/>
          </w:tcPr>
          <w:p>
            <w:pPr>
              <w:pStyle w:val="22"/>
              <w:bidi w:val="0"/>
              <w:jc w:val="center"/>
              <w:rPr>
                <w:color w:val="0000FF"/>
              </w:rPr>
            </w:pPr>
            <w:r>
              <w:rPr>
                <w:color w:val="0000FF"/>
              </w:rPr>
              <w:t>机械设备采取隔声、减振、隔音等措施，人群噪声采取张贴禁止喧哗标语，车辆噪声采取限速、禁止鸣笛措施</w:t>
            </w:r>
          </w:p>
        </w:tc>
        <w:tc>
          <w:tcPr>
            <w:tcW w:w="2023" w:type="dxa"/>
            <w:tcBorders>
              <w:tl2br w:val="nil"/>
              <w:tr2bl w:val="nil"/>
            </w:tcBorders>
            <w:vAlign w:val="center"/>
          </w:tcPr>
          <w:p>
            <w:pPr>
              <w:pStyle w:val="22"/>
              <w:bidi w:val="0"/>
              <w:jc w:val="center"/>
              <w:rPr>
                <w:color w:val="0000FF"/>
              </w:rPr>
            </w:pPr>
            <w:r>
              <w:rPr>
                <w:color w:val="0000FF"/>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22" w:type="dxa"/>
            <w:vMerge w:val="restart"/>
            <w:tcBorders>
              <w:tl2br w:val="nil"/>
              <w:tr2bl w:val="nil"/>
            </w:tcBorders>
            <w:vAlign w:val="center"/>
          </w:tcPr>
          <w:p>
            <w:pPr>
              <w:pStyle w:val="22"/>
              <w:bidi w:val="0"/>
              <w:jc w:val="center"/>
              <w:rPr>
                <w:color w:val="0000FF"/>
              </w:rPr>
            </w:pPr>
            <w:r>
              <w:rPr>
                <w:color w:val="0000FF"/>
              </w:rPr>
              <w:t>固体</w:t>
            </w:r>
          </w:p>
          <w:p>
            <w:pPr>
              <w:pStyle w:val="22"/>
              <w:bidi w:val="0"/>
              <w:jc w:val="center"/>
              <w:rPr>
                <w:color w:val="0000FF"/>
              </w:rPr>
            </w:pPr>
            <w:r>
              <w:rPr>
                <w:color w:val="0000FF"/>
              </w:rPr>
              <w:t>废物</w:t>
            </w:r>
          </w:p>
        </w:tc>
        <w:tc>
          <w:tcPr>
            <w:tcW w:w="1702" w:type="dxa"/>
            <w:vMerge w:val="restart"/>
            <w:tcBorders>
              <w:tl2br w:val="nil"/>
              <w:tr2bl w:val="nil"/>
            </w:tcBorders>
            <w:vAlign w:val="center"/>
          </w:tcPr>
          <w:p>
            <w:pPr>
              <w:pStyle w:val="22"/>
              <w:bidi w:val="0"/>
              <w:jc w:val="center"/>
              <w:rPr>
                <w:color w:val="0000FF"/>
              </w:rPr>
            </w:pPr>
            <w:r>
              <w:rPr>
                <w:color w:val="0000FF"/>
              </w:rPr>
              <w:t>医疗废物</w:t>
            </w:r>
          </w:p>
        </w:tc>
        <w:tc>
          <w:tcPr>
            <w:tcW w:w="1844" w:type="dxa"/>
            <w:vMerge w:val="restart"/>
            <w:tcBorders>
              <w:tl2br w:val="nil"/>
              <w:tr2bl w:val="nil"/>
            </w:tcBorders>
            <w:vAlign w:val="center"/>
          </w:tcPr>
          <w:p>
            <w:pPr>
              <w:pStyle w:val="22"/>
              <w:bidi w:val="0"/>
              <w:jc w:val="center"/>
              <w:rPr>
                <w:color w:val="0000FF"/>
              </w:rPr>
            </w:pPr>
            <w:r>
              <w:rPr>
                <w:color w:val="0000FF"/>
              </w:rPr>
              <w:t>危险废物</w:t>
            </w:r>
          </w:p>
        </w:tc>
        <w:tc>
          <w:tcPr>
            <w:tcW w:w="1986" w:type="dxa"/>
            <w:vMerge w:val="restart"/>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0.85</w:t>
            </w:r>
          </w:p>
        </w:tc>
        <w:tc>
          <w:tcPr>
            <w:tcW w:w="5821" w:type="dxa"/>
            <w:vMerge w:val="restart"/>
            <w:tcBorders>
              <w:tl2br w:val="nil"/>
              <w:tr2bl w:val="nil"/>
            </w:tcBorders>
            <w:vAlign w:val="center"/>
          </w:tcPr>
          <w:p>
            <w:pPr>
              <w:pStyle w:val="22"/>
              <w:bidi w:val="0"/>
              <w:jc w:val="center"/>
              <w:rPr>
                <w:color w:val="0000FF"/>
              </w:rPr>
            </w:pPr>
            <w:r>
              <w:rPr>
                <w:color w:val="0000FF"/>
              </w:rPr>
              <w:t>密闭容器收集，暂存于医疗废物暂存间，定期交由有资质的单位进行处置；污泥清掏前委托有资质的单位进行污泥监测，达到《医疗机构水污染物排放标准》（GB18466-2005）表4医疗机构污泥控制标准后再进行清掏，清掏出的污泥交由有资质的单位进行处置。</w:t>
            </w:r>
          </w:p>
        </w:tc>
        <w:tc>
          <w:tcPr>
            <w:tcW w:w="2023" w:type="dxa"/>
            <w:tcBorders>
              <w:tl2br w:val="nil"/>
              <w:tr2bl w:val="nil"/>
            </w:tcBorders>
            <w:vAlign w:val="center"/>
          </w:tcPr>
          <w:p>
            <w:pPr>
              <w:pStyle w:val="22"/>
              <w:bidi w:val="0"/>
              <w:jc w:val="center"/>
              <w:rPr>
                <w:color w:val="0000FF"/>
              </w:rPr>
            </w:pPr>
            <w:r>
              <w:rPr>
                <w:color w:val="0000FF"/>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822" w:type="dxa"/>
            <w:vMerge w:val="continue"/>
            <w:tcBorders>
              <w:tl2br w:val="nil"/>
              <w:tr2bl w:val="nil"/>
            </w:tcBorders>
            <w:vAlign w:val="center"/>
          </w:tcPr>
          <w:p>
            <w:pPr>
              <w:pStyle w:val="22"/>
              <w:bidi w:val="0"/>
              <w:jc w:val="center"/>
              <w:rPr>
                <w:color w:val="0000FF"/>
              </w:rPr>
            </w:pPr>
          </w:p>
        </w:tc>
        <w:tc>
          <w:tcPr>
            <w:tcW w:w="1702" w:type="dxa"/>
            <w:vMerge w:val="continue"/>
            <w:tcBorders>
              <w:tl2br w:val="nil"/>
              <w:tr2bl w:val="nil"/>
            </w:tcBorders>
            <w:vAlign w:val="center"/>
          </w:tcPr>
          <w:p>
            <w:pPr>
              <w:pStyle w:val="22"/>
              <w:bidi w:val="0"/>
              <w:jc w:val="center"/>
              <w:rPr>
                <w:color w:val="0000FF"/>
              </w:rPr>
            </w:pPr>
          </w:p>
        </w:tc>
        <w:tc>
          <w:tcPr>
            <w:tcW w:w="1844" w:type="dxa"/>
            <w:vMerge w:val="continue"/>
            <w:tcBorders>
              <w:tl2br w:val="nil"/>
              <w:tr2bl w:val="nil"/>
            </w:tcBorders>
            <w:vAlign w:val="center"/>
          </w:tcPr>
          <w:p>
            <w:pPr>
              <w:pStyle w:val="22"/>
              <w:bidi w:val="0"/>
              <w:jc w:val="center"/>
              <w:rPr>
                <w:color w:val="0000FF"/>
              </w:rPr>
            </w:pPr>
          </w:p>
        </w:tc>
        <w:tc>
          <w:tcPr>
            <w:tcW w:w="1986" w:type="dxa"/>
            <w:vMerge w:val="continue"/>
            <w:tcBorders>
              <w:tl2br w:val="nil"/>
              <w:tr2bl w:val="nil"/>
            </w:tcBorders>
            <w:vAlign w:val="center"/>
          </w:tcPr>
          <w:p>
            <w:pPr>
              <w:pStyle w:val="22"/>
              <w:bidi w:val="0"/>
              <w:jc w:val="center"/>
              <w:rPr>
                <w:color w:val="0000FF"/>
              </w:rPr>
            </w:pPr>
          </w:p>
        </w:tc>
        <w:tc>
          <w:tcPr>
            <w:tcW w:w="5821" w:type="dxa"/>
            <w:vMerge w:val="continue"/>
            <w:tcBorders>
              <w:tl2br w:val="nil"/>
              <w:tr2bl w:val="nil"/>
            </w:tcBorders>
            <w:vAlign w:val="center"/>
          </w:tcPr>
          <w:p>
            <w:pPr>
              <w:pStyle w:val="22"/>
              <w:bidi w:val="0"/>
              <w:jc w:val="center"/>
              <w:rPr>
                <w:color w:val="0000FF"/>
              </w:rPr>
            </w:pPr>
          </w:p>
        </w:tc>
        <w:tc>
          <w:tcPr>
            <w:tcW w:w="2023" w:type="dxa"/>
            <w:tcBorders>
              <w:tl2br w:val="nil"/>
              <w:tr2bl w:val="nil"/>
            </w:tcBorders>
            <w:vAlign w:val="center"/>
          </w:tcPr>
          <w:p>
            <w:pPr>
              <w:pStyle w:val="22"/>
              <w:bidi w:val="0"/>
              <w:jc w:val="center"/>
              <w:rPr>
                <w:color w:val="0000FF"/>
              </w:rPr>
            </w:pPr>
            <w:r>
              <w:rPr>
                <w:color w:val="0000FF"/>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continue"/>
            <w:tcBorders>
              <w:tl2br w:val="nil"/>
              <w:tr2bl w:val="nil"/>
            </w:tcBorders>
            <w:vAlign w:val="center"/>
          </w:tcPr>
          <w:p>
            <w:pPr>
              <w:pStyle w:val="22"/>
              <w:bidi w:val="0"/>
              <w:jc w:val="center"/>
              <w:rPr>
                <w:color w:val="0000FF"/>
              </w:rPr>
            </w:pPr>
          </w:p>
        </w:tc>
        <w:tc>
          <w:tcPr>
            <w:tcW w:w="1702" w:type="dxa"/>
            <w:tcBorders>
              <w:tl2br w:val="nil"/>
              <w:tr2bl w:val="nil"/>
            </w:tcBorders>
            <w:vAlign w:val="center"/>
          </w:tcPr>
          <w:p>
            <w:pPr>
              <w:pStyle w:val="22"/>
              <w:bidi w:val="0"/>
              <w:jc w:val="center"/>
              <w:rPr>
                <w:color w:val="0000FF"/>
              </w:rPr>
            </w:pPr>
            <w:r>
              <w:rPr>
                <w:color w:val="0000FF"/>
              </w:rPr>
              <w:t>栅渣、污泥</w:t>
            </w:r>
          </w:p>
        </w:tc>
        <w:tc>
          <w:tcPr>
            <w:tcW w:w="1844" w:type="dxa"/>
            <w:tcBorders>
              <w:tl2br w:val="nil"/>
              <w:tr2bl w:val="nil"/>
            </w:tcBorders>
            <w:vAlign w:val="center"/>
          </w:tcPr>
          <w:p>
            <w:pPr>
              <w:pStyle w:val="22"/>
              <w:bidi w:val="0"/>
              <w:jc w:val="center"/>
              <w:rPr>
                <w:color w:val="0000FF"/>
              </w:rPr>
            </w:pPr>
            <w:r>
              <w:rPr>
                <w:color w:val="0000FF"/>
              </w:rPr>
              <w:t>危险废物</w:t>
            </w:r>
          </w:p>
        </w:tc>
        <w:tc>
          <w:tcPr>
            <w:tcW w:w="1986"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0.3</w:t>
            </w:r>
          </w:p>
        </w:tc>
        <w:tc>
          <w:tcPr>
            <w:tcW w:w="5821" w:type="dxa"/>
            <w:vMerge w:val="continue"/>
            <w:tcBorders>
              <w:tl2br w:val="nil"/>
              <w:tr2bl w:val="nil"/>
            </w:tcBorders>
            <w:vAlign w:val="center"/>
          </w:tcPr>
          <w:p>
            <w:pPr>
              <w:pStyle w:val="22"/>
              <w:bidi w:val="0"/>
              <w:jc w:val="center"/>
              <w:rPr>
                <w:color w:val="0000FF"/>
              </w:rPr>
            </w:pPr>
          </w:p>
        </w:tc>
        <w:tc>
          <w:tcPr>
            <w:tcW w:w="2023" w:type="dxa"/>
            <w:tcBorders>
              <w:tl2br w:val="nil"/>
              <w:tr2bl w:val="nil"/>
            </w:tcBorders>
            <w:vAlign w:val="center"/>
          </w:tcPr>
          <w:p>
            <w:pPr>
              <w:pStyle w:val="22"/>
              <w:bidi w:val="0"/>
              <w:jc w:val="center"/>
              <w:rPr>
                <w:color w:val="0000FF"/>
              </w:rPr>
            </w:pPr>
            <w:r>
              <w:rPr>
                <w:color w:val="0000FF"/>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22" w:type="dxa"/>
            <w:vMerge w:val="continue"/>
            <w:tcBorders>
              <w:tl2br w:val="nil"/>
              <w:tr2bl w:val="nil"/>
            </w:tcBorders>
            <w:vAlign w:val="center"/>
          </w:tcPr>
          <w:p>
            <w:pPr>
              <w:pStyle w:val="22"/>
              <w:bidi w:val="0"/>
              <w:jc w:val="center"/>
              <w:rPr>
                <w:color w:val="0000FF"/>
              </w:rPr>
            </w:pPr>
          </w:p>
        </w:tc>
        <w:tc>
          <w:tcPr>
            <w:tcW w:w="1702" w:type="dxa"/>
            <w:vMerge w:val="restart"/>
            <w:tcBorders>
              <w:tl2br w:val="nil"/>
              <w:tr2bl w:val="nil"/>
            </w:tcBorders>
            <w:vAlign w:val="center"/>
          </w:tcPr>
          <w:p>
            <w:pPr>
              <w:pStyle w:val="22"/>
              <w:bidi w:val="0"/>
              <w:jc w:val="center"/>
              <w:rPr>
                <w:color w:val="0000FF"/>
              </w:rPr>
            </w:pPr>
            <w:r>
              <w:rPr>
                <w:color w:val="0000FF"/>
              </w:rPr>
              <w:t>废活性炭</w:t>
            </w:r>
          </w:p>
        </w:tc>
        <w:tc>
          <w:tcPr>
            <w:tcW w:w="1844" w:type="dxa"/>
            <w:vMerge w:val="restart"/>
            <w:tcBorders>
              <w:tl2br w:val="nil"/>
              <w:tr2bl w:val="nil"/>
            </w:tcBorders>
            <w:vAlign w:val="center"/>
          </w:tcPr>
          <w:p>
            <w:pPr>
              <w:pStyle w:val="22"/>
              <w:bidi w:val="0"/>
              <w:jc w:val="center"/>
              <w:rPr>
                <w:color w:val="0000FF"/>
              </w:rPr>
            </w:pPr>
            <w:r>
              <w:rPr>
                <w:color w:val="0000FF"/>
              </w:rPr>
              <w:t>危险废物</w:t>
            </w:r>
          </w:p>
        </w:tc>
        <w:tc>
          <w:tcPr>
            <w:tcW w:w="1986" w:type="dxa"/>
            <w:vMerge w:val="restart"/>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0.01</w:t>
            </w:r>
          </w:p>
        </w:tc>
        <w:tc>
          <w:tcPr>
            <w:tcW w:w="5821" w:type="dxa"/>
            <w:vMerge w:val="continue"/>
            <w:tcBorders>
              <w:tl2br w:val="nil"/>
              <w:tr2bl w:val="nil"/>
            </w:tcBorders>
            <w:vAlign w:val="center"/>
          </w:tcPr>
          <w:p>
            <w:pPr>
              <w:pStyle w:val="22"/>
              <w:bidi w:val="0"/>
              <w:jc w:val="center"/>
              <w:rPr>
                <w:color w:val="0000FF"/>
              </w:rPr>
            </w:pPr>
          </w:p>
        </w:tc>
        <w:tc>
          <w:tcPr>
            <w:tcW w:w="2023" w:type="dxa"/>
            <w:tcBorders>
              <w:tl2br w:val="nil"/>
              <w:tr2bl w:val="nil"/>
            </w:tcBorders>
            <w:vAlign w:val="center"/>
          </w:tcPr>
          <w:p>
            <w:pPr>
              <w:pStyle w:val="22"/>
              <w:bidi w:val="0"/>
              <w:jc w:val="center"/>
              <w:rPr>
                <w:color w:val="0000FF"/>
              </w:rPr>
            </w:pPr>
            <w:r>
              <w:rPr>
                <w:color w:val="0000FF"/>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22" w:type="dxa"/>
            <w:vMerge w:val="continue"/>
            <w:tcBorders>
              <w:tl2br w:val="nil"/>
              <w:tr2bl w:val="nil"/>
            </w:tcBorders>
            <w:vAlign w:val="center"/>
          </w:tcPr>
          <w:p>
            <w:pPr>
              <w:pStyle w:val="22"/>
              <w:bidi w:val="0"/>
              <w:jc w:val="center"/>
              <w:rPr>
                <w:color w:val="0000FF"/>
              </w:rPr>
            </w:pPr>
          </w:p>
        </w:tc>
        <w:tc>
          <w:tcPr>
            <w:tcW w:w="1702" w:type="dxa"/>
            <w:vMerge w:val="continue"/>
            <w:tcBorders>
              <w:tl2br w:val="nil"/>
              <w:tr2bl w:val="nil"/>
            </w:tcBorders>
            <w:vAlign w:val="center"/>
          </w:tcPr>
          <w:p>
            <w:pPr>
              <w:pStyle w:val="22"/>
              <w:bidi w:val="0"/>
              <w:jc w:val="center"/>
              <w:rPr>
                <w:color w:val="0000FF"/>
              </w:rPr>
            </w:pPr>
          </w:p>
        </w:tc>
        <w:tc>
          <w:tcPr>
            <w:tcW w:w="1844" w:type="dxa"/>
            <w:vMerge w:val="continue"/>
            <w:tcBorders>
              <w:tl2br w:val="nil"/>
              <w:tr2bl w:val="nil"/>
            </w:tcBorders>
            <w:vAlign w:val="center"/>
          </w:tcPr>
          <w:p>
            <w:pPr>
              <w:pStyle w:val="22"/>
              <w:bidi w:val="0"/>
              <w:jc w:val="center"/>
              <w:rPr>
                <w:color w:val="0000FF"/>
              </w:rPr>
            </w:pPr>
          </w:p>
        </w:tc>
        <w:tc>
          <w:tcPr>
            <w:tcW w:w="1986" w:type="dxa"/>
            <w:vMerge w:val="continue"/>
            <w:tcBorders>
              <w:tl2br w:val="nil"/>
              <w:tr2bl w:val="nil"/>
            </w:tcBorders>
            <w:vAlign w:val="center"/>
          </w:tcPr>
          <w:p>
            <w:pPr>
              <w:pStyle w:val="22"/>
              <w:bidi w:val="0"/>
              <w:jc w:val="center"/>
              <w:rPr>
                <w:color w:val="0000FF"/>
              </w:rPr>
            </w:pPr>
          </w:p>
        </w:tc>
        <w:tc>
          <w:tcPr>
            <w:tcW w:w="5821" w:type="dxa"/>
            <w:vMerge w:val="continue"/>
            <w:tcBorders>
              <w:tl2br w:val="nil"/>
              <w:tr2bl w:val="nil"/>
            </w:tcBorders>
            <w:vAlign w:val="center"/>
          </w:tcPr>
          <w:p>
            <w:pPr>
              <w:pStyle w:val="22"/>
              <w:bidi w:val="0"/>
              <w:jc w:val="center"/>
              <w:rPr>
                <w:color w:val="0000FF"/>
              </w:rPr>
            </w:pPr>
          </w:p>
        </w:tc>
        <w:tc>
          <w:tcPr>
            <w:tcW w:w="2023" w:type="dxa"/>
            <w:tcBorders>
              <w:tl2br w:val="nil"/>
              <w:tr2bl w:val="nil"/>
            </w:tcBorders>
            <w:vAlign w:val="center"/>
          </w:tcPr>
          <w:p>
            <w:pPr>
              <w:pStyle w:val="22"/>
              <w:bidi w:val="0"/>
              <w:jc w:val="center"/>
              <w:rPr>
                <w:color w:val="0000FF"/>
              </w:rPr>
            </w:pPr>
            <w:r>
              <w:rPr>
                <w:color w:val="0000FF"/>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22" w:type="dxa"/>
            <w:vMerge w:val="continue"/>
            <w:tcBorders>
              <w:tl2br w:val="nil"/>
              <w:tr2bl w:val="nil"/>
            </w:tcBorders>
            <w:vAlign w:val="center"/>
          </w:tcPr>
          <w:p>
            <w:pPr>
              <w:pStyle w:val="22"/>
              <w:bidi w:val="0"/>
              <w:jc w:val="center"/>
              <w:rPr>
                <w:color w:val="0000FF"/>
              </w:rPr>
            </w:pPr>
          </w:p>
        </w:tc>
        <w:tc>
          <w:tcPr>
            <w:tcW w:w="1702" w:type="dxa"/>
            <w:vMerge w:val="continue"/>
            <w:tcBorders>
              <w:tl2br w:val="nil"/>
              <w:tr2bl w:val="nil"/>
            </w:tcBorders>
            <w:vAlign w:val="center"/>
          </w:tcPr>
          <w:p>
            <w:pPr>
              <w:pStyle w:val="22"/>
              <w:bidi w:val="0"/>
              <w:jc w:val="center"/>
              <w:rPr>
                <w:color w:val="0000FF"/>
              </w:rPr>
            </w:pPr>
          </w:p>
        </w:tc>
        <w:tc>
          <w:tcPr>
            <w:tcW w:w="1844" w:type="dxa"/>
            <w:vMerge w:val="continue"/>
            <w:tcBorders>
              <w:tl2br w:val="nil"/>
              <w:tr2bl w:val="nil"/>
            </w:tcBorders>
            <w:vAlign w:val="center"/>
          </w:tcPr>
          <w:p>
            <w:pPr>
              <w:pStyle w:val="22"/>
              <w:bidi w:val="0"/>
              <w:jc w:val="center"/>
              <w:rPr>
                <w:color w:val="0000FF"/>
              </w:rPr>
            </w:pPr>
          </w:p>
        </w:tc>
        <w:tc>
          <w:tcPr>
            <w:tcW w:w="1986" w:type="dxa"/>
            <w:vMerge w:val="continue"/>
            <w:tcBorders>
              <w:tl2br w:val="nil"/>
              <w:tr2bl w:val="nil"/>
            </w:tcBorders>
            <w:vAlign w:val="center"/>
          </w:tcPr>
          <w:p>
            <w:pPr>
              <w:pStyle w:val="22"/>
              <w:bidi w:val="0"/>
              <w:jc w:val="center"/>
              <w:rPr>
                <w:color w:val="0000FF"/>
              </w:rPr>
            </w:pPr>
          </w:p>
        </w:tc>
        <w:tc>
          <w:tcPr>
            <w:tcW w:w="5821" w:type="dxa"/>
            <w:vMerge w:val="continue"/>
            <w:tcBorders>
              <w:tl2br w:val="nil"/>
              <w:tr2bl w:val="nil"/>
            </w:tcBorders>
            <w:vAlign w:val="center"/>
          </w:tcPr>
          <w:p>
            <w:pPr>
              <w:pStyle w:val="22"/>
              <w:bidi w:val="0"/>
              <w:jc w:val="center"/>
              <w:rPr>
                <w:color w:val="0000FF"/>
              </w:rPr>
            </w:pPr>
          </w:p>
        </w:tc>
        <w:tc>
          <w:tcPr>
            <w:tcW w:w="2023" w:type="dxa"/>
            <w:tcBorders>
              <w:tl2br w:val="nil"/>
              <w:tr2bl w:val="nil"/>
            </w:tcBorders>
            <w:vAlign w:val="center"/>
          </w:tcPr>
          <w:p>
            <w:pPr>
              <w:pStyle w:val="22"/>
              <w:bidi w:val="0"/>
              <w:jc w:val="center"/>
              <w:rPr>
                <w:color w:val="0000FF"/>
              </w:rPr>
            </w:pPr>
            <w:r>
              <w:rPr>
                <w:color w:val="0000FF"/>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continue"/>
            <w:tcBorders>
              <w:tl2br w:val="nil"/>
              <w:tr2bl w:val="nil"/>
            </w:tcBorders>
            <w:vAlign w:val="center"/>
          </w:tcPr>
          <w:p>
            <w:pPr>
              <w:pStyle w:val="22"/>
              <w:bidi w:val="0"/>
              <w:jc w:val="center"/>
              <w:rPr>
                <w:color w:val="0000FF"/>
              </w:rPr>
            </w:pPr>
          </w:p>
        </w:tc>
        <w:tc>
          <w:tcPr>
            <w:tcW w:w="1702" w:type="dxa"/>
            <w:tcBorders>
              <w:tl2br w:val="nil"/>
              <w:tr2bl w:val="nil"/>
            </w:tcBorders>
            <w:vAlign w:val="center"/>
          </w:tcPr>
          <w:p>
            <w:pPr>
              <w:pStyle w:val="22"/>
              <w:bidi w:val="0"/>
              <w:jc w:val="center"/>
              <w:rPr>
                <w:color w:val="0000FF"/>
              </w:rPr>
            </w:pPr>
            <w:r>
              <w:rPr>
                <w:color w:val="0000FF"/>
              </w:rPr>
              <w:t>废离子树脂</w:t>
            </w:r>
          </w:p>
        </w:tc>
        <w:tc>
          <w:tcPr>
            <w:tcW w:w="1844" w:type="dxa"/>
            <w:tcBorders>
              <w:tl2br w:val="nil"/>
              <w:tr2bl w:val="nil"/>
            </w:tcBorders>
            <w:vAlign w:val="center"/>
          </w:tcPr>
          <w:p>
            <w:pPr>
              <w:pStyle w:val="22"/>
              <w:bidi w:val="0"/>
              <w:jc w:val="center"/>
              <w:rPr>
                <w:color w:val="0000FF"/>
              </w:rPr>
            </w:pPr>
            <w:r>
              <w:rPr>
                <w:color w:val="0000FF"/>
              </w:rPr>
              <w:t>一般固废</w:t>
            </w:r>
          </w:p>
        </w:tc>
        <w:tc>
          <w:tcPr>
            <w:tcW w:w="1986"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0.003</w:t>
            </w:r>
          </w:p>
        </w:tc>
        <w:tc>
          <w:tcPr>
            <w:tcW w:w="5821" w:type="dxa"/>
            <w:tcBorders>
              <w:tl2br w:val="nil"/>
              <w:tr2bl w:val="nil"/>
            </w:tcBorders>
            <w:vAlign w:val="center"/>
          </w:tcPr>
          <w:p>
            <w:pPr>
              <w:pStyle w:val="22"/>
              <w:bidi w:val="0"/>
              <w:jc w:val="center"/>
              <w:rPr>
                <w:color w:val="0000FF"/>
              </w:rPr>
            </w:pPr>
            <w:r>
              <w:rPr>
                <w:color w:val="0000FF"/>
              </w:rPr>
              <w:t>经收集后由专门厂家回收</w:t>
            </w:r>
          </w:p>
        </w:tc>
        <w:tc>
          <w:tcPr>
            <w:tcW w:w="2023" w:type="dxa"/>
            <w:tcBorders>
              <w:tl2br w:val="nil"/>
              <w:tr2bl w:val="nil"/>
            </w:tcBorders>
            <w:vAlign w:val="center"/>
          </w:tcPr>
          <w:p>
            <w:pPr>
              <w:pStyle w:val="22"/>
              <w:bidi w:val="0"/>
              <w:jc w:val="center"/>
              <w:rPr>
                <w:color w:val="0000FF"/>
              </w:rPr>
            </w:pPr>
            <w:r>
              <w:rPr>
                <w:color w:val="0000FF"/>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22" w:type="dxa"/>
            <w:vMerge w:val="continue"/>
            <w:tcBorders>
              <w:tl2br w:val="nil"/>
              <w:tr2bl w:val="nil"/>
            </w:tcBorders>
            <w:vAlign w:val="center"/>
          </w:tcPr>
          <w:p>
            <w:pPr>
              <w:pStyle w:val="22"/>
              <w:bidi w:val="0"/>
              <w:jc w:val="center"/>
              <w:rPr>
                <w:color w:val="0000FF"/>
              </w:rPr>
            </w:pPr>
          </w:p>
        </w:tc>
        <w:tc>
          <w:tcPr>
            <w:tcW w:w="1702" w:type="dxa"/>
            <w:tcBorders>
              <w:tl2br w:val="nil"/>
              <w:tr2bl w:val="nil"/>
            </w:tcBorders>
            <w:vAlign w:val="center"/>
          </w:tcPr>
          <w:p>
            <w:pPr>
              <w:pStyle w:val="22"/>
              <w:bidi w:val="0"/>
              <w:jc w:val="center"/>
              <w:rPr>
                <w:color w:val="0000FF"/>
              </w:rPr>
            </w:pPr>
            <w:r>
              <w:rPr>
                <w:color w:val="0000FF"/>
              </w:rPr>
              <w:t>生活垃圾</w:t>
            </w:r>
          </w:p>
        </w:tc>
        <w:tc>
          <w:tcPr>
            <w:tcW w:w="1844" w:type="dxa"/>
            <w:tcBorders>
              <w:tl2br w:val="nil"/>
              <w:tr2bl w:val="nil"/>
            </w:tcBorders>
            <w:vAlign w:val="center"/>
          </w:tcPr>
          <w:p>
            <w:pPr>
              <w:pStyle w:val="22"/>
              <w:bidi w:val="0"/>
              <w:jc w:val="center"/>
              <w:rPr>
                <w:color w:val="0000FF"/>
              </w:rPr>
            </w:pPr>
            <w:r>
              <w:rPr>
                <w:color w:val="0000FF"/>
              </w:rPr>
              <w:t>一般固废</w:t>
            </w:r>
          </w:p>
        </w:tc>
        <w:tc>
          <w:tcPr>
            <w:tcW w:w="1986"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1</w:t>
            </w:r>
          </w:p>
        </w:tc>
        <w:tc>
          <w:tcPr>
            <w:tcW w:w="5821" w:type="dxa"/>
            <w:tcBorders>
              <w:tl2br w:val="nil"/>
              <w:tr2bl w:val="nil"/>
            </w:tcBorders>
            <w:vAlign w:val="center"/>
          </w:tcPr>
          <w:p>
            <w:pPr>
              <w:pStyle w:val="22"/>
              <w:bidi w:val="0"/>
              <w:jc w:val="center"/>
              <w:rPr>
                <w:color w:val="0000FF"/>
              </w:rPr>
            </w:pPr>
            <w:r>
              <w:rPr>
                <w:color w:val="0000FF"/>
              </w:rPr>
              <w:t>由市政环卫部门统一收集后送至垃圾填埋场处理</w:t>
            </w:r>
          </w:p>
        </w:tc>
        <w:tc>
          <w:tcPr>
            <w:tcW w:w="2023" w:type="dxa"/>
            <w:tcBorders>
              <w:tl2br w:val="nil"/>
              <w:tr2bl w:val="nil"/>
            </w:tcBorders>
            <w:vAlign w:val="center"/>
          </w:tcPr>
          <w:p>
            <w:pPr>
              <w:pStyle w:val="22"/>
              <w:bidi w:val="0"/>
              <w:jc w:val="center"/>
              <w:rPr>
                <w:color w:val="0000FF"/>
              </w:rPr>
            </w:pPr>
            <w:r>
              <w:rPr>
                <w:color w:val="0000FF"/>
              </w:rPr>
              <w:t>0</w:t>
            </w:r>
          </w:p>
        </w:tc>
      </w:tr>
    </w:tbl>
    <w:p>
      <w:pPr>
        <w:pStyle w:val="3"/>
        <w:rPr>
          <w:rFonts w:hint="default"/>
          <w:color w:val="0000FF"/>
          <w:lang w:val="en-US" w:eastAsia="zh-CN"/>
        </w:rPr>
        <w:sectPr>
          <w:footerReference r:id="rId11" w:type="default"/>
          <w:pgSz w:w="16838" w:h="11906" w:orient="landscape"/>
          <w:pgMar w:top="1800" w:right="1440" w:bottom="1800" w:left="1440" w:header="1417"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bidi w:val="0"/>
        <w:rPr>
          <w:color w:val="0000FF"/>
        </w:rPr>
      </w:pPr>
      <w:bookmarkStart w:id="71" w:name="_Toc27313"/>
      <w:r>
        <w:rPr>
          <w:color w:val="0000FF"/>
        </w:rPr>
        <w:t>4环境现状调查与评价</w:t>
      </w:r>
      <w:bookmarkEnd w:id="71"/>
    </w:p>
    <w:p>
      <w:pPr>
        <w:pStyle w:val="5"/>
        <w:bidi w:val="0"/>
      </w:pPr>
      <w:bookmarkStart w:id="72" w:name="_Toc387"/>
      <w:r>
        <w:t>4.1自然环境概况</w:t>
      </w:r>
      <w:bookmarkEnd w:id="72"/>
    </w:p>
    <w:p>
      <w:pPr>
        <w:pStyle w:val="6"/>
        <w:bidi w:val="0"/>
      </w:pPr>
      <w:bookmarkStart w:id="73" w:name="_Toc14970"/>
      <w:r>
        <w:t>4.1.1地理位置</w:t>
      </w:r>
      <w:bookmarkEnd w:id="73"/>
    </w:p>
    <w:p>
      <w:pPr>
        <w:bidi w:val="0"/>
        <w:rPr>
          <w:color w:val="0000FF"/>
        </w:rPr>
      </w:pPr>
      <w:r>
        <w:rPr>
          <w:color w:val="0000FF"/>
        </w:rPr>
        <w:t>225团</w:t>
      </w:r>
      <w:r>
        <w:rPr>
          <w:rFonts w:hint="eastAsia"/>
          <w:color w:val="0000FF"/>
        </w:rPr>
        <w:t>西距十四师昆玉市220公里</w:t>
      </w:r>
      <w:r>
        <w:rPr>
          <w:color w:val="0000FF"/>
        </w:rPr>
        <w:t>，东离于田县城39公里。地跨东经78°19′38″—78°30′01″，北纬37°37′03″—37°46′30″。项目区位于昆仑山脉南部，北面为塔克拉玛干大沙漠，形成耕地被沙漠包围分割成多块绿洲的格局。项目区分布在冲积平原上，处于喀拉喀什河下游，整个地形南高北低，自然坡降1.43</w:t>
      </w:r>
      <w:r>
        <w:rPr>
          <w:rFonts w:hint="eastAsia"/>
          <w:color w:val="0000FF"/>
          <w:lang w:val="en-US" w:eastAsia="zh-CN"/>
        </w:rPr>
        <w:t>%</w:t>
      </w:r>
      <w:r>
        <w:rPr>
          <w:color w:val="0000FF"/>
        </w:rPr>
        <w:t>，海拔1250米—</w:t>
      </w:r>
      <w:r>
        <w:rPr>
          <w:rFonts w:hint="eastAsia"/>
          <w:color w:val="0000FF"/>
          <w:lang w:val="en-US" w:eastAsia="zh-CN"/>
        </w:rPr>
        <w:t>1450</w:t>
      </w:r>
      <w:r>
        <w:rPr>
          <w:color w:val="0000FF"/>
        </w:rPr>
        <w:t>米。</w:t>
      </w:r>
    </w:p>
    <w:p>
      <w:pPr>
        <w:pStyle w:val="6"/>
        <w:bidi w:val="0"/>
        <w:rPr>
          <w:rFonts w:hint="eastAsia"/>
          <w:lang w:val="en-US" w:eastAsia="zh-CN"/>
        </w:rPr>
      </w:pPr>
      <w:bookmarkStart w:id="74" w:name="_Toc28287"/>
      <w:r>
        <w:rPr>
          <w:rFonts w:hint="eastAsia"/>
          <w:lang w:val="en-US" w:eastAsia="zh-CN"/>
        </w:rPr>
        <w:t>4.1.2地形地貌</w:t>
      </w:r>
      <w:bookmarkEnd w:id="74"/>
    </w:p>
    <w:p>
      <w:pPr>
        <w:bidi w:val="0"/>
        <w:rPr>
          <w:rFonts w:hint="eastAsia"/>
          <w:color w:val="0000FF"/>
          <w:lang w:val="en-US" w:eastAsia="zh-CN"/>
        </w:rPr>
      </w:pPr>
      <w:r>
        <w:rPr>
          <w:rFonts w:hint="eastAsia"/>
          <w:color w:val="0000FF"/>
        </w:rPr>
        <w:t>225</w:t>
      </w:r>
      <w:r>
        <w:rPr>
          <w:color w:val="0000FF"/>
        </w:rPr>
        <w:t>团</w:t>
      </w:r>
      <w:r>
        <w:rPr>
          <w:rFonts w:hint="eastAsia"/>
          <w:color w:val="0000FF"/>
        </w:rPr>
        <w:t>所在地大地形走势由西南向东北倾</w:t>
      </w:r>
      <w:r>
        <w:rPr>
          <w:color w:val="0000FF"/>
        </w:rPr>
        <w:t>斜，南部坡度较陡，在15</w:t>
      </w:r>
      <w:r>
        <w:rPr>
          <w:rFonts w:hint="eastAsia"/>
          <w:color w:val="0000FF"/>
          <w:lang w:val="en-US" w:eastAsia="zh-CN"/>
        </w:rPr>
        <w:t>%</w:t>
      </w:r>
      <w:r>
        <w:rPr>
          <w:color w:val="0000FF"/>
        </w:rPr>
        <w:t>-17</w:t>
      </w:r>
      <w:r>
        <w:rPr>
          <w:rFonts w:hint="eastAsia"/>
          <w:color w:val="0000FF"/>
          <w:lang w:val="en-US" w:eastAsia="zh-CN"/>
        </w:rPr>
        <w:t>%</w:t>
      </w:r>
      <w:r>
        <w:rPr>
          <w:color w:val="0000FF"/>
        </w:rPr>
        <w:t>之间，中、北部地形坡度较缓，在1</w:t>
      </w:r>
      <w:r>
        <w:rPr>
          <w:rFonts w:hint="eastAsia"/>
          <w:color w:val="0000FF"/>
          <w:lang w:val="en-US" w:eastAsia="zh-CN"/>
        </w:rPr>
        <w:t>%</w:t>
      </w:r>
      <w:r>
        <w:rPr>
          <w:color w:val="0000FF"/>
        </w:rPr>
        <w:t>-2</w:t>
      </w:r>
      <w:r>
        <w:rPr>
          <w:rFonts w:hint="eastAsia"/>
          <w:color w:val="0000FF"/>
          <w:lang w:val="en-US" w:eastAsia="zh-CN"/>
        </w:rPr>
        <w:t>%</w:t>
      </w:r>
      <w:r>
        <w:rPr>
          <w:color w:val="0000FF"/>
        </w:rPr>
        <w:t>范围内</w:t>
      </w:r>
      <w:r>
        <w:rPr>
          <w:rFonts w:hint="eastAsia"/>
          <w:color w:val="0000FF"/>
        </w:rPr>
        <w:t>，</w:t>
      </w:r>
      <w:r>
        <w:rPr>
          <w:color w:val="0000FF"/>
        </w:rPr>
        <w:t>海拔介于1304-1397m</w:t>
      </w:r>
      <w:r>
        <w:rPr>
          <w:rFonts w:hint="eastAsia"/>
          <w:color w:val="0000FF"/>
        </w:rPr>
        <w:t>之间，</w:t>
      </w:r>
      <w:r>
        <w:rPr>
          <w:color w:val="0000FF"/>
        </w:rPr>
        <w:t>主要</w:t>
      </w:r>
      <w:r>
        <w:rPr>
          <w:rFonts w:hint="eastAsia"/>
          <w:color w:val="0000FF"/>
        </w:rPr>
        <w:t>为</w:t>
      </w:r>
      <w:r>
        <w:rPr>
          <w:color w:val="0000FF"/>
        </w:rPr>
        <w:t>冲洪积平原</w:t>
      </w:r>
      <w:r>
        <w:rPr>
          <w:rFonts w:hint="eastAsia"/>
          <w:color w:val="0000FF"/>
        </w:rPr>
        <w:t>地貌</w:t>
      </w:r>
      <w:r>
        <w:rPr>
          <w:color w:val="0000FF"/>
        </w:rPr>
        <w:t>。</w:t>
      </w:r>
    </w:p>
    <w:p>
      <w:pPr>
        <w:bidi w:val="0"/>
        <w:rPr>
          <w:rFonts w:hint="eastAsia"/>
          <w:color w:val="0000FF"/>
          <w:lang w:val="en-US" w:eastAsia="zh-CN"/>
        </w:rPr>
      </w:pPr>
      <w:r>
        <w:rPr>
          <w:rFonts w:hint="eastAsia"/>
          <w:color w:val="0000FF"/>
          <w:lang w:eastAsia="zh-CN"/>
        </w:rPr>
        <w:t>本项目地形为西南高</w:t>
      </w:r>
      <w:r>
        <w:rPr>
          <w:rFonts w:hint="eastAsia"/>
          <w:color w:val="0000FF"/>
          <w:lang w:val="en-US" w:eastAsia="zh-CN"/>
        </w:rPr>
        <w:t>东北</w:t>
      </w:r>
      <w:r>
        <w:rPr>
          <w:rFonts w:hint="eastAsia"/>
          <w:color w:val="0000FF"/>
          <w:lang w:eastAsia="zh-CN"/>
        </w:rPr>
        <w:t>低，厂区坡度</w:t>
      </w:r>
      <w:r>
        <w:rPr>
          <w:rFonts w:hint="eastAsia"/>
          <w:color w:val="0000FF"/>
          <w:lang w:val="en-US" w:eastAsia="zh-CN"/>
        </w:rPr>
        <w:t>2%</w:t>
      </w:r>
      <w:r>
        <w:rPr>
          <w:rFonts w:hint="eastAsia"/>
          <w:color w:val="0000FF"/>
          <w:lang w:eastAsia="zh-CN"/>
        </w:rPr>
        <w:t>，海拔在</w:t>
      </w:r>
      <w:r>
        <w:rPr>
          <w:rFonts w:hint="eastAsia"/>
          <w:color w:val="0000FF"/>
          <w:lang w:val="en-US" w:eastAsia="zh-CN"/>
        </w:rPr>
        <w:t>1423米左右。</w:t>
      </w:r>
    </w:p>
    <w:p>
      <w:pPr>
        <w:pStyle w:val="6"/>
        <w:bidi w:val="0"/>
        <w:rPr>
          <w:rFonts w:hint="eastAsia"/>
          <w:lang w:val="en-US" w:eastAsia="zh-CN"/>
        </w:rPr>
      </w:pPr>
      <w:bookmarkStart w:id="75" w:name="_Toc28701"/>
      <w:r>
        <w:rPr>
          <w:rFonts w:hint="eastAsia"/>
          <w:lang w:val="en-US" w:eastAsia="zh-CN"/>
        </w:rPr>
        <w:t>4.1.3气候与气象</w:t>
      </w:r>
      <w:bookmarkEnd w:id="75"/>
    </w:p>
    <w:p>
      <w:pPr>
        <w:bidi w:val="0"/>
        <w:rPr>
          <w:color w:val="0000FF"/>
        </w:rPr>
      </w:pPr>
      <w:r>
        <w:rPr>
          <w:rFonts w:hint="eastAsia"/>
          <w:color w:val="0000FF"/>
        </w:rPr>
        <w:t>新疆生产建设兵团第十四师</w:t>
      </w:r>
      <w:r>
        <w:rPr>
          <w:color w:val="0000FF"/>
        </w:rPr>
        <w:t>22</w:t>
      </w:r>
      <w:r>
        <w:rPr>
          <w:rFonts w:hint="eastAsia"/>
          <w:color w:val="0000FF"/>
        </w:rPr>
        <w:t>5团地处欧亚大陆腹地，由于昆仑山的阻挡，印度洋的暖湿气流难以进入，北、西由于天山和帕米尔高原的屏障作用，从西伯利亚和中亚来的北冰洋及大西洋暖湿气流也大为减少，形成了极度干旱的暖温带大陆气候，降水稀少、蒸发强烈、干燥多风、光热资源充足是本流域最主要的气候特征。</w:t>
      </w:r>
    </w:p>
    <w:p>
      <w:pPr>
        <w:bidi w:val="0"/>
        <w:rPr>
          <w:color w:val="0000FF"/>
        </w:rPr>
      </w:pPr>
      <w:r>
        <w:rPr>
          <w:rFonts w:hint="eastAsia"/>
          <w:color w:val="0000FF"/>
        </w:rPr>
        <w:t>225团</w:t>
      </w:r>
      <w:r>
        <w:rPr>
          <w:color w:val="0000FF"/>
        </w:rPr>
        <w:t>多年平均气温</w:t>
      </w:r>
      <w:r>
        <w:rPr>
          <w:rFonts w:hint="eastAsia"/>
          <w:color w:val="0000FF"/>
        </w:rPr>
        <w:t>12.2℃</w:t>
      </w:r>
      <w:r>
        <w:rPr>
          <w:color w:val="0000FF"/>
        </w:rPr>
        <w:t>，</w:t>
      </w:r>
      <w:r>
        <w:rPr>
          <w:rFonts w:hint="eastAsia"/>
          <w:color w:val="0000FF"/>
        </w:rPr>
        <w:t>极端</w:t>
      </w:r>
      <w:r>
        <w:rPr>
          <w:color w:val="0000FF"/>
        </w:rPr>
        <w:t>最高气温</w:t>
      </w:r>
      <w:r>
        <w:rPr>
          <w:rFonts w:hint="eastAsia"/>
          <w:color w:val="0000FF"/>
        </w:rPr>
        <w:t>40.6℃</w:t>
      </w:r>
      <w:r>
        <w:rPr>
          <w:color w:val="0000FF"/>
        </w:rPr>
        <w:t>，</w:t>
      </w:r>
      <w:r>
        <w:rPr>
          <w:rFonts w:hint="eastAsia"/>
          <w:color w:val="0000FF"/>
        </w:rPr>
        <w:t>极端</w:t>
      </w:r>
      <w:r>
        <w:rPr>
          <w:color w:val="0000FF"/>
        </w:rPr>
        <w:t>最低气温</w:t>
      </w:r>
      <w:r>
        <w:rPr>
          <w:rFonts w:hint="eastAsia"/>
          <w:color w:val="0000FF"/>
          <w:lang w:eastAsia="zh-CN"/>
        </w:rPr>
        <w:t>－</w:t>
      </w:r>
      <w:r>
        <w:rPr>
          <w:rFonts w:hint="eastAsia"/>
          <w:color w:val="0000FF"/>
        </w:rPr>
        <w:t>21.6℃，</w:t>
      </w:r>
      <w:r>
        <w:rPr>
          <w:color w:val="0000FF"/>
        </w:rPr>
        <w:t>多年平均降水量</w:t>
      </w:r>
      <w:r>
        <w:rPr>
          <w:rFonts w:hint="eastAsia"/>
          <w:color w:val="0000FF"/>
        </w:rPr>
        <w:t>33.4</w:t>
      </w:r>
      <w:r>
        <w:rPr>
          <w:color w:val="0000FF"/>
        </w:rPr>
        <w:t>mm，多年平均蒸发量</w:t>
      </w:r>
      <w:r>
        <w:rPr>
          <w:rFonts w:hint="eastAsia"/>
          <w:color w:val="0000FF"/>
        </w:rPr>
        <w:t>2602</w:t>
      </w:r>
      <w:r>
        <w:rPr>
          <w:color w:val="0000FF"/>
        </w:rPr>
        <w:t>mm</w:t>
      </w:r>
      <w:r>
        <w:rPr>
          <w:rFonts w:hint="eastAsia"/>
          <w:color w:val="0000FF"/>
        </w:rPr>
        <w:t>，项目区降水量主要集中在4-9月。</w:t>
      </w:r>
      <w:r>
        <w:rPr>
          <w:color w:val="0000FF"/>
        </w:rPr>
        <w:t>年平均风速</w:t>
      </w:r>
      <w:r>
        <w:rPr>
          <w:rFonts w:hint="eastAsia"/>
          <w:color w:val="0000FF"/>
        </w:rPr>
        <w:t>2.1</w:t>
      </w:r>
      <w:r>
        <w:rPr>
          <w:color w:val="0000FF"/>
        </w:rPr>
        <w:t>m/s</w:t>
      </w:r>
      <w:r>
        <w:rPr>
          <w:rFonts w:hint="eastAsia"/>
          <w:color w:val="0000FF"/>
        </w:rPr>
        <w:t>，</w:t>
      </w:r>
      <w:r>
        <w:rPr>
          <w:color w:val="0000FF"/>
        </w:rPr>
        <w:t>最大风速19m/s，风向多为西、北西向，年均大风11.5次</w:t>
      </w:r>
      <w:r>
        <w:rPr>
          <w:rFonts w:hint="eastAsia"/>
          <w:color w:val="0000FF"/>
        </w:rPr>
        <w:t>，</w:t>
      </w:r>
      <w:r>
        <w:rPr>
          <w:color w:val="0000FF"/>
        </w:rPr>
        <w:t>浮尘天数多达200d以上</w:t>
      </w:r>
      <w:r>
        <w:rPr>
          <w:rFonts w:hint="eastAsia"/>
          <w:color w:val="0000FF"/>
        </w:rPr>
        <w:t>，</w:t>
      </w:r>
      <w:r>
        <w:rPr>
          <w:color w:val="0000FF"/>
        </w:rPr>
        <w:t>沙暴天数18d～52d，</w:t>
      </w:r>
      <w:r>
        <w:rPr>
          <w:rFonts w:hint="eastAsia"/>
          <w:color w:val="0000FF"/>
        </w:rPr>
        <w:t>大风天气</w:t>
      </w:r>
      <w:r>
        <w:rPr>
          <w:color w:val="0000FF"/>
        </w:rPr>
        <w:t>主要集中在4月～6月</w:t>
      </w:r>
      <w:r>
        <w:rPr>
          <w:rFonts w:hint="eastAsia"/>
          <w:color w:val="0000FF"/>
        </w:rPr>
        <w:t>。</w:t>
      </w:r>
      <w:r>
        <w:rPr>
          <w:color w:val="0000FF"/>
        </w:rPr>
        <w:t>最大冻土深度</w:t>
      </w:r>
      <w:r>
        <w:rPr>
          <w:rFonts w:hint="eastAsia"/>
          <w:color w:val="0000FF"/>
        </w:rPr>
        <w:t>67</w:t>
      </w:r>
      <w:r>
        <w:rPr>
          <w:color w:val="0000FF"/>
        </w:rPr>
        <w:t>cm</w:t>
      </w:r>
      <w:r>
        <w:rPr>
          <w:rFonts w:hint="eastAsia"/>
          <w:color w:val="0000FF"/>
        </w:rPr>
        <w:t>，最大积雪深度14cm，</w:t>
      </w:r>
      <w:r>
        <w:rPr>
          <w:color w:val="0000FF"/>
        </w:rPr>
        <w:t>年</w:t>
      </w:r>
      <w:bookmarkStart w:id="76" w:name="page39"/>
      <w:bookmarkEnd w:id="76"/>
      <w:r>
        <w:rPr>
          <w:color w:val="0000FF"/>
        </w:rPr>
        <w:t>无霜期约</w:t>
      </w:r>
      <w:r>
        <w:rPr>
          <w:rFonts w:hint="eastAsia"/>
          <w:color w:val="0000FF"/>
        </w:rPr>
        <w:t>244天。</w:t>
      </w:r>
      <w:r>
        <w:rPr>
          <w:color w:val="0000FF"/>
        </w:rPr>
        <w:t>各气象要素统计见表</w:t>
      </w:r>
      <w:r>
        <w:rPr>
          <w:rFonts w:hint="eastAsia"/>
          <w:color w:val="0000FF"/>
          <w:lang w:val="en-US" w:eastAsia="zh-CN"/>
        </w:rPr>
        <w:t>4.1</w:t>
      </w:r>
      <w:r>
        <w:rPr>
          <w:color w:val="0000FF"/>
        </w:rPr>
        <w:t>-1。</w:t>
      </w:r>
    </w:p>
    <w:p>
      <w:pPr>
        <w:pStyle w:val="22"/>
        <w:bidi w:val="0"/>
        <w:rPr>
          <w:b/>
          <w:bCs/>
          <w:color w:val="0000FF"/>
        </w:rPr>
      </w:pPr>
      <w:r>
        <w:rPr>
          <w:rFonts w:hint="eastAsia"/>
          <w:b/>
          <w:bCs/>
          <w:color w:val="0000FF"/>
          <w:lang w:val="en-US" w:eastAsia="zh-CN"/>
        </w:rPr>
        <w:t>4.1</w:t>
      </w:r>
      <w:r>
        <w:rPr>
          <w:b/>
          <w:bCs/>
          <w:color w:val="0000FF"/>
        </w:rPr>
        <w:t>-1项目区气象数据</w:t>
      </w:r>
    </w:p>
    <w:tbl>
      <w:tblPr>
        <w:tblStyle w:val="17"/>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2974"/>
        <w:gridCol w:w="1124"/>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序号</w:t>
            </w:r>
          </w:p>
        </w:tc>
        <w:tc>
          <w:tcPr>
            <w:tcW w:w="1733" w:type="pct"/>
            <w:tcBorders>
              <w:tl2br w:val="nil"/>
              <w:tr2bl w:val="nil"/>
            </w:tcBorders>
            <w:vAlign w:val="center"/>
          </w:tcPr>
          <w:p>
            <w:pPr>
              <w:pStyle w:val="22"/>
              <w:bidi w:val="0"/>
              <w:rPr>
                <w:color w:val="0000FF"/>
              </w:rPr>
            </w:pPr>
            <w:r>
              <w:rPr>
                <w:color w:val="0000FF"/>
              </w:rPr>
              <w:t>项目</w:t>
            </w:r>
          </w:p>
        </w:tc>
        <w:tc>
          <w:tcPr>
            <w:tcW w:w="655" w:type="pct"/>
            <w:tcBorders>
              <w:tl2br w:val="nil"/>
              <w:tr2bl w:val="nil"/>
            </w:tcBorders>
            <w:vAlign w:val="center"/>
          </w:tcPr>
          <w:p>
            <w:pPr>
              <w:pStyle w:val="22"/>
              <w:bidi w:val="0"/>
              <w:rPr>
                <w:color w:val="0000FF"/>
              </w:rPr>
            </w:pPr>
            <w:r>
              <w:rPr>
                <w:color w:val="0000FF"/>
              </w:rPr>
              <w:t>单位</w:t>
            </w:r>
          </w:p>
        </w:tc>
        <w:tc>
          <w:tcPr>
            <w:tcW w:w="1955" w:type="pct"/>
            <w:tcBorders>
              <w:tl2br w:val="nil"/>
              <w:tr2bl w:val="nil"/>
            </w:tcBorders>
            <w:vAlign w:val="center"/>
          </w:tcPr>
          <w:p>
            <w:pPr>
              <w:pStyle w:val="22"/>
              <w:bidi w:val="0"/>
              <w:rPr>
                <w:color w:val="0000FF"/>
              </w:rPr>
            </w:pPr>
            <w:r>
              <w:rPr>
                <w:color w:val="0000FF"/>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1</w:t>
            </w:r>
          </w:p>
        </w:tc>
        <w:tc>
          <w:tcPr>
            <w:tcW w:w="1733" w:type="pct"/>
            <w:tcBorders>
              <w:tl2br w:val="nil"/>
              <w:tr2bl w:val="nil"/>
            </w:tcBorders>
            <w:vAlign w:val="center"/>
          </w:tcPr>
          <w:p>
            <w:pPr>
              <w:pStyle w:val="22"/>
              <w:bidi w:val="0"/>
              <w:rPr>
                <w:color w:val="0000FF"/>
              </w:rPr>
            </w:pPr>
            <w:r>
              <w:rPr>
                <w:color w:val="0000FF"/>
              </w:rPr>
              <w:t>年平均气温</w:t>
            </w:r>
          </w:p>
        </w:tc>
        <w:tc>
          <w:tcPr>
            <w:tcW w:w="655" w:type="pct"/>
            <w:tcBorders>
              <w:tl2br w:val="nil"/>
              <w:tr2bl w:val="nil"/>
            </w:tcBorders>
            <w:vAlign w:val="center"/>
          </w:tcPr>
          <w:p>
            <w:pPr>
              <w:pStyle w:val="22"/>
              <w:bidi w:val="0"/>
              <w:rPr>
                <w:color w:val="0000FF"/>
              </w:rPr>
            </w:pPr>
            <w:r>
              <w:rPr>
                <w:rFonts w:hint="eastAsia"/>
                <w:color w:val="0000FF"/>
              </w:rPr>
              <w:t>℃</w:t>
            </w:r>
          </w:p>
        </w:tc>
        <w:tc>
          <w:tcPr>
            <w:tcW w:w="1955" w:type="pct"/>
            <w:tcBorders>
              <w:tl2br w:val="nil"/>
              <w:tr2bl w:val="nil"/>
            </w:tcBorders>
            <w:vAlign w:val="center"/>
          </w:tcPr>
          <w:p>
            <w:pPr>
              <w:pStyle w:val="22"/>
              <w:bidi w:val="0"/>
              <w:rPr>
                <w:color w:val="0000FF"/>
              </w:rPr>
            </w:pPr>
            <w:r>
              <w:rPr>
                <w:rFonts w:hint="eastAsia"/>
                <w:color w:val="0000FF"/>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2</w:t>
            </w:r>
          </w:p>
        </w:tc>
        <w:tc>
          <w:tcPr>
            <w:tcW w:w="1733" w:type="pct"/>
            <w:tcBorders>
              <w:tl2br w:val="nil"/>
              <w:tr2bl w:val="nil"/>
            </w:tcBorders>
            <w:vAlign w:val="center"/>
          </w:tcPr>
          <w:p>
            <w:pPr>
              <w:pStyle w:val="22"/>
              <w:bidi w:val="0"/>
              <w:rPr>
                <w:color w:val="0000FF"/>
              </w:rPr>
            </w:pPr>
            <w:r>
              <w:rPr>
                <w:color w:val="0000FF"/>
              </w:rPr>
              <w:t>年极端最高气温</w:t>
            </w:r>
          </w:p>
        </w:tc>
        <w:tc>
          <w:tcPr>
            <w:tcW w:w="655" w:type="pct"/>
            <w:tcBorders>
              <w:tl2br w:val="nil"/>
              <w:tr2bl w:val="nil"/>
            </w:tcBorders>
            <w:vAlign w:val="center"/>
          </w:tcPr>
          <w:p>
            <w:pPr>
              <w:pStyle w:val="22"/>
              <w:bidi w:val="0"/>
              <w:rPr>
                <w:color w:val="0000FF"/>
              </w:rPr>
            </w:pPr>
            <w:r>
              <w:rPr>
                <w:rFonts w:hint="eastAsia"/>
                <w:color w:val="0000FF"/>
              </w:rPr>
              <w:t>℃</w:t>
            </w:r>
          </w:p>
        </w:tc>
        <w:tc>
          <w:tcPr>
            <w:tcW w:w="1955" w:type="pct"/>
            <w:tcBorders>
              <w:tl2br w:val="nil"/>
              <w:tr2bl w:val="nil"/>
            </w:tcBorders>
            <w:vAlign w:val="center"/>
          </w:tcPr>
          <w:p>
            <w:pPr>
              <w:pStyle w:val="22"/>
              <w:bidi w:val="0"/>
              <w:rPr>
                <w:color w:val="0000FF"/>
              </w:rPr>
            </w:pPr>
            <w:r>
              <w:rPr>
                <w:rFonts w:hint="eastAsia"/>
                <w:color w:val="0000FF"/>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3</w:t>
            </w:r>
          </w:p>
        </w:tc>
        <w:tc>
          <w:tcPr>
            <w:tcW w:w="1733" w:type="pct"/>
            <w:tcBorders>
              <w:tl2br w:val="nil"/>
              <w:tr2bl w:val="nil"/>
            </w:tcBorders>
            <w:vAlign w:val="center"/>
          </w:tcPr>
          <w:p>
            <w:pPr>
              <w:pStyle w:val="22"/>
              <w:bidi w:val="0"/>
              <w:rPr>
                <w:color w:val="0000FF"/>
              </w:rPr>
            </w:pPr>
            <w:r>
              <w:rPr>
                <w:color w:val="0000FF"/>
              </w:rPr>
              <w:t>年极端最低气温</w:t>
            </w:r>
          </w:p>
        </w:tc>
        <w:tc>
          <w:tcPr>
            <w:tcW w:w="655" w:type="pct"/>
            <w:tcBorders>
              <w:tl2br w:val="nil"/>
              <w:tr2bl w:val="nil"/>
            </w:tcBorders>
            <w:vAlign w:val="center"/>
          </w:tcPr>
          <w:p>
            <w:pPr>
              <w:pStyle w:val="22"/>
              <w:bidi w:val="0"/>
              <w:rPr>
                <w:color w:val="0000FF"/>
              </w:rPr>
            </w:pPr>
            <w:r>
              <w:rPr>
                <w:rFonts w:hint="eastAsia"/>
                <w:color w:val="0000FF"/>
              </w:rPr>
              <w:t>℃</w:t>
            </w:r>
          </w:p>
        </w:tc>
        <w:tc>
          <w:tcPr>
            <w:tcW w:w="1955" w:type="pct"/>
            <w:tcBorders>
              <w:tl2br w:val="nil"/>
              <w:tr2bl w:val="nil"/>
            </w:tcBorders>
            <w:vAlign w:val="center"/>
          </w:tcPr>
          <w:p>
            <w:pPr>
              <w:pStyle w:val="22"/>
              <w:bidi w:val="0"/>
              <w:rPr>
                <w:color w:val="0000FF"/>
              </w:rPr>
            </w:pPr>
            <w:r>
              <w:rPr>
                <w:color w:val="0000FF"/>
              </w:rPr>
              <w:t>-</w:t>
            </w:r>
            <w:r>
              <w:rPr>
                <w:rFonts w:hint="eastAsia"/>
                <w:color w:val="0000FF"/>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4</w:t>
            </w:r>
          </w:p>
        </w:tc>
        <w:tc>
          <w:tcPr>
            <w:tcW w:w="1733" w:type="pct"/>
            <w:tcBorders>
              <w:tl2br w:val="nil"/>
              <w:tr2bl w:val="nil"/>
            </w:tcBorders>
            <w:vAlign w:val="center"/>
          </w:tcPr>
          <w:p>
            <w:pPr>
              <w:pStyle w:val="22"/>
              <w:bidi w:val="0"/>
              <w:rPr>
                <w:color w:val="0000FF"/>
              </w:rPr>
            </w:pPr>
            <w:r>
              <w:rPr>
                <w:color w:val="0000FF"/>
              </w:rPr>
              <w:t>年平均降水量</w:t>
            </w:r>
          </w:p>
        </w:tc>
        <w:tc>
          <w:tcPr>
            <w:tcW w:w="655" w:type="pct"/>
            <w:tcBorders>
              <w:tl2br w:val="nil"/>
              <w:tr2bl w:val="nil"/>
            </w:tcBorders>
            <w:vAlign w:val="center"/>
          </w:tcPr>
          <w:p>
            <w:pPr>
              <w:pStyle w:val="22"/>
              <w:bidi w:val="0"/>
              <w:rPr>
                <w:color w:val="0000FF"/>
              </w:rPr>
            </w:pPr>
            <w:r>
              <w:rPr>
                <w:color w:val="0000FF"/>
              </w:rPr>
              <w:t>mm</w:t>
            </w:r>
          </w:p>
        </w:tc>
        <w:tc>
          <w:tcPr>
            <w:tcW w:w="1955" w:type="pct"/>
            <w:tcBorders>
              <w:tl2br w:val="nil"/>
              <w:tr2bl w:val="nil"/>
            </w:tcBorders>
            <w:vAlign w:val="center"/>
          </w:tcPr>
          <w:p>
            <w:pPr>
              <w:pStyle w:val="22"/>
              <w:bidi w:val="0"/>
              <w:rPr>
                <w:color w:val="0000FF"/>
              </w:rPr>
            </w:pPr>
            <w:r>
              <w:rPr>
                <w:rFonts w:hint="eastAsia"/>
                <w:color w:val="0000FF"/>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rFonts w:hint="eastAsia"/>
                <w:color w:val="0000FF"/>
              </w:rPr>
              <w:t>5</w:t>
            </w:r>
          </w:p>
        </w:tc>
        <w:tc>
          <w:tcPr>
            <w:tcW w:w="1733" w:type="pct"/>
            <w:tcBorders>
              <w:tl2br w:val="nil"/>
              <w:tr2bl w:val="nil"/>
            </w:tcBorders>
            <w:vAlign w:val="center"/>
          </w:tcPr>
          <w:p>
            <w:pPr>
              <w:pStyle w:val="22"/>
              <w:bidi w:val="0"/>
              <w:rPr>
                <w:color w:val="0000FF"/>
              </w:rPr>
            </w:pPr>
            <w:r>
              <w:rPr>
                <w:color w:val="0000FF"/>
              </w:rPr>
              <w:t>最大一日降水量</w:t>
            </w:r>
          </w:p>
        </w:tc>
        <w:tc>
          <w:tcPr>
            <w:tcW w:w="655" w:type="pct"/>
            <w:tcBorders>
              <w:tl2br w:val="nil"/>
              <w:tr2bl w:val="nil"/>
            </w:tcBorders>
            <w:vAlign w:val="center"/>
          </w:tcPr>
          <w:p>
            <w:pPr>
              <w:pStyle w:val="22"/>
              <w:bidi w:val="0"/>
              <w:rPr>
                <w:color w:val="0000FF"/>
              </w:rPr>
            </w:pPr>
            <w:r>
              <w:rPr>
                <w:color w:val="0000FF"/>
              </w:rPr>
              <w:t>mm</w:t>
            </w:r>
          </w:p>
        </w:tc>
        <w:tc>
          <w:tcPr>
            <w:tcW w:w="1955" w:type="pct"/>
            <w:tcBorders>
              <w:tl2br w:val="nil"/>
              <w:tr2bl w:val="nil"/>
            </w:tcBorders>
            <w:vAlign w:val="center"/>
          </w:tcPr>
          <w:p>
            <w:pPr>
              <w:pStyle w:val="22"/>
              <w:bidi w:val="0"/>
              <w:rPr>
                <w:color w:val="0000FF"/>
              </w:rPr>
            </w:pPr>
            <w:r>
              <w:rPr>
                <w:rFonts w:hint="eastAsia"/>
                <w:color w:val="0000FF"/>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rFonts w:hint="eastAsia"/>
                <w:color w:val="0000FF"/>
              </w:rPr>
              <w:t>6</w:t>
            </w:r>
          </w:p>
        </w:tc>
        <w:tc>
          <w:tcPr>
            <w:tcW w:w="1733" w:type="pct"/>
            <w:tcBorders>
              <w:tl2br w:val="nil"/>
              <w:tr2bl w:val="nil"/>
            </w:tcBorders>
            <w:vAlign w:val="center"/>
          </w:tcPr>
          <w:p>
            <w:pPr>
              <w:pStyle w:val="22"/>
              <w:bidi w:val="0"/>
              <w:rPr>
                <w:color w:val="0000FF"/>
              </w:rPr>
            </w:pPr>
            <w:r>
              <w:rPr>
                <w:color w:val="0000FF"/>
              </w:rPr>
              <w:t>年平均蒸发量</w:t>
            </w:r>
          </w:p>
        </w:tc>
        <w:tc>
          <w:tcPr>
            <w:tcW w:w="655" w:type="pct"/>
            <w:tcBorders>
              <w:tl2br w:val="nil"/>
              <w:tr2bl w:val="nil"/>
            </w:tcBorders>
            <w:vAlign w:val="center"/>
          </w:tcPr>
          <w:p>
            <w:pPr>
              <w:pStyle w:val="22"/>
              <w:bidi w:val="0"/>
              <w:rPr>
                <w:color w:val="0000FF"/>
              </w:rPr>
            </w:pPr>
            <w:r>
              <w:rPr>
                <w:color w:val="0000FF"/>
              </w:rPr>
              <w:t>mm</w:t>
            </w:r>
          </w:p>
        </w:tc>
        <w:tc>
          <w:tcPr>
            <w:tcW w:w="1955" w:type="pct"/>
            <w:tcBorders>
              <w:tl2br w:val="nil"/>
              <w:tr2bl w:val="nil"/>
            </w:tcBorders>
            <w:vAlign w:val="center"/>
          </w:tcPr>
          <w:p>
            <w:pPr>
              <w:pStyle w:val="22"/>
              <w:bidi w:val="0"/>
              <w:rPr>
                <w:color w:val="0000FF"/>
              </w:rPr>
            </w:pPr>
            <w:r>
              <w:rPr>
                <w:rFonts w:hint="eastAsia"/>
                <w:color w:val="0000FF"/>
              </w:rPr>
              <w:t>2602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rFonts w:hint="eastAsia"/>
                <w:color w:val="0000FF"/>
              </w:rPr>
              <w:t>7</w:t>
            </w:r>
          </w:p>
        </w:tc>
        <w:tc>
          <w:tcPr>
            <w:tcW w:w="1733" w:type="pct"/>
            <w:tcBorders>
              <w:tl2br w:val="nil"/>
              <w:tr2bl w:val="nil"/>
            </w:tcBorders>
            <w:vAlign w:val="center"/>
          </w:tcPr>
          <w:p>
            <w:pPr>
              <w:pStyle w:val="22"/>
              <w:bidi w:val="0"/>
              <w:rPr>
                <w:color w:val="0000FF"/>
              </w:rPr>
            </w:pPr>
            <w:r>
              <w:rPr>
                <w:color w:val="0000FF"/>
              </w:rPr>
              <w:t>最大</w:t>
            </w:r>
            <w:r>
              <w:rPr>
                <w:rFonts w:hint="eastAsia"/>
                <w:color w:val="0000FF"/>
              </w:rPr>
              <w:t>积雪</w:t>
            </w:r>
            <w:r>
              <w:rPr>
                <w:color w:val="0000FF"/>
              </w:rPr>
              <w:t>厚度</w:t>
            </w:r>
          </w:p>
        </w:tc>
        <w:tc>
          <w:tcPr>
            <w:tcW w:w="655" w:type="pct"/>
            <w:tcBorders>
              <w:tl2br w:val="nil"/>
              <w:tr2bl w:val="nil"/>
            </w:tcBorders>
            <w:vAlign w:val="center"/>
          </w:tcPr>
          <w:p>
            <w:pPr>
              <w:pStyle w:val="22"/>
              <w:bidi w:val="0"/>
              <w:rPr>
                <w:color w:val="0000FF"/>
              </w:rPr>
            </w:pPr>
            <w:r>
              <w:rPr>
                <w:color w:val="0000FF"/>
              </w:rPr>
              <w:t>cm</w:t>
            </w:r>
          </w:p>
        </w:tc>
        <w:tc>
          <w:tcPr>
            <w:tcW w:w="1955" w:type="pct"/>
            <w:tcBorders>
              <w:tl2br w:val="nil"/>
              <w:tr2bl w:val="nil"/>
            </w:tcBorders>
            <w:vAlign w:val="center"/>
          </w:tcPr>
          <w:p>
            <w:pPr>
              <w:pStyle w:val="22"/>
              <w:bidi w:val="0"/>
              <w:rPr>
                <w:color w:val="0000FF"/>
              </w:rPr>
            </w:pPr>
            <w:r>
              <w:rPr>
                <w:rFonts w:hint="eastAsia"/>
                <w:color w:val="0000FF"/>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8</w:t>
            </w:r>
          </w:p>
        </w:tc>
        <w:tc>
          <w:tcPr>
            <w:tcW w:w="1733" w:type="pct"/>
            <w:tcBorders>
              <w:tl2br w:val="nil"/>
              <w:tr2bl w:val="nil"/>
            </w:tcBorders>
            <w:vAlign w:val="center"/>
          </w:tcPr>
          <w:p>
            <w:pPr>
              <w:pStyle w:val="22"/>
              <w:bidi w:val="0"/>
              <w:rPr>
                <w:color w:val="0000FF"/>
              </w:rPr>
            </w:pPr>
            <w:r>
              <w:rPr>
                <w:color w:val="0000FF"/>
              </w:rPr>
              <w:t>年平均风速</w:t>
            </w:r>
          </w:p>
        </w:tc>
        <w:tc>
          <w:tcPr>
            <w:tcW w:w="655" w:type="pct"/>
            <w:tcBorders>
              <w:tl2br w:val="nil"/>
              <w:tr2bl w:val="nil"/>
            </w:tcBorders>
            <w:vAlign w:val="center"/>
          </w:tcPr>
          <w:p>
            <w:pPr>
              <w:pStyle w:val="22"/>
              <w:bidi w:val="0"/>
              <w:rPr>
                <w:color w:val="0000FF"/>
              </w:rPr>
            </w:pPr>
            <w:r>
              <w:rPr>
                <w:color w:val="0000FF"/>
              </w:rPr>
              <w:t>m/s</w:t>
            </w:r>
          </w:p>
        </w:tc>
        <w:tc>
          <w:tcPr>
            <w:tcW w:w="1955" w:type="pct"/>
            <w:tcBorders>
              <w:tl2br w:val="nil"/>
              <w:tr2bl w:val="nil"/>
            </w:tcBorders>
            <w:vAlign w:val="center"/>
          </w:tcPr>
          <w:p>
            <w:pPr>
              <w:pStyle w:val="22"/>
              <w:bidi w:val="0"/>
              <w:rPr>
                <w:color w:val="0000FF"/>
              </w:rPr>
            </w:pPr>
            <w:r>
              <w:rPr>
                <w:rFonts w:hint="eastAsia"/>
                <w:color w:val="0000FF"/>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9</w:t>
            </w:r>
          </w:p>
        </w:tc>
        <w:tc>
          <w:tcPr>
            <w:tcW w:w="1733" w:type="pct"/>
            <w:tcBorders>
              <w:tl2br w:val="nil"/>
              <w:tr2bl w:val="nil"/>
            </w:tcBorders>
            <w:vAlign w:val="center"/>
          </w:tcPr>
          <w:p>
            <w:pPr>
              <w:pStyle w:val="22"/>
              <w:bidi w:val="0"/>
              <w:rPr>
                <w:color w:val="0000FF"/>
              </w:rPr>
            </w:pPr>
            <w:r>
              <w:rPr>
                <w:color w:val="0000FF"/>
              </w:rPr>
              <w:t>年主导风向</w:t>
            </w:r>
          </w:p>
        </w:tc>
        <w:tc>
          <w:tcPr>
            <w:tcW w:w="655" w:type="pct"/>
            <w:tcBorders>
              <w:tl2br w:val="nil"/>
              <w:tr2bl w:val="nil"/>
            </w:tcBorders>
            <w:vAlign w:val="center"/>
          </w:tcPr>
          <w:p>
            <w:pPr>
              <w:pStyle w:val="22"/>
              <w:bidi w:val="0"/>
              <w:rPr>
                <w:color w:val="0000FF"/>
              </w:rPr>
            </w:pPr>
          </w:p>
        </w:tc>
        <w:tc>
          <w:tcPr>
            <w:tcW w:w="1955" w:type="pct"/>
            <w:tcBorders>
              <w:tl2br w:val="nil"/>
              <w:tr2bl w:val="nil"/>
            </w:tcBorders>
            <w:vAlign w:val="center"/>
          </w:tcPr>
          <w:p>
            <w:pPr>
              <w:pStyle w:val="22"/>
              <w:bidi w:val="0"/>
              <w:rPr>
                <w:color w:val="0000FF"/>
              </w:rPr>
            </w:pPr>
            <w:r>
              <w:rPr>
                <w:color w:val="0000FF"/>
              </w:rPr>
              <w:t>W</w:t>
            </w:r>
            <w:r>
              <w:rPr>
                <w:rFonts w:hint="eastAsia"/>
                <w:color w:val="0000FF"/>
                <w:lang w:eastAsia="zh-CN"/>
              </w:rPr>
              <w:t>.</w:t>
            </w:r>
            <w:r>
              <w:rPr>
                <w:rFonts w:hint="eastAsia"/>
                <w:color w:val="0000FF"/>
              </w:rPr>
              <w:t>NW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10</w:t>
            </w:r>
          </w:p>
        </w:tc>
        <w:tc>
          <w:tcPr>
            <w:tcW w:w="1733" w:type="pct"/>
            <w:tcBorders>
              <w:tl2br w:val="nil"/>
              <w:tr2bl w:val="nil"/>
            </w:tcBorders>
            <w:vAlign w:val="center"/>
          </w:tcPr>
          <w:p>
            <w:pPr>
              <w:pStyle w:val="22"/>
              <w:bidi w:val="0"/>
              <w:rPr>
                <w:color w:val="0000FF"/>
              </w:rPr>
            </w:pPr>
            <w:r>
              <w:rPr>
                <w:color w:val="0000FF"/>
              </w:rPr>
              <w:t>最大风速</w:t>
            </w:r>
          </w:p>
        </w:tc>
        <w:tc>
          <w:tcPr>
            <w:tcW w:w="655" w:type="pct"/>
            <w:tcBorders>
              <w:tl2br w:val="nil"/>
              <w:tr2bl w:val="nil"/>
            </w:tcBorders>
            <w:vAlign w:val="center"/>
          </w:tcPr>
          <w:p>
            <w:pPr>
              <w:pStyle w:val="22"/>
              <w:bidi w:val="0"/>
              <w:rPr>
                <w:color w:val="0000FF"/>
              </w:rPr>
            </w:pPr>
            <w:r>
              <w:rPr>
                <w:color w:val="0000FF"/>
              </w:rPr>
              <w:t>m/s</w:t>
            </w:r>
          </w:p>
        </w:tc>
        <w:tc>
          <w:tcPr>
            <w:tcW w:w="1955" w:type="pct"/>
            <w:tcBorders>
              <w:tl2br w:val="nil"/>
              <w:tr2bl w:val="nil"/>
            </w:tcBorders>
            <w:vAlign w:val="center"/>
          </w:tcPr>
          <w:p>
            <w:pPr>
              <w:pStyle w:val="22"/>
              <w:bidi w:val="0"/>
              <w:rPr>
                <w:color w:val="0000FF"/>
              </w:rPr>
            </w:pPr>
            <w:r>
              <w:rPr>
                <w:rFonts w:hint="eastAsia"/>
                <w:color w:val="0000FF"/>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11</w:t>
            </w:r>
          </w:p>
        </w:tc>
        <w:tc>
          <w:tcPr>
            <w:tcW w:w="1733" w:type="pct"/>
            <w:tcBorders>
              <w:tl2br w:val="nil"/>
              <w:tr2bl w:val="nil"/>
            </w:tcBorders>
            <w:vAlign w:val="center"/>
          </w:tcPr>
          <w:p>
            <w:pPr>
              <w:pStyle w:val="22"/>
              <w:bidi w:val="0"/>
              <w:rPr>
                <w:color w:val="0000FF"/>
              </w:rPr>
            </w:pPr>
            <w:r>
              <w:rPr>
                <w:rFonts w:hint="eastAsia"/>
                <w:color w:val="0000FF"/>
              </w:rPr>
              <w:t>平均相对湿度</w:t>
            </w:r>
          </w:p>
        </w:tc>
        <w:tc>
          <w:tcPr>
            <w:tcW w:w="655" w:type="pct"/>
            <w:tcBorders>
              <w:tl2br w:val="nil"/>
              <w:tr2bl w:val="nil"/>
            </w:tcBorders>
            <w:vAlign w:val="center"/>
          </w:tcPr>
          <w:p>
            <w:pPr>
              <w:pStyle w:val="22"/>
              <w:bidi w:val="0"/>
              <w:rPr>
                <w:color w:val="0000FF"/>
              </w:rPr>
            </w:pPr>
            <w:r>
              <w:rPr>
                <w:rFonts w:hint="eastAsia"/>
                <w:color w:val="0000FF"/>
              </w:rPr>
              <w:t>%</w:t>
            </w:r>
          </w:p>
        </w:tc>
        <w:tc>
          <w:tcPr>
            <w:tcW w:w="1955" w:type="pct"/>
            <w:tcBorders>
              <w:tl2br w:val="nil"/>
              <w:tr2bl w:val="nil"/>
            </w:tcBorders>
            <w:vAlign w:val="center"/>
          </w:tcPr>
          <w:p>
            <w:pPr>
              <w:pStyle w:val="22"/>
              <w:bidi w:val="0"/>
              <w:rPr>
                <w:color w:val="0000FF"/>
              </w:rPr>
            </w:pPr>
            <w:r>
              <w:rPr>
                <w:rFonts w:hint="eastAsia"/>
                <w:color w:val="0000FF"/>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12</w:t>
            </w:r>
          </w:p>
        </w:tc>
        <w:tc>
          <w:tcPr>
            <w:tcW w:w="1733" w:type="pct"/>
            <w:tcBorders>
              <w:tl2br w:val="nil"/>
              <w:tr2bl w:val="nil"/>
            </w:tcBorders>
            <w:vAlign w:val="center"/>
          </w:tcPr>
          <w:p>
            <w:pPr>
              <w:pStyle w:val="22"/>
              <w:bidi w:val="0"/>
              <w:rPr>
                <w:color w:val="0000FF"/>
              </w:rPr>
            </w:pPr>
            <w:r>
              <w:rPr>
                <w:color w:val="0000FF"/>
              </w:rPr>
              <w:t>≥10</w:t>
            </w:r>
            <w:r>
              <w:rPr>
                <w:rFonts w:hint="eastAsia"/>
                <w:color w:val="0000FF"/>
              </w:rPr>
              <w:t>℃</w:t>
            </w:r>
            <w:r>
              <w:rPr>
                <w:color w:val="0000FF"/>
              </w:rPr>
              <w:t>积温</w:t>
            </w:r>
          </w:p>
        </w:tc>
        <w:tc>
          <w:tcPr>
            <w:tcW w:w="655" w:type="pct"/>
            <w:tcBorders>
              <w:tl2br w:val="nil"/>
              <w:tr2bl w:val="nil"/>
            </w:tcBorders>
            <w:vAlign w:val="center"/>
          </w:tcPr>
          <w:p>
            <w:pPr>
              <w:pStyle w:val="22"/>
              <w:bidi w:val="0"/>
              <w:rPr>
                <w:color w:val="0000FF"/>
              </w:rPr>
            </w:pPr>
            <w:r>
              <w:rPr>
                <w:rFonts w:hint="eastAsia"/>
                <w:color w:val="0000FF"/>
              </w:rPr>
              <w:t>℃</w:t>
            </w:r>
          </w:p>
        </w:tc>
        <w:tc>
          <w:tcPr>
            <w:tcW w:w="1955" w:type="pct"/>
            <w:tcBorders>
              <w:tl2br w:val="nil"/>
              <w:tr2bl w:val="nil"/>
            </w:tcBorders>
            <w:vAlign w:val="center"/>
          </w:tcPr>
          <w:p>
            <w:pPr>
              <w:pStyle w:val="22"/>
              <w:bidi w:val="0"/>
              <w:rPr>
                <w:color w:val="0000FF"/>
              </w:rPr>
            </w:pPr>
            <w:r>
              <w:rPr>
                <w:rFonts w:hint="eastAsia"/>
                <w:color w:val="0000FF"/>
              </w:rPr>
              <w:t>4100-4700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rFonts w:hint="eastAsia"/>
                <w:color w:val="0000FF"/>
              </w:rPr>
              <w:t>13</w:t>
            </w:r>
          </w:p>
        </w:tc>
        <w:tc>
          <w:tcPr>
            <w:tcW w:w="1733" w:type="pct"/>
            <w:tcBorders>
              <w:tl2br w:val="nil"/>
              <w:tr2bl w:val="nil"/>
            </w:tcBorders>
            <w:vAlign w:val="center"/>
          </w:tcPr>
          <w:p>
            <w:pPr>
              <w:pStyle w:val="22"/>
              <w:bidi w:val="0"/>
              <w:rPr>
                <w:color w:val="0000FF"/>
              </w:rPr>
            </w:pPr>
            <w:r>
              <w:rPr>
                <w:color w:val="0000FF"/>
              </w:rPr>
              <w:t>年平均日照对数</w:t>
            </w:r>
          </w:p>
        </w:tc>
        <w:tc>
          <w:tcPr>
            <w:tcW w:w="655" w:type="pct"/>
            <w:tcBorders>
              <w:tl2br w:val="nil"/>
              <w:tr2bl w:val="nil"/>
            </w:tcBorders>
            <w:vAlign w:val="center"/>
          </w:tcPr>
          <w:p>
            <w:pPr>
              <w:pStyle w:val="22"/>
              <w:bidi w:val="0"/>
              <w:rPr>
                <w:color w:val="0000FF"/>
              </w:rPr>
            </w:pPr>
            <w:r>
              <w:rPr>
                <w:color w:val="0000FF"/>
              </w:rPr>
              <w:t>h</w:t>
            </w:r>
          </w:p>
        </w:tc>
        <w:tc>
          <w:tcPr>
            <w:tcW w:w="1955" w:type="pct"/>
            <w:tcBorders>
              <w:tl2br w:val="nil"/>
              <w:tr2bl w:val="nil"/>
            </w:tcBorders>
            <w:vAlign w:val="center"/>
          </w:tcPr>
          <w:p>
            <w:pPr>
              <w:pStyle w:val="22"/>
              <w:bidi w:val="0"/>
              <w:rPr>
                <w:color w:val="0000FF"/>
              </w:rPr>
            </w:pPr>
            <w:r>
              <w:rPr>
                <w:rFonts w:hint="eastAsia"/>
                <w:color w:val="0000FF"/>
              </w:rPr>
              <w:t>2610.6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color w:val="0000FF"/>
              </w:rPr>
              <w:t>1</w:t>
            </w:r>
            <w:r>
              <w:rPr>
                <w:rFonts w:hint="eastAsia"/>
                <w:color w:val="0000FF"/>
              </w:rPr>
              <w:t>4</w:t>
            </w:r>
          </w:p>
        </w:tc>
        <w:tc>
          <w:tcPr>
            <w:tcW w:w="1733" w:type="pct"/>
            <w:tcBorders>
              <w:tl2br w:val="nil"/>
              <w:tr2bl w:val="nil"/>
            </w:tcBorders>
            <w:vAlign w:val="center"/>
          </w:tcPr>
          <w:p>
            <w:pPr>
              <w:pStyle w:val="22"/>
              <w:bidi w:val="0"/>
              <w:rPr>
                <w:color w:val="0000FF"/>
              </w:rPr>
            </w:pPr>
            <w:r>
              <w:rPr>
                <w:color w:val="0000FF"/>
              </w:rPr>
              <w:t>多年平均雷暴日数</w:t>
            </w:r>
          </w:p>
        </w:tc>
        <w:tc>
          <w:tcPr>
            <w:tcW w:w="655" w:type="pct"/>
            <w:tcBorders>
              <w:tl2br w:val="nil"/>
              <w:tr2bl w:val="nil"/>
            </w:tcBorders>
            <w:vAlign w:val="center"/>
          </w:tcPr>
          <w:p>
            <w:pPr>
              <w:pStyle w:val="22"/>
              <w:bidi w:val="0"/>
              <w:rPr>
                <w:color w:val="0000FF"/>
              </w:rPr>
            </w:pPr>
            <w:r>
              <w:rPr>
                <w:rFonts w:hint="eastAsia"/>
                <w:color w:val="0000FF"/>
              </w:rPr>
              <w:t>d</w:t>
            </w:r>
          </w:p>
        </w:tc>
        <w:tc>
          <w:tcPr>
            <w:tcW w:w="1955" w:type="pct"/>
            <w:tcBorders>
              <w:tl2br w:val="nil"/>
              <w:tr2bl w:val="nil"/>
            </w:tcBorders>
            <w:vAlign w:val="center"/>
          </w:tcPr>
          <w:p>
            <w:pPr>
              <w:pStyle w:val="22"/>
              <w:bidi w:val="0"/>
              <w:rPr>
                <w:color w:val="0000FF"/>
              </w:rPr>
            </w:pPr>
            <w:r>
              <w:rPr>
                <w:rFonts w:hint="eastAsia"/>
                <w:color w:val="0000FF"/>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rFonts w:hint="eastAsia"/>
                <w:color w:val="0000FF"/>
              </w:rPr>
              <w:t>15</w:t>
            </w:r>
          </w:p>
        </w:tc>
        <w:tc>
          <w:tcPr>
            <w:tcW w:w="1733" w:type="pct"/>
            <w:tcBorders>
              <w:tl2br w:val="nil"/>
              <w:tr2bl w:val="nil"/>
            </w:tcBorders>
            <w:vAlign w:val="center"/>
          </w:tcPr>
          <w:p>
            <w:pPr>
              <w:pStyle w:val="22"/>
              <w:bidi w:val="0"/>
              <w:rPr>
                <w:color w:val="0000FF"/>
              </w:rPr>
            </w:pPr>
            <w:r>
              <w:rPr>
                <w:color w:val="0000FF"/>
              </w:rPr>
              <w:t>无霜期</w:t>
            </w:r>
          </w:p>
        </w:tc>
        <w:tc>
          <w:tcPr>
            <w:tcW w:w="655" w:type="pct"/>
            <w:tcBorders>
              <w:tl2br w:val="nil"/>
              <w:tr2bl w:val="nil"/>
            </w:tcBorders>
            <w:vAlign w:val="center"/>
          </w:tcPr>
          <w:p>
            <w:pPr>
              <w:pStyle w:val="22"/>
              <w:bidi w:val="0"/>
              <w:rPr>
                <w:color w:val="0000FF"/>
              </w:rPr>
            </w:pPr>
            <w:r>
              <w:rPr>
                <w:color w:val="0000FF"/>
              </w:rPr>
              <w:t>d</w:t>
            </w:r>
          </w:p>
        </w:tc>
        <w:tc>
          <w:tcPr>
            <w:tcW w:w="1955" w:type="pct"/>
            <w:tcBorders>
              <w:tl2br w:val="nil"/>
              <w:tr2bl w:val="nil"/>
            </w:tcBorders>
            <w:vAlign w:val="center"/>
          </w:tcPr>
          <w:p>
            <w:pPr>
              <w:pStyle w:val="22"/>
              <w:bidi w:val="0"/>
              <w:rPr>
                <w:color w:val="0000FF"/>
              </w:rPr>
            </w:pPr>
            <w:r>
              <w:rPr>
                <w:rFonts w:hint="eastAsia"/>
                <w:color w:val="0000FF"/>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vAlign w:val="center"/>
          </w:tcPr>
          <w:p>
            <w:pPr>
              <w:pStyle w:val="22"/>
              <w:bidi w:val="0"/>
              <w:rPr>
                <w:color w:val="0000FF"/>
              </w:rPr>
            </w:pPr>
            <w:r>
              <w:rPr>
                <w:rFonts w:hint="eastAsia"/>
                <w:color w:val="0000FF"/>
              </w:rPr>
              <w:t>16</w:t>
            </w:r>
          </w:p>
        </w:tc>
        <w:tc>
          <w:tcPr>
            <w:tcW w:w="1733" w:type="pct"/>
            <w:tcBorders>
              <w:tl2br w:val="nil"/>
              <w:tr2bl w:val="nil"/>
            </w:tcBorders>
            <w:vAlign w:val="center"/>
          </w:tcPr>
          <w:p>
            <w:pPr>
              <w:pStyle w:val="22"/>
              <w:bidi w:val="0"/>
              <w:rPr>
                <w:color w:val="0000FF"/>
              </w:rPr>
            </w:pPr>
            <w:r>
              <w:rPr>
                <w:rFonts w:hint="eastAsia"/>
                <w:color w:val="0000FF"/>
              </w:rPr>
              <w:t>最大冻土深度</w:t>
            </w:r>
          </w:p>
        </w:tc>
        <w:tc>
          <w:tcPr>
            <w:tcW w:w="655" w:type="pct"/>
            <w:tcBorders>
              <w:tl2br w:val="nil"/>
              <w:tr2bl w:val="nil"/>
            </w:tcBorders>
            <w:vAlign w:val="center"/>
          </w:tcPr>
          <w:p>
            <w:pPr>
              <w:pStyle w:val="22"/>
              <w:bidi w:val="0"/>
              <w:rPr>
                <w:color w:val="0000FF"/>
              </w:rPr>
            </w:pPr>
            <w:r>
              <w:rPr>
                <w:rFonts w:hint="eastAsia"/>
                <w:color w:val="0000FF"/>
              </w:rPr>
              <w:t>cm</w:t>
            </w:r>
          </w:p>
        </w:tc>
        <w:tc>
          <w:tcPr>
            <w:tcW w:w="1955" w:type="pct"/>
            <w:tcBorders>
              <w:tl2br w:val="nil"/>
              <w:tr2bl w:val="nil"/>
            </w:tcBorders>
            <w:vAlign w:val="center"/>
          </w:tcPr>
          <w:p>
            <w:pPr>
              <w:pStyle w:val="22"/>
              <w:bidi w:val="0"/>
              <w:rPr>
                <w:color w:val="0000FF"/>
              </w:rPr>
            </w:pPr>
            <w:r>
              <w:rPr>
                <w:rFonts w:hint="eastAsia"/>
                <w:color w:val="0000FF"/>
              </w:rPr>
              <w:t>67</w:t>
            </w:r>
          </w:p>
        </w:tc>
      </w:tr>
    </w:tbl>
    <w:p>
      <w:pPr>
        <w:pStyle w:val="22"/>
        <w:bidi w:val="0"/>
        <w:jc w:val="left"/>
        <w:rPr>
          <w:rFonts w:hint="default"/>
          <w:color w:val="0000FF"/>
          <w:lang w:val="en-US" w:eastAsia="zh-CN"/>
        </w:rPr>
      </w:pPr>
      <w:r>
        <w:rPr>
          <w:rFonts w:hint="eastAsia"/>
          <w:color w:val="0000FF"/>
          <w:lang w:eastAsia="zh-CN"/>
        </w:rPr>
        <w:t>注：数据来源为</w:t>
      </w:r>
      <w:r>
        <w:rPr>
          <w:rFonts w:hint="eastAsia"/>
          <w:color w:val="0000FF"/>
          <w:lang w:val="en-US" w:eastAsia="zh-CN"/>
        </w:rPr>
        <w:t>于田县水文气象站，数据时间为1999-2020年。</w:t>
      </w:r>
    </w:p>
    <w:p>
      <w:pPr>
        <w:pStyle w:val="6"/>
        <w:bidi w:val="0"/>
        <w:rPr>
          <w:rFonts w:hint="eastAsia"/>
          <w:lang w:val="en-US" w:eastAsia="zh-CN"/>
        </w:rPr>
      </w:pPr>
      <w:bookmarkStart w:id="77" w:name="_Toc8942"/>
      <w:r>
        <w:rPr>
          <w:rFonts w:hint="eastAsia"/>
          <w:lang w:val="en-US" w:eastAsia="zh-CN"/>
        </w:rPr>
        <w:t>4.1.4水文及水文地质</w:t>
      </w:r>
      <w:bookmarkEnd w:id="77"/>
    </w:p>
    <w:p>
      <w:pPr>
        <w:pStyle w:val="7"/>
        <w:bidi w:val="0"/>
        <w:rPr>
          <w:rFonts w:hint="eastAsia"/>
          <w:lang w:val="en-US" w:eastAsia="zh-CN"/>
        </w:rPr>
      </w:pPr>
      <w:r>
        <w:rPr>
          <w:rFonts w:hint="eastAsia"/>
          <w:lang w:val="en-US" w:eastAsia="zh-CN"/>
        </w:rPr>
        <w:t>4.1.4.1水文</w:t>
      </w:r>
    </w:p>
    <w:p>
      <w:pPr>
        <w:bidi w:val="0"/>
        <w:rPr>
          <w:color w:val="0000FF"/>
        </w:rPr>
      </w:pPr>
      <w:r>
        <w:rPr>
          <w:color w:val="0000FF"/>
        </w:rPr>
        <w:t>22</w:t>
      </w:r>
      <w:r>
        <w:rPr>
          <w:rFonts w:hint="eastAsia"/>
          <w:color w:val="0000FF"/>
        </w:rPr>
        <w:t>5</w:t>
      </w:r>
      <w:r>
        <w:rPr>
          <w:color w:val="0000FF"/>
        </w:rPr>
        <w:t>团属于和田河流域，该流域位于塔里木盆地南缘，</w:t>
      </w:r>
      <w:r>
        <w:rPr>
          <w:rFonts w:hint="eastAsia"/>
          <w:color w:val="0000FF"/>
          <w:lang w:eastAsia="zh-CN"/>
        </w:rPr>
        <w:t>东临</w:t>
      </w:r>
      <w:r>
        <w:rPr>
          <w:color w:val="0000FF"/>
        </w:rPr>
        <w:t>克里雅河流域、南以昆仑山和喀喇昆仑山为界与西藏和克什米尔相邻、西与叶尔羌河流域接壤、北接塔克拉玛干沙漠，流域总面积4.887万km</w:t>
      </w:r>
      <w:r>
        <w:rPr>
          <w:color w:val="0000FF"/>
          <w:vertAlign w:val="superscript"/>
        </w:rPr>
        <w:t>2</w:t>
      </w:r>
      <w:r>
        <w:rPr>
          <w:color w:val="0000FF"/>
        </w:rPr>
        <w:t>。流域包括的行政区为和田地区的和田县、墨玉县、洛甫县、和田市及兵团第十四师全部，皮山县和策勒县各一小部分，阿克苏地区阿瓦提县一部分。</w:t>
      </w:r>
    </w:p>
    <w:p>
      <w:pPr>
        <w:bidi w:val="0"/>
        <w:rPr>
          <w:color w:val="0000FF"/>
        </w:rPr>
      </w:pPr>
      <w:r>
        <w:rPr>
          <w:color w:val="0000FF"/>
        </w:rPr>
        <w:t>和田河有玉龙喀什河</w:t>
      </w:r>
      <w:r>
        <w:rPr>
          <w:rFonts w:hint="eastAsia"/>
          <w:color w:val="0000FF"/>
          <w:lang w:eastAsia="zh-CN"/>
        </w:rPr>
        <w:t>（</w:t>
      </w:r>
      <w:r>
        <w:rPr>
          <w:color w:val="0000FF"/>
        </w:rPr>
        <w:t>简称玉河</w:t>
      </w:r>
      <w:r>
        <w:rPr>
          <w:rFonts w:hint="eastAsia"/>
          <w:color w:val="0000FF"/>
          <w:lang w:eastAsia="zh-CN"/>
        </w:rPr>
        <w:t>）</w:t>
      </w:r>
      <w:r>
        <w:rPr>
          <w:color w:val="0000FF"/>
        </w:rPr>
        <w:t>和喀拉喀什河</w:t>
      </w:r>
      <w:r>
        <w:rPr>
          <w:rFonts w:hint="eastAsia"/>
          <w:color w:val="0000FF"/>
          <w:lang w:eastAsia="zh-CN"/>
        </w:rPr>
        <w:t>（</w:t>
      </w:r>
      <w:r>
        <w:rPr>
          <w:color w:val="0000FF"/>
        </w:rPr>
        <w:t>简称喀河，22</w:t>
      </w:r>
      <w:r>
        <w:rPr>
          <w:rFonts w:hint="eastAsia"/>
          <w:color w:val="0000FF"/>
        </w:rPr>
        <w:t>5</w:t>
      </w:r>
      <w:r>
        <w:rPr>
          <w:color w:val="0000FF"/>
        </w:rPr>
        <w:t>团即从该河引水</w:t>
      </w:r>
      <w:r>
        <w:rPr>
          <w:rFonts w:hint="eastAsia"/>
          <w:color w:val="0000FF"/>
          <w:lang w:eastAsia="zh-CN"/>
        </w:rPr>
        <w:t>）</w:t>
      </w:r>
      <w:r>
        <w:rPr>
          <w:color w:val="0000FF"/>
        </w:rPr>
        <w:t>两大支流。喀河发源于昆仑山和喀喇昆仑山，全长808km，多年平均径流量21.48亿m</w:t>
      </w:r>
      <w:r>
        <w:rPr>
          <w:color w:val="0000FF"/>
          <w:vertAlign w:val="superscript"/>
        </w:rPr>
        <w:t>3</w:t>
      </w:r>
      <w:r>
        <w:rPr>
          <w:color w:val="0000FF"/>
        </w:rPr>
        <w:t>。玉河和喀河在阔什拉什汇合后称和田河，穿越塔克拉玛干沙漠后注入塔里木河，是塔里木河的主要源流之一，和田河干流段长319km。</w:t>
      </w:r>
    </w:p>
    <w:p>
      <w:pPr>
        <w:pStyle w:val="7"/>
        <w:bidi w:val="0"/>
        <w:rPr>
          <w:rFonts w:hint="eastAsia"/>
          <w:lang w:val="en-US" w:eastAsia="zh-CN"/>
        </w:rPr>
      </w:pPr>
      <w:r>
        <w:rPr>
          <w:rFonts w:hint="eastAsia"/>
          <w:lang w:val="en-US" w:eastAsia="zh-CN"/>
        </w:rPr>
        <w:t>4.1.4.2地质</w:t>
      </w:r>
    </w:p>
    <w:p>
      <w:pPr>
        <w:bidi w:val="0"/>
        <w:rPr>
          <w:color w:val="0000FF"/>
        </w:rPr>
      </w:pPr>
      <w:r>
        <w:rPr>
          <w:color w:val="0000FF"/>
        </w:rPr>
        <w:t>依据225团的岩土工程勘察资料</w:t>
      </w:r>
      <w:r>
        <w:rPr>
          <w:rFonts w:hint="eastAsia"/>
          <w:color w:val="0000FF"/>
          <w:lang w:eastAsia="zh-CN"/>
        </w:rPr>
        <w:t>，</w:t>
      </w:r>
      <w:r>
        <w:rPr>
          <w:color w:val="0000FF"/>
        </w:rPr>
        <w:t>现将项目建设地点工程地质条件说明如下：</w:t>
      </w:r>
    </w:p>
    <w:p>
      <w:pPr>
        <w:bidi w:val="0"/>
        <w:rPr>
          <w:color w:val="0000FF"/>
        </w:rPr>
      </w:pPr>
      <w:r>
        <w:rPr>
          <w:color w:val="0000FF"/>
        </w:rPr>
        <w:t>拟建场地地貌单一，地形平坦，地层成简单，均匀性良好。场地中软土，建筑场地类别为Ⅱ类。场地内及其附近未发现不良地质作用。埋深2.00-7.00米地基土地震液化等级为中等液化，属防震不利地段。</w:t>
      </w:r>
    </w:p>
    <w:p>
      <w:pPr>
        <w:bidi w:val="0"/>
        <w:rPr>
          <w:color w:val="0000FF"/>
        </w:rPr>
      </w:pPr>
      <w:r>
        <w:rPr>
          <w:color w:val="0000FF"/>
        </w:rPr>
        <w:t>根据地基土化学分析实验结果，地基土对混凝土不具腐蚀性；对混凝土结构中钢筋不具腐蚀性；对钢结构不具腐蚀性。</w:t>
      </w:r>
    </w:p>
    <w:p>
      <w:pPr>
        <w:bidi w:val="0"/>
        <w:rPr>
          <w:color w:val="0000FF"/>
        </w:rPr>
      </w:pPr>
      <w:r>
        <w:rPr>
          <w:color w:val="0000FF"/>
        </w:rPr>
        <w:t>勘察区内潜水埋深2.48-2.55米，地下水年变幅一般为0.50-1.00米。根据地下水分析结果，地下水对混凝土不具腐蚀性，对混凝土结构中钢筋具中等腐蚀性；对钢结构具中等腐蚀性，因此应按相关规范对基础进行防腐保护。</w:t>
      </w:r>
    </w:p>
    <w:p>
      <w:pPr>
        <w:bidi w:val="0"/>
        <w:rPr>
          <w:color w:val="0000FF"/>
        </w:rPr>
      </w:pPr>
      <w:r>
        <w:rPr>
          <w:color w:val="0000FF"/>
        </w:rPr>
        <w:t>根据《建筑抗震设计规范》（GB50011-2015）场区抗震设防烈度为7度，设计基础地震加速度值为0.10g，设计地震分组为第三级，特征周期值为0.45s。</w:t>
      </w:r>
    </w:p>
    <w:p>
      <w:pPr>
        <w:bidi w:val="0"/>
        <w:rPr>
          <w:color w:val="0000FF"/>
        </w:rPr>
      </w:pPr>
      <w:r>
        <w:rPr>
          <w:color w:val="0000FF"/>
        </w:rPr>
        <w:t>根据《建筑地基基础设计规范》（</w:t>
      </w:r>
      <w:r>
        <w:rPr>
          <w:rFonts w:hint="eastAsia"/>
          <w:color w:val="0000FF"/>
          <w:lang w:eastAsia="zh-CN"/>
        </w:rPr>
        <w:t>GB50007-2011</w:t>
      </w:r>
      <w:r>
        <w:rPr>
          <w:color w:val="0000FF"/>
        </w:rPr>
        <w:t>）《中国季节性冻土标准冻深线图》</w:t>
      </w:r>
      <w:r>
        <w:rPr>
          <w:rFonts w:hint="eastAsia"/>
          <w:color w:val="0000FF"/>
          <w:lang w:eastAsia="zh-CN"/>
        </w:rPr>
        <w:t>：</w:t>
      </w:r>
      <w:r>
        <w:rPr>
          <w:color w:val="0000FF"/>
        </w:rPr>
        <w:t>场地标准冻深0.67米。</w:t>
      </w:r>
    </w:p>
    <w:p>
      <w:pPr>
        <w:pStyle w:val="5"/>
        <w:bidi w:val="0"/>
        <w:rPr>
          <w:rFonts w:hint="eastAsia"/>
          <w:lang w:val="en-US" w:eastAsia="zh-CN"/>
        </w:rPr>
      </w:pPr>
      <w:bookmarkStart w:id="78" w:name="_Toc29036"/>
      <w:r>
        <w:rPr>
          <w:rFonts w:hint="eastAsia"/>
          <w:lang w:val="en-US" w:eastAsia="zh-CN"/>
        </w:rPr>
        <w:t>4.2环境质量现状评价</w:t>
      </w:r>
      <w:bookmarkEnd w:id="78"/>
    </w:p>
    <w:p>
      <w:pPr>
        <w:pStyle w:val="6"/>
        <w:bidi w:val="0"/>
        <w:rPr>
          <w:rFonts w:hint="eastAsia"/>
          <w:color w:val="0000FF"/>
          <w:lang w:val="en-US" w:eastAsia="zh-CN"/>
        </w:rPr>
      </w:pPr>
      <w:bookmarkStart w:id="79" w:name="_Toc26450"/>
      <w:r>
        <w:rPr>
          <w:rFonts w:hint="eastAsia"/>
          <w:color w:val="0000FF"/>
          <w:lang w:val="en-US" w:eastAsia="zh-CN"/>
        </w:rPr>
        <w:t>4.3.1环境空气质量现状评价</w:t>
      </w:r>
      <w:bookmarkEnd w:id="79"/>
    </w:p>
    <w:p>
      <w:pPr>
        <w:pStyle w:val="7"/>
        <w:bidi w:val="0"/>
        <w:rPr>
          <w:color w:val="0000FF"/>
        </w:rPr>
      </w:pPr>
      <w:r>
        <w:rPr>
          <w:color w:val="0000FF"/>
        </w:rPr>
        <w:t>4.2.1.1</w:t>
      </w:r>
      <w:r>
        <w:rPr>
          <w:rFonts w:hint="eastAsia"/>
          <w:color w:val="0000FF"/>
          <w:lang w:val="en-US" w:eastAsia="zh-CN"/>
        </w:rPr>
        <w:t>数据来源</w:t>
      </w:r>
    </w:p>
    <w:p>
      <w:pPr>
        <w:keepNext w:val="0"/>
        <w:keepLines w:val="0"/>
        <w:widowControl/>
        <w:suppressLineNumbers w:val="0"/>
        <w:jc w:val="left"/>
        <w:rPr>
          <w:rFonts w:hint="eastAsia" w:ascii="宋体" w:hAnsi="宋体" w:eastAsia="宋体" w:cs="宋体"/>
          <w:color w:val="0000FF"/>
          <w:kern w:val="0"/>
          <w:sz w:val="24"/>
          <w:szCs w:val="24"/>
          <w:lang w:val="en-US" w:eastAsia="zh-CN" w:bidi="ar"/>
        </w:rPr>
      </w:pPr>
      <w:r>
        <w:rPr>
          <w:color w:val="0000FF"/>
        </w:rPr>
        <w:t>根据《环境影响评价技术导则</w:t>
      </w:r>
      <w:r>
        <w:rPr>
          <w:rFonts w:hint="eastAsia"/>
          <w:color w:val="0000FF"/>
          <w:lang w:val="en-US" w:eastAsia="zh-CN"/>
        </w:rPr>
        <w:t xml:space="preserve"> </w:t>
      </w:r>
      <w:r>
        <w:rPr>
          <w:color w:val="0000FF"/>
        </w:rPr>
        <w:t>大气环境》（HJ2.2-2018）中相关要求，</w:t>
      </w:r>
      <w:r>
        <w:rPr>
          <w:rFonts w:hint="eastAsia" w:ascii="宋体" w:hAnsi="宋体" w:eastAsia="宋体" w:cs="宋体"/>
          <w:color w:val="0000FF"/>
          <w:kern w:val="0"/>
          <w:sz w:val="24"/>
          <w:szCs w:val="24"/>
          <w:lang w:val="en-US" w:eastAsia="zh-CN" w:bidi="ar"/>
        </w:rPr>
        <w:t>本次采用和田地区国控点</w:t>
      </w:r>
      <w:r>
        <w:rPr>
          <w:rFonts w:hint="default" w:ascii="Times New Roman" w:hAnsi="Times New Roman" w:eastAsia="宋体" w:cs="Times New Roman"/>
          <w:color w:val="0000FF"/>
          <w:kern w:val="0"/>
          <w:sz w:val="24"/>
          <w:szCs w:val="24"/>
          <w:lang w:val="en-US" w:eastAsia="zh-CN" w:bidi="ar"/>
        </w:rPr>
        <w:t>2020</w:t>
      </w:r>
      <w:r>
        <w:rPr>
          <w:rFonts w:hint="eastAsia" w:ascii="宋体" w:hAnsi="宋体" w:eastAsia="宋体" w:cs="宋体"/>
          <w:color w:val="0000FF"/>
          <w:kern w:val="0"/>
          <w:sz w:val="24"/>
          <w:szCs w:val="24"/>
          <w:lang w:val="en-US" w:eastAsia="zh-CN" w:bidi="ar"/>
        </w:rPr>
        <w:t>年的监测数据，作为本项目环境空气质量现状评价基本污染物</w:t>
      </w:r>
      <w:r>
        <w:rPr>
          <w:rFonts w:hint="default" w:ascii="Times New Roman" w:hAnsi="Times New Roman" w:eastAsia="宋体" w:cs="Times New Roman"/>
          <w:color w:val="0000FF"/>
          <w:kern w:val="0"/>
          <w:sz w:val="24"/>
          <w:szCs w:val="24"/>
          <w:lang w:val="en-US" w:eastAsia="zh-CN" w:bidi="ar"/>
        </w:rPr>
        <w:t>SO</w:t>
      </w:r>
      <w:r>
        <w:rPr>
          <w:rFonts w:hint="eastAsia" w:cs="Times New Roman"/>
          <w:color w:val="0000FF"/>
          <w:kern w:val="0"/>
          <w:sz w:val="24"/>
          <w:szCs w:val="24"/>
          <w:vertAlign w:val="subscript"/>
          <w:lang w:val="en-US" w:eastAsia="zh-CN" w:bidi="ar"/>
        </w:rPr>
        <w:t>2</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NO</w:t>
      </w:r>
      <w:r>
        <w:rPr>
          <w:rFonts w:hint="eastAsia" w:cs="Times New Roman"/>
          <w:color w:val="0000FF"/>
          <w:kern w:val="0"/>
          <w:sz w:val="24"/>
          <w:szCs w:val="24"/>
          <w:vertAlign w:val="subscript"/>
          <w:lang w:val="en-US" w:eastAsia="zh-CN" w:bidi="ar"/>
        </w:rPr>
        <w:t>2</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PM</w:t>
      </w:r>
      <w:r>
        <w:rPr>
          <w:rFonts w:hint="eastAsia" w:cs="Times New Roman"/>
          <w:color w:val="0000FF"/>
          <w:kern w:val="0"/>
          <w:sz w:val="24"/>
          <w:szCs w:val="24"/>
          <w:vertAlign w:val="subscript"/>
          <w:lang w:val="en-US" w:eastAsia="zh-CN" w:bidi="ar"/>
        </w:rPr>
        <w:t>10</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PM</w:t>
      </w:r>
      <w:r>
        <w:rPr>
          <w:rFonts w:hint="eastAsia" w:cs="Times New Roman"/>
          <w:color w:val="0000FF"/>
          <w:kern w:val="0"/>
          <w:sz w:val="24"/>
          <w:szCs w:val="24"/>
          <w:vertAlign w:val="subscript"/>
          <w:lang w:val="en-US" w:eastAsia="zh-CN" w:bidi="ar"/>
        </w:rPr>
        <w:t>2.5</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CO</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O</w:t>
      </w:r>
      <w:r>
        <w:rPr>
          <w:rFonts w:hint="eastAsia" w:cs="Times New Roman"/>
          <w:color w:val="0000FF"/>
          <w:kern w:val="0"/>
          <w:sz w:val="24"/>
          <w:szCs w:val="24"/>
          <w:vertAlign w:val="subscript"/>
          <w:lang w:val="en-US" w:eastAsia="zh-CN" w:bidi="ar"/>
        </w:rPr>
        <w:t>3</w:t>
      </w:r>
      <w:r>
        <w:rPr>
          <w:rFonts w:hint="eastAsia" w:ascii="宋体" w:hAnsi="宋体" w:eastAsia="宋体" w:cs="宋体"/>
          <w:color w:val="0000FF"/>
          <w:kern w:val="0"/>
          <w:sz w:val="24"/>
          <w:szCs w:val="24"/>
          <w:lang w:val="en-US" w:eastAsia="zh-CN" w:bidi="ar"/>
        </w:rPr>
        <w:t>的数据来源，用以进行项目所在区域达标判定。</w:t>
      </w:r>
    </w:p>
    <w:p>
      <w:pPr>
        <w:keepNext w:val="0"/>
        <w:keepLines w:val="0"/>
        <w:widowControl/>
        <w:suppressLineNumbers w:val="0"/>
        <w:jc w:val="left"/>
        <w:rPr>
          <w:color w:val="0000FF"/>
        </w:rPr>
      </w:pPr>
      <w:r>
        <w:rPr>
          <w:color w:val="0000FF"/>
        </w:rPr>
        <w:t>其结果统计见下表4.2-1。</w:t>
      </w:r>
    </w:p>
    <w:p>
      <w:pPr>
        <w:pStyle w:val="22"/>
        <w:bidi w:val="0"/>
        <w:rPr>
          <w:b/>
          <w:bCs/>
          <w:color w:val="0000FF"/>
        </w:rPr>
      </w:pPr>
      <w:r>
        <w:rPr>
          <w:b/>
          <w:bCs/>
          <w:color w:val="0000FF"/>
        </w:rPr>
        <w:t>表4.2-1</w:t>
      </w:r>
      <w:r>
        <w:rPr>
          <w:rFonts w:hint="eastAsia"/>
          <w:b/>
          <w:bCs/>
          <w:color w:val="0000FF"/>
          <w:lang w:val="en-US" w:eastAsia="zh-CN"/>
        </w:rPr>
        <w:t xml:space="preserve">   </w:t>
      </w:r>
      <w:r>
        <w:rPr>
          <w:b/>
          <w:bCs/>
          <w:color w:val="0000FF"/>
        </w:rPr>
        <w:t>20</w:t>
      </w:r>
      <w:r>
        <w:rPr>
          <w:rFonts w:hint="eastAsia"/>
          <w:b/>
          <w:bCs/>
          <w:color w:val="0000FF"/>
          <w:lang w:val="en-US" w:eastAsia="zh-CN"/>
        </w:rPr>
        <w:t>20</w:t>
      </w:r>
      <w:r>
        <w:rPr>
          <w:b/>
          <w:bCs/>
          <w:color w:val="0000FF"/>
        </w:rPr>
        <w:t>年和田地区主要空气污染物指标监测结果</w:t>
      </w:r>
      <w:r>
        <w:rPr>
          <w:rFonts w:hint="eastAsia"/>
          <w:b/>
          <w:bCs/>
          <w:color w:val="0000FF"/>
          <w:lang w:val="en-US" w:eastAsia="zh-CN"/>
        </w:rPr>
        <w:t xml:space="preserve">   </w:t>
      </w:r>
      <w:r>
        <w:rPr>
          <w:b/>
          <w:bCs/>
          <w:color w:val="0000FF"/>
        </w:rPr>
        <w:t>单位：ug/m</w:t>
      </w:r>
      <w:r>
        <w:rPr>
          <w:b/>
          <w:bCs/>
          <w:color w:val="0000FF"/>
          <w:vertAlign w:val="superscript"/>
        </w:rPr>
        <w:t>3</w:t>
      </w:r>
    </w:p>
    <w:tbl>
      <w:tblPr>
        <w:tblStyle w:val="23"/>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9"/>
        <w:gridCol w:w="1740"/>
        <w:gridCol w:w="1421"/>
        <w:gridCol w:w="1420"/>
        <w:gridCol w:w="1420"/>
        <w:gridCol w:w="1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099" w:type="dxa"/>
            <w:tcBorders>
              <w:tl2br w:val="nil"/>
              <w:tr2bl w:val="nil"/>
            </w:tcBorders>
            <w:vAlign w:val="center"/>
          </w:tcPr>
          <w:p>
            <w:pPr>
              <w:pStyle w:val="22"/>
              <w:bidi w:val="0"/>
              <w:jc w:val="center"/>
              <w:rPr>
                <w:color w:val="0000FF"/>
              </w:rPr>
            </w:pPr>
            <w:r>
              <w:rPr>
                <w:color w:val="0000FF"/>
              </w:rPr>
              <w:t>污染物</w:t>
            </w:r>
          </w:p>
        </w:tc>
        <w:tc>
          <w:tcPr>
            <w:tcW w:w="1740" w:type="dxa"/>
            <w:tcBorders>
              <w:tl2br w:val="nil"/>
              <w:tr2bl w:val="nil"/>
            </w:tcBorders>
            <w:vAlign w:val="center"/>
          </w:tcPr>
          <w:p>
            <w:pPr>
              <w:pStyle w:val="22"/>
              <w:bidi w:val="0"/>
              <w:jc w:val="center"/>
              <w:rPr>
                <w:color w:val="0000FF"/>
              </w:rPr>
            </w:pPr>
            <w:r>
              <w:rPr>
                <w:color w:val="0000FF"/>
              </w:rPr>
              <w:t>年评价指标</w:t>
            </w:r>
          </w:p>
        </w:tc>
        <w:tc>
          <w:tcPr>
            <w:tcW w:w="1421" w:type="dxa"/>
            <w:tcBorders>
              <w:tl2br w:val="nil"/>
              <w:tr2bl w:val="nil"/>
            </w:tcBorders>
            <w:vAlign w:val="center"/>
          </w:tcPr>
          <w:p>
            <w:pPr>
              <w:pStyle w:val="22"/>
              <w:bidi w:val="0"/>
              <w:jc w:val="center"/>
              <w:rPr>
                <w:color w:val="0000FF"/>
              </w:rPr>
            </w:pPr>
            <w:r>
              <w:rPr>
                <w:color w:val="0000FF"/>
              </w:rPr>
              <w:t>现状浓度</w:t>
            </w:r>
          </w:p>
        </w:tc>
        <w:tc>
          <w:tcPr>
            <w:tcW w:w="1420" w:type="dxa"/>
            <w:tcBorders>
              <w:tl2br w:val="nil"/>
              <w:tr2bl w:val="nil"/>
            </w:tcBorders>
            <w:vAlign w:val="center"/>
          </w:tcPr>
          <w:p>
            <w:pPr>
              <w:pStyle w:val="22"/>
              <w:bidi w:val="0"/>
              <w:jc w:val="center"/>
              <w:rPr>
                <w:color w:val="0000FF"/>
              </w:rPr>
            </w:pPr>
            <w:r>
              <w:rPr>
                <w:color w:val="0000FF"/>
              </w:rPr>
              <w:t>标准值</w:t>
            </w:r>
          </w:p>
        </w:tc>
        <w:tc>
          <w:tcPr>
            <w:tcW w:w="1420" w:type="dxa"/>
            <w:tcBorders>
              <w:tl2br w:val="nil"/>
              <w:tr2bl w:val="nil"/>
            </w:tcBorders>
            <w:vAlign w:val="center"/>
          </w:tcPr>
          <w:p>
            <w:pPr>
              <w:pStyle w:val="22"/>
              <w:bidi w:val="0"/>
              <w:jc w:val="center"/>
              <w:rPr>
                <w:color w:val="0000FF"/>
              </w:rPr>
            </w:pPr>
            <w:r>
              <w:rPr>
                <w:color w:val="0000FF"/>
              </w:rPr>
              <w:t>占标率%</w:t>
            </w:r>
          </w:p>
        </w:tc>
        <w:tc>
          <w:tcPr>
            <w:tcW w:w="1417" w:type="dxa"/>
            <w:tcBorders>
              <w:tl2br w:val="nil"/>
              <w:tr2bl w:val="nil"/>
            </w:tcBorders>
            <w:vAlign w:val="center"/>
          </w:tcPr>
          <w:p>
            <w:pPr>
              <w:pStyle w:val="22"/>
              <w:bidi w:val="0"/>
              <w:jc w:val="center"/>
              <w:rPr>
                <w:color w:val="0000FF"/>
              </w:rPr>
            </w:pPr>
            <w:r>
              <w:rPr>
                <w:color w:val="0000FF"/>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099" w:type="dxa"/>
            <w:tcBorders>
              <w:tl2br w:val="nil"/>
              <w:tr2bl w:val="nil"/>
            </w:tcBorders>
            <w:vAlign w:val="center"/>
          </w:tcPr>
          <w:p>
            <w:pPr>
              <w:pStyle w:val="22"/>
              <w:bidi w:val="0"/>
              <w:jc w:val="center"/>
              <w:rPr>
                <w:color w:val="0000FF"/>
              </w:rPr>
            </w:pPr>
            <w:r>
              <w:rPr>
                <w:color w:val="0000FF"/>
              </w:rPr>
              <w:t>SO</w:t>
            </w:r>
            <w:r>
              <w:rPr>
                <w:color w:val="0000FF"/>
                <w:vertAlign w:val="subscript"/>
              </w:rPr>
              <w:t>2</w:t>
            </w:r>
          </w:p>
        </w:tc>
        <w:tc>
          <w:tcPr>
            <w:tcW w:w="1740" w:type="dxa"/>
            <w:vMerge w:val="restart"/>
            <w:tcBorders>
              <w:tl2br w:val="nil"/>
              <w:tr2bl w:val="nil"/>
            </w:tcBorders>
            <w:vAlign w:val="center"/>
          </w:tcPr>
          <w:p>
            <w:pPr>
              <w:pStyle w:val="22"/>
              <w:bidi w:val="0"/>
              <w:jc w:val="center"/>
              <w:rPr>
                <w:color w:val="0000FF"/>
              </w:rPr>
            </w:pPr>
            <w:r>
              <w:rPr>
                <w:color w:val="0000FF"/>
              </w:rPr>
              <w:t>年平均质量浓度</w:t>
            </w:r>
          </w:p>
        </w:tc>
        <w:tc>
          <w:tcPr>
            <w:tcW w:w="1421" w:type="dxa"/>
            <w:tcBorders>
              <w:tl2br w:val="nil"/>
              <w:tr2bl w:val="nil"/>
            </w:tcBorders>
            <w:vAlign w:val="center"/>
          </w:tcPr>
          <w:p>
            <w:pPr>
              <w:pStyle w:val="22"/>
              <w:bidi w:val="0"/>
              <w:jc w:val="center"/>
              <w:rPr>
                <w:color w:val="0000FF"/>
              </w:rPr>
            </w:pPr>
            <w:r>
              <w:rPr>
                <w:color w:val="0000FF"/>
              </w:rPr>
              <w:t>21</w:t>
            </w:r>
          </w:p>
        </w:tc>
        <w:tc>
          <w:tcPr>
            <w:tcW w:w="1420" w:type="dxa"/>
            <w:tcBorders>
              <w:tl2br w:val="nil"/>
              <w:tr2bl w:val="nil"/>
            </w:tcBorders>
            <w:vAlign w:val="center"/>
          </w:tcPr>
          <w:p>
            <w:pPr>
              <w:pStyle w:val="22"/>
              <w:bidi w:val="0"/>
              <w:jc w:val="center"/>
              <w:rPr>
                <w:color w:val="0000FF"/>
              </w:rPr>
            </w:pPr>
            <w:r>
              <w:rPr>
                <w:color w:val="0000FF"/>
              </w:rPr>
              <w:t>60</w:t>
            </w:r>
          </w:p>
        </w:tc>
        <w:tc>
          <w:tcPr>
            <w:tcW w:w="1420" w:type="dxa"/>
            <w:tcBorders>
              <w:tl2br w:val="nil"/>
              <w:tr2bl w:val="nil"/>
            </w:tcBorders>
            <w:vAlign w:val="center"/>
          </w:tcPr>
          <w:p>
            <w:pPr>
              <w:pStyle w:val="22"/>
              <w:bidi w:val="0"/>
              <w:jc w:val="center"/>
              <w:rPr>
                <w:color w:val="0000FF"/>
              </w:rPr>
            </w:pPr>
            <w:r>
              <w:rPr>
                <w:color w:val="0000FF"/>
              </w:rPr>
              <w:t>35</w:t>
            </w:r>
          </w:p>
        </w:tc>
        <w:tc>
          <w:tcPr>
            <w:tcW w:w="1417" w:type="dxa"/>
            <w:tcBorders>
              <w:tl2br w:val="nil"/>
              <w:tr2bl w:val="nil"/>
            </w:tcBorders>
            <w:vAlign w:val="center"/>
          </w:tcPr>
          <w:p>
            <w:pPr>
              <w:pStyle w:val="22"/>
              <w:bidi w:val="0"/>
              <w:jc w:val="center"/>
              <w:rPr>
                <w:color w:val="0000FF"/>
              </w:rPr>
            </w:pPr>
            <w:r>
              <w:rPr>
                <w:color w:val="0000FF"/>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099" w:type="dxa"/>
            <w:tcBorders>
              <w:tl2br w:val="nil"/>
              <w:tr2bl w:val="nil"/>
            </w:tcBorders>
            <w:vAlign w:val="center"/>
          </w:tcPr>
          <w:p>
            <w:pPr>
              <w:pStyle w:val="22"/>
              <w:bidi w:val="0"/>
              <w:jc w:val="center"/>
              <w:rPr>
                <w:color w:val="0000FF"/>
              </w:rPr>
            </w:pPr>
            <w:r>
              <w:rPr>
                <w:color w:val="0000FF"/>
              </w:rPr>
              <w:t>NO</w:t>
            </w:r>
            <w:r>
              <w:rPr>
                <w:color w:val="0000FF"/>
                <w:vertAlign w:val="subscript"/>
              </w:rPr>
              <w:t>2</w:t>
            </w:r>
          </w:p>
        </w:tc>
        <w:tc>
          <w:tcPr>
            <w:tcW w:w="1740" w:type="dxa"/>
            <w:vMerge w:val="continue"/>
            <w:tcBorders>
              <w:tl2br w:val="nil"/>
              <w:tr2bl w:val="nil"/>
            </w:tcBorders>
            <w:vAlign w:val="center"/>
          </w:tcPr>
          <w:p>
            <w:pPr>
              <w:pStyle w:val="22"/>
              <w:bidi w:val="0"/>
              <w:jc w:val="center"/>
              <w:rPr>
                <w:color w:val="0000FF"/>
              </w:rPr>
            </w:pPr>
          </w:p>
        </w:tc>
        <w:tc>
          <w:tcPr>
            <w:tcW w:w="1421" w:type="dxa"/>
            <w:tcBorders>
              <w:tl2br w:val="nil"/>
              <w:tr2bl w:val="nil"/>
            </w:tcBorders>
            <w:vAlign w:val="center"/>
          </w:tcPr>
          <w:p>
            <w:pPr>
              <w:pStyle w:val="22"/>
              <w:bidi w:val="0"/>
              <w:jc w:val="center"/>
              <w:rPr>
                <w:color w:val="0000FF"/>
              </w:rPr>
            </w:pPr>
            <w:r>
              <w:rPr>
                <w:color w:val="0000FF"/>
              </w:rPr>
              <w:t>27</w:t>
            </w:r>
          </w:p>
        </w:tc>
        <w:tc>
          <w:tcPr>
            <w:tcW w:w="1420" w:type="dxa"/>
            <w:tcBorders>
              <w:tl2br w:val="nil"/>
              <w:tr2bl w:val="nil"/>
            </w:tcBorders>
            <w:vAlign w:val="center"/>
          </w:tcPr>
          <w:p>
            <w:pPr>
              <w:pStyle w:val="22"/>
              <w:bidi w:val="0"/>
              <w:jc w:val="center"/>
              <w:rPr>
                <w:color w:val="0000FF"/>
              </w:rPr>
            </w:pPr>
            <w:r>
              <w:rPr>
                <w:color w:val="0000FF"/>
              </w:rPr>
              <w:t>80</w:t>
            </w:r>
          </w:p>
        </w:tc>
        <w:tc>
          <w:tcPr>
            <w:tcW w:w="1420" w:type="dxa"/>
            <w:tcBorders>
              <w:tl2br w:val="nil"/>
              <w:tr2bl w:val="nil"/>
            </w:tcBorders>
            <w:vAlign w:val="center"/>
          </w:tcPr>
          <w:p>
            <w:pPr>
              <w:pStyle w:val="22"/>
              <w:bidi w:val="0"/>
              <w:jc w:val="center"/>
              <w:rPr>
                <w:color w:val="0000FF"/>
              </w:rPr>
            </w:pPr>
            <w:r>
              <w:rPr>
                <w:color w:val="0000FF"/>
              </w:rPr>
              <w:t>67.5</w:t>
            </w:r>
          </w:p>
        </w:tc>
        <w:tc>
          <w:tcPr>
            <w:tcW w:w="1417" w:type="dxa"/>
            <w:tcBorders>
              <w:tl2br w:val="nil"/>
              <w:tr2bl w:val="nil"/>
            </w:tcBorders>
            <w:vAlign w:val="center"/>
          </w:tcPr>
          <w:p>
            <w:pPr>
              <w:pStyle w:val="22"/>
              <w:bidi w:val="0"/>
              <w:jc w:val="center"/>
              <w:rPr>
                <w:color w:val="0000FF"/>
              </w:rPr>
            </w:pPr>
            <w:r>
              <w:rPr>
                <w:color w:val="0000FF"/>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99" w:type="dxa"/>
            <w:tcBorders>
              <w:tl2br w:val="nil"/>
              <w:tr2bl w:val="nil"/>
            </w:tcBorders>
            <w:vAlign w:val="center"/>
          </w:tcPr>
          <w:p>
            <w:pPr>
              <w:pStyle w:val="22"/>
              <w:bidi w:val="0"/>
              <w:jc w:val="center"/>
              <w:rPr>
                <w:color w:val="0000FF"/>
              </w:rPr>
            </w:pPr>
            <w:r>
              <w:rPr>
                <w:color w:val="0000FF"/>
              </w:rPr>
              <w:t>PM</w:t>
            </w:r>
            <w:r>
              <w:rPr>
                <w:color w:val="0000FF"/>
                <w:vertAlign w:val="subscript"/>
              </w:rPr>
              <w:t>10</w:t>
            </w:r>
          </w:p>
        </w:tc>
        <w:tc>
          <w:tcPr>
            <w:tcW w:w="1740" w:type="dxa"/>
            <w:vMerge w:val="continue"/>
            <w:tcBorders>
              <w:tl2br w:val="nil"/>
              <w:tr2bl w:val="nil"/>
            </w:tcBorders>
            <w:vAlign w:val="center"/>
          </w:tcPr>
          <w:p>
            <w:pPr>
              <w:pStyle w:val="22"/>
              <w:bidi w:val="0"/>
              <w:jc w:val="center"/>
              <w:rPr>
                <w:color w:val="0000FF"/>
              </w:rPr>
            </w:pPr>
          </w:p>
        </w:tc>
        <w:tc>
          <w:tcPr>
            <w:tcW w:w="1421" w:type="dxa"/>
            <w:tcBorders>
              <w:tl2br w:val="nil"/>
              <w:tr2bl w:val="nil"/>
            </w:tcBorders>
            <w:vAlign w:val="center"/>
          </w:tcPr>
          <w:p>
            <w:pPr>
              <w:pStyle w:val="22"/>
              <w:bidi w:val="0"/>
              <w:jc w:val="center"/>
              <w:rPr>
                <w:color w:val="0000FF"/>
              </w:rPr>
            </w:pPr>
            <w:r>
              <w:rPr>
                <w:color w:val="0000FF"/>
              </w:rPr>
              <w:t>60</w:t>
            </w:r>
          </w:p>
        </w:tc>
        <w:tc>
          <w:tcPr>
            <w:tcW w:w="1420" w:type="dxa"/>
            <w:tcBorders>
              <w:tl2br w:val="nil"/>
              <w:tr2bl w:val="nil"/>
            </w:tcBorders>
            <w:vAlign w:val="center"/>
          </w:tcPr>
          <w:p>
            <w:pPr>
              <w:pStyle w:val="22"/>
              <w:bidi w:val="0"/>
              <w:jc w:val="center"/>
              <w:rPr>
                <w:color w:val="0000FF"/>
              </w:rPr>
            </w:pPr>
            <w:r>
              <w:rPr>
                <w:color w:val="0000FF"/>
              </w:rPr>
              <w:t>35</w:t>
            </w:r>
          </w:p>
        </w:tc>
        <w:tc>
          <w:tcPr>
            <w:tcW w:w="1420" w:type="dxa"/>
            <w:tcBorders>
              <w:tl2br w:val="nil"/>
              <w:tr2bl w:val="nil"/>
            </w:tcBorders>
            <w:vAlign w:val="center"/>
          </w:tcPr>
          <w:p>
            <w:pPr>
              <w:pStyle w:val="22"/>
              <w:bidi w:val="0"/>
              <w:jc w:val="center"/>
              <w:rPr>
                <w:color w:val="0000FF"/>
              </w:rPr>
            </w:pPr>
            <w:r>
              <w:rPr>
                <w:color w:val="0000FF"/>
              </w:rPr>
              <w:t>171.4</w:t>
            </w:r>
          </w:p>
        </w:tc>
        <w:tc>
          <w:tcPr>
            <w:tcW w:w="1417" w:type="dxa"/>
            <w:tcBorders>
              <w:tl2br w:val="nil"/>
              <w:tr2bl w:val="nil"/>
            </w:tcBorders>
            <w:vAlign w:val="center"/>
          </w:tcPr>
          <w:p>
            <w:pPr>
              <w:pStyle w:val="22"/>
              <w:bidi w:val="0"/>
              <w:jc w:val="center"/>
              <w:rPr>
                <w:color w:val="0000FF"/>
              </w:rPr>
            </w:pPr>
            <w:r>
              <w:rPr>
                <w:color w:val="0000FF"/>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1099" w:type="dxa"/>
            <w:tcBorders>
              <w:tl2br w:val="nil"/>
              <w:tr2bl w:val="nil"/>
            </w:tcBorders>
            <w:vAlign w:val="center"/>
          </w:tcPr>
          <w:p>
            <w:pPr>
              <w:pStyle w:val="22"/>
              <w:bidi w:val="0"/>
              <w:jc w:val="center"/>
              <w:rPr>
                <w:color w:val="0000FF"/>
              </w:rPr>
            </w:pPr>
            <w:r>
              <w:rPr>
                <w:color w:val="0000FF"/>
              </w:rPr>
              <w:t>PM</w:t>
            </w:r>
            <w:r>
              <w:rPr>
                <w:color w:val="0000FF"/>
                <w:vertAlign w:val="subscript"/>
              </w:rPr>
              <w:t>2</w:t>
            </w:r>
            <w:r>
              <w:rPr>
                <w:rFonts w:hint="eastAsia"/>
                <w:color w:val="0000FF"/>
                <w:vertAlign w:val="subscript"/>
                <w:lang w:val="en-US" w:eastAsia="zh-CN"/>
              </w:rPr>
              <w:t>.</w:t>
            </w:r>
            <w:r>
              <w:rPr>
                <w:color w:val="0000FF"/>
                <w:vertAlign w:val="subscript"/>
              </w:rPr>
              <w:t>5</w:t>
            </w:r>
          </w:p>
        </w:tc>
        <w:tc>
          <w:tcPr>
            <w:tcW w:w="1740" w:type="dxa"/>
            <w:vMerge w:val="continue"/>
            <w:tcBorders>
              <w:tl2br w:val="nil"/>
              <w:tr2bl w:val="nil"/>
            </w:tcBorders>
            <w:vAlign w:val="center"/>
          </w:tcPr>
          <w:p>
            <w:pPr>
              <w:pStyle w:val="22"/>
              <w:bidi w:val="0"/>
              <w:jc w:val="center"/>
              <w:rPr>
                <w:color w:val="0000FF"/>
              </w:rPr>
            </w:pPr>
          </w:p>
        </w:tc>
        <w:tc>
          <w:tcPr>
            <w:tcW w:w="1421" w:type="dxa"/>
            <w:tcBorders>
              <w:tl2br w:val="nil"/>
              <w:tr2bl w:val="nil"/>
            </w:tcBorders>
            <w:vAlign w:val="center"/>
          </w:tcPr>
          <w:p>
            <w:pPr>
              <w:pStyle w:val="22"/>
              <w:bidi w:val="0"/>
              <w:jc w:val="center"/>
              <w:rPr>
                <w:color w:val="0000FF"/>
              </w:rPr>
            </w:pPr>
            <w:r>
              <w:rPr>
                <w:color w:val="0000FF"/>
              </w:rPr>
              <w:t>175</w:t>
            </w:r>
          </w:p>
        </w:tc>
        <w:tc>
          <w:tcPr>
            <w:tcW w:w="1420" w:type="dxa"/>
            <w:tcBorders>
              <w:tl2br w:val="nil"/>
              <w:tr2bl w:val="nil"/>
            </w:tcBorders>
            <w:vAlign w:val="center"/>
          </w:tcPr>
          <w:p>
            <w:pPr>
              <w:pStyle w:val="22"/>
              <w:bidi w:val="0"/>
              <w:jc w:val="center"/>
              <w:rPr>
                <w:color w:val="0000FF"/>
              </w:rPr>
            </w:pPr>
            <w:r>
              <w:rPr>
                <w:color w:val="0000FF"/>
              </w:rPr>
              <w:t>70</w:t>
            </w:r>
          </w:p>
        </w:tc>
        <w:tc>
          <w:tcPr>
            <w:tcW w:w="1420" w:type="dxa"/>
            <w:tcBorders>
              <w:tl2br w:val="nil"/>
              <w:tr2bl w:val="nil"/>
            </w:tcBorders>
            <w:vAlign w:val="center"/>
          </w:tcPr>
          <w:p>
            <w:pPr>
              <w:pStyle w:val="22"/>
              <w:bidi w:val="0"/>
              <w:jc w:val="center"/>
              <w:rPr>
                <w:color w:val="0000FF"/>
              </w:rPr>
            </w:pPr>
            <w:r>
              <w:rPr>
                <w:color w:val="0000FF"/>
              </w:rPr>
              <w:t>250</w:t>
            </w:r>
          </w:p>
        </w:tc>
        <w:tc>
          <w:tcPr>
            <w:tcW w:w="1417" w:type="dxa"/>
            <w:tcBorders>
              <w:tl2br w:val="nil"/>
              <w:tr2bl w:val="nil"/>
            </w:tcBorders>
            <w:vAlign w:val="center"/>
          </w:tcPr>
          <w:p>
            <w:pPr>
              <w:pStyle w:val="22"/>
              <w:bidi w:val="0"/>
              <w:jc w:val="center"/>
              <w:rPr>
                <w:color w:val="0000FF"/>
              </w:rPr>
            </w:pPr>
            <w:r>
              <w:rPr>
                <w:color w:val="0000FF"/>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1099" w:type="dxa"/>
            <w:tcBorders>
              <w:tl2br w:val="nil"/>
              <w:tr2bl w:val="nil"/>
            </w:tcBorders>
            <w:vAlign w:val="center"/>
          </w:tcPr>
          <w:p>
            <w:pPr>
              <w:pStyle w:val="22"/>
              <w:bidi w:val="0"/>
              <w:jc w:val="center"/>
              <w:rPr>
                <w:color w:val="0000FF"/>
              </w:rPr>
            </w:pPr>
            <w:r>
              <w:rPr>
                <w:color w:val="0000FF"/>
              </w:rPr>
              <w:t>CO</w:t>
            </w:r>
          </w:p>
        </w:tc>
        <w:tc>
          <w:tcPr>
            <w:tcW w:w="1740" w:type="dxa"/>
            <w:tcBorders>
              <w:tl2br w:val="nil"/>
              <w:tr2bl w:val="nil"/>
            </w:tcBorders>
            <w:vAlign w:val="center"/>
          </w:tcPr>
          <w:p>
            <w:pPr>
              <w:pStyle w:val="22"/>
              <w:bidi w:val="0"/>
              <w:jc w:val="center"/>
              <w:rPr>
                <w:color w:val="0000FF"/>
              </w:rPr>
            </w:pPr>
            <w:r>
              <w:rPr>
                <w:color w:val="0000FF"/>
              </w:rPr>
              <w:t>日平均第95百分位数</w:t>
            </w:r>
          </w:p>
        </w:tc>
        <w:tc>
          <w:tcPr>
            <w:tcW w:w="1421" w:type="dxa"/>
            <w:tcBorders>
              <w:tl2br w:val="nil"/>
              <w:tr2bl w:val="nil"/>
            </w:tcBorders>
            <w:vAlign w:val="center"/>
          </w:tcPr>
          <w:p>
            <w:pPr>
              <w:pStyle w:val="22"/>
              <w:bidi w:val="0"/>
              <w:jc w:val="center"/>
              <w:rPr>
                <w:color w:val="0000FF"/>
              </w:rPr>
            </w:pPr>
            <w:r>
              <w:rPr>
                <w:color w:val="0000FF"/>
              </w:rPr>
              <w:t>3200</w:t>
            </w:r>
          </w:p>
        </w:tc>
        <w:tc>
          <w:tcPr>
            <w:tcW w:w="1420" w:type="dxa"/>
            <w:tcBorders>
              <w:tl2br w:val="nil"/>
              <w:tr2bl w:val="nil"/>
            </w:tcBorders>
            <w:vAlign w:val="center"/>
          </w:tcPr>
          <w:p>
            <w:pPr>
              <w:pStyle w:val="22"/>
              <w:bidi w:val="0"/>
              <w:jc w:val="center"/>
              <w:rPr>
                <w:color w:val="0000FF"/>
              </w:rPr>
            </w:pPr>
            <w:r>
              <w:rPr>
                <w:color w:val="0000FF"/>
              </w:rPr>
              <w:t>4000</w:t>
            </w:r>
          </w:p>
        </w:tc>
        <w:tc>
          <w:tcPr>
            <w:tcW w:w="1420" w:type="dxa"/>
            <w:tcBorders>
              <w:tl2br w:val="nil"/>
              <w:tr2bl w:val="nil"/>
            </w:tcBorders>
            <w:vAlign w:val="center"/>
          </w:tcPr>
          <w:p>
            <w:pPr>
              <w:pStyle w:val="22"/>
              <w:bidi w:val="0"/>
              <w:jc w:val="center"/>
              <w:rPr>
                <w:color w:val="0000FF"/>
              </w:rPr>
            </w:pPr>
            <w:r>
              <w:rPr>
                <w:color w:val="0000FF"/>
              </w:rPr>
              <w:t>80</w:t>
            </w:r>
          </w:p>
        </w:tc>
        <w:tc>
          <w:tcPr>
            <w:tcW w:w="1417" w:type="dxa"/>
            <w:tcBorders>
              <w:tl2br w:val="nil"/>
              <w:tr2bl w:val="nil"/>
            </w:tcBorders>
            <w:vAlign w:val="center"/>
          </w:tcPr>
          <w:p>
            <w:pPr>
              <w:pStyle w:val="22"/>
              <w:bidi w:val="0"/>
              <w:jc w:val="center"/>
              <w:rPr>
                <w:color w:val="0000FF"/>
              </w:rPr>
            </w:pPr>
            <w:r>
              <w:rPr>
                <w:color w:val="0000FF"/>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99" w:type="dxa"/>
            <w:tcBorders>
              <w:tl2br w:val="nil"/>
              <w:tr2bl w:val="nil"/>
            </w:tcBorders>
            <w:vAlign w:val="center"/>
          </w:tcPr>
          <w:p>
            <w:pPr>
              <w:pStyle w:val="22"/>
              <w:bidi w:val="0"/>
              <w:jc w:val="center"/>
              <w:rPr>
                <w:color w:val="0000FF"/>
              </w:rPr>
            </w:pPr>
            <w:r>
              <w:rPr>
                <w:color w:val="0000FF"/>
              </w:rPr>
              <w:t>O</w:t>
            </w:r>
            <w:r>
              <w:rPr>
                <w:color w:val="0000FF"/>
                <w:vertAlign w:val="subscript"/>
              </w:rPr>
              <w:t>3</w:t>
            </w:r>
          </w:p>
        </w:tc>
        <w:tc>
          <w:tcPr>
            <w:tcW w:w="1740" w:type="dxa"/>
            <w:tcBorders>
              <w:tl2br w:val="nil"/>
              <w:tr2bl w:val="nil"/>
            </w:tcBorders>
            <w:vAlign w:val="center"/>
          </w:tcPr>
          <w:p>
            <w:pPr>
              <w:pStyle w:val="22"/>
              <w:bidi w:val="0"/>
              <w:jc w:val="center"/>
              <w:rPr>
                <w:color w:val="0000FF"/>
              </w:rPr>
            </w:pPr>
            <w:r>
              <w:rPr>
                <w:color w:val="0000FF"/>
              </w:rPr>
              <w:t>8小时平均第90百分位数</w:t>
            </w:r>
          </w:p>
        </w:tc>
        <w:tc>
          <w:tcPr>
            <w:tcW w:w="1421" w:type="dxa"/>
            <w:tcBorders>
              <w:tl2br w:val="nil"/>
              <w:tr2bl w:val="nil"/>
            </w:tcBorders>
            <w:vAlign w:val="center"/>
          </w:tcPr>
          <w:p>
            <w:pPr>
              <w:pStyle w:val="22"/>
              <w:bidi w:val="0"/>
              <w:jc w:val="center"/>
              <w:rPr>
                <w:color w:val="0000FF"/>
              </w:rPr>
            </w:pPr>
            <w:r>
              <w:rPr>
                <w:color w:val="0000FF"/>
              </w:rPr>
              <w:t>110</w:t>
            </w:r>
          </w:p>
        </w:tc>
        <w:tc>
          <w:tcPr>
            <w:tcW w:w="1420" w:type="dxa"/>
            <w:tcBorders>
              <w:tl2br w:val="nil"/>
              <w:tr2bl w:val="nil"/>
            </w:tcBorders>
            <w:vAlign w:val="center"/>
          </w:tcPr>
          <w:p>
            <w:pPr>
              <w:pStyle w:val="22"/>
              <w:bidi w:val="0"/>
              <w:jc w:val="center"/>
              <w:rPr>
                <w:color w:val="0000FF"/>
              </w:rPr>
            </w:pPr>
            <w:r>
              <w:rPr>
                <w:color w:val="0000FF"/>
              </w:rPr>
              <w:t>160</w:t>
            </w:r>
          </w:p>
        </w:tc>
        <w:tc>
          <w:tcPr>
            <w:tcW w:w="1420" w:type="dxa"/>
            <w:tcBorders>
              <w:tl2br w:val="nil"/>
              <w:tr2bl w:val="nil"/>
            </w:tcBorders>
            <w:vAlign w:val="center"/>
          </w:tcPr>
          <w:p>
            <w:pPr>
              <w:pStyle w:val="22"/>
              <w:bidi w:val="0"/>
              <w:jc w:val="center"/>
              <w:rPr>
                <w:color w:val="0000FF"/>
              </w:rPr>
            </w:pPr>
            <w:r>
              <w:rPr>
                <w:color w:val="0000FF"/>
              </w:rPr>
              <w:t>68.4</w:t>
            </w:r>
          </w:p>
        </w:tc>
        <w:tc>
          <w:tcPr>
            <w:tcW w:w="1417" w:type="dxa"/>
            <w:tcBorders>
              <w:tl2br w:val="nil"/>
              <w:tr2bl w:val="nil"/>
            </w:tcBorders>
            <w:vAlign w:val="center"/>
          </w:tcPr>
          <w:p>
            <w:pPr>
              <w:pStyle w:val="22"/>
              <w:bidi w:val="0"/>
              <w:jc w:val="center"/>
              <w:rPr>
                <w:color w:val="0000FF"/>
              </w:rPr>
            </w:pPr>
            <w:r>
              <w:rPr>
                <w:color w:val="0000FF"/>
              </w:rPr>
              <w:t>达标</w:t>
            </w:r>
          </w:p>
        </w:tc>
      </w:tr>
    </w:tbl>
    <w:p>
      <w:pPr>
        <w:bidi w:val="0"/>
        <w:rPr>
          <w:color w:val="0000FF"/>
        </w:rPr>
      </w:pPr>
      <w:r>
        <w:rPr>
          <w:color w:val="0000FF"/>
        </w:rPr>
        <w:t>《环境影响评价技术导则</w:t>
      </w:r>
      <w:r>
        <w:rPr>
          <w:rFonts w:hint="eastAsia"/>
          <w:color w:val="0000FF"/>
          <w:lang w:val="en-US" w:eastAsia="zh-CN"/>
        </w:rPr>
        <w:t xml:space="preserve"> </w:t>
      </w:r>
      <w:r>
        <w:rPr>
          <w:color w:val="0000FF"/>
        </w:rPr>
        <w:t>大气环境》</w:t>
      </w:r>
      <w:r>
        <w:rPr>
          <w:rFonts w:hint="eastAsia"/>
          <w:color w:val="0000FF"/>
          <w:lang w:eastAsia="zh-CN"/>
        </w:rPr>
        <w:t>（</w:t>
      </w:r>
      <w:r>
        <w:rPr>
          <w:color w:val="0000FF"/>
        </w:rPr>
        <w:t>HJ2.2-2018</w:t>
      </w:r>
      <w:r>
        <w:rPr>
          <w:rFonts w:hint="eastAsia"/>
          <w:color w:val="0000FF"/>
          <w:lang w:eastAsia="zh-CN"/>
        </w:rPr>
        <w:t>）</w:t>
      </w:r>
      <w:r>
        <w:rPr>
          <w:color w:val="0000FF"/>
        </w:rPr>
        <w:t>规定：“城市环境空气质量达标情况评价指标为SO</w:t>
      </w:r>
      <w:r>
        <w:rPr>
          <w:color w:val="0000FF"/>
          <w:vertAlign w:val="subscript"/>
        </w:rPr>
        <w:t>2</w:t>
      </w:r>
      <w:r>
        <w:rPr>
          <w:color w:val="0000FF"/>
        </w:rPr>
        <w:t>、NO</w:t>
      </w:r>
      <w:r>
        <w:rPr>
          <w:color w:val="0000FF"/>
          <w:vertAlign w:val="subscript"/>
        </w:rPr>
        <w:t>2</w:t>
      </w:r>
      <w:r>
        <w:rPr>
          <w:color w:val="0000FF"/>
        </w:rPr>
        <w:t>、PM</w:t>
      </w:r>
      <w:r>
        <w:rPr>
          <w:color w:val="0000FF"/>
          <w:vertAlign w:val="subscript"/>
        </w:rPr>
        <w:t>10</w:t>
      </w:r>
      <w:r>
        <w:rPr>
          <w:color w:val="0000FF"/>
        </w:rPr>
        <w:t>、PM</w:t>
      </w:r>
      <w:r>
        <w:rPr>
          <w:color w:val="0000FF"/>
          <w:vertAlign w:val="subscript"/>
        </w:rPr>
        <w:t>2.5</w:t>
      </w:r>
      <w:r>
        <w:rPr>
          <w:color w:val="0000FF"/>
        </w:rPr>
        <w:t>、CO和O</w:t>
      </w:r>
      <w:r>
        <w:rPr>
          <w:color w:val="0000FF"/>
          <w:vertAlign w:val="subscript"/>
        </w:rPr>
        <w:t>3</w:t>
      </w:r>
      <w:r>
        <w:rPr>
          <w:color w:val="0000FF"/>
        </w:rPr>
        <w:t>，六项污染物全部达标即为城市环境空气质量达标”。根据上述统计结果可知，项目所在地环境空气质量判定为不达标区。</w:t>
      </w:r>
    </w:p>
    <w:p>
      <w:pPr>
        <w:pStyle w:val="7"/>
        <w:bidi w:val="0"/>
        <w:rPr>
          <w:color w:val="0000FF"/>
        </w:rPr>
      </w:pPr>
      <w:r>
        <w:rPr>
          <w:color w:val="0000FF"/>
        </w:rPr>
        <w:t>4.2.1.2其他污染物环境质量现状</w:t>
      </w:r>
    </w:p>
    <w:p>
      <w:pPr>
        <w:bidi w:val="0"/>
        <w:rPr>
          <w:color w:val="0000FF"/>
        </w:rPr>
      </w:pPr>
      <w:r>
        <w:rPr>
          <w:color w:val="0000FF"/>
        </w:rPr>
        <w:t>（1）NH</w:t>
      </w:r>
      <w:r>
        <w:rPr>
          <w:color w:val="0000FF"/>
          <w:vertAlign w:val="subscript"/>
        </w:rPr>
        <w:t>3</w:t>
      </w:r>
      <w:r>
        <w:rPr>
          <w:color w:val="0000FF"/>
        </w:rPr>
        <w:t>、H</w:t>
      </w:r>
      <w:r>
        <w:rPr>
          <w:color w:val="0000FF"/>
          <w:vertAlign w:val="subscript"/>
        </w:rPr>
        <w:t>2</w:t>
      </w:r>
      <w:r>
        <w:rPr>
          <w:color w:val="0000FF"/>
        </w:rPr>
        <w:t>S、臭气浓度</w:t>
      </w:r>
      <w:r>
        <w:rPr>
          <w:rFonts w:hint="eastAsia"/>
          <w:color w:val="0000FF"/>
          <w:lang w:eastAsia="zh-CN"/>
        </w:rPr>
        <w:t>、</w:t>
      </w:r>
      <w:r>
        <w:rPr>
          <w:rFonts w:hint="eastAsia"/>
          <w:color w:val="0000FF"/>
          <w:lang w:val="en-US" w:eastAsia="zh-CN"/>
        </w:rPr>
        <w:t>非甲烷总烃</w:t>
      </w:r>
      <w:r>
        <w:rPr>
          <w:color w:val="0000FF"/>
        </w:rPr>
        <w:t>补充监测</w:t>
      </w:r>
    </w:p>
    <w:p>
      <w:pPr>
        <w:bidi w:val="0"/>
        <w:rPr>
          <w:color w:val="0000FF"/>
        </w:rPr>
      </w:pPr>
      <w:r>
        <w:rPr>
          <w:color w:val="0000FF"/>
        </w:rPr>
        <w:t>①数据来源</w:t>
      </w:r>
    </w:p>
    <w:p>
      <w:pPr>
        <w:bidi w:val="0"/>
        <w:rPr>
          <w:color w:val="0000FF"/>
        </w:rPr>
      </w:pPr>
      <w:r>
        <w:rPr>
          <w:color w:val="0000FF"/>
        </w:rPr>
        <w:t>根据《环境影响评价技术导则</w:t>
      </w:r>
      <w:r>
        <w:rPr>
          <w:rFonts w:hint="eastAsia"/>
          <w:color w:val="0000FF"/>
          <w:lang w:val="en-US" w:eastAsia="zh-CN"/>
        </w:rPr>
        <w:t xml:space="preserve"> </w:t>
      </w:r>
      <w:r>
        <w:rPr>
          <w:color w:val="0000FF"/>
        </w:rPr>
        <w:t>大气环境》（H.J2.2-2018）对其他污染环境质量现状数据的要求，选择采用补充监测的数据，作为本项目其他污染物环境质量现状评价NH</w:t>
      </w:r>
      <w:r>
        <w:rPr>
          <w:color w:val="0000FF"/>
          <w:vertAlign w:val="subscript"/>
        </w:rPr>
        <w:t>3</w:t>
      </w:r>
      <w:r>
        <w:rPr>
          <w:color w:val="0000FF"/>
        </w:rPr>
        <w:t>、H</w:t>
      </w:r>
      <w:r>
        <w:rPr>
          <w:color w:val="0000FF"/>
          <w:vertAlign w:val="subscript"/>
        </w:rPr>
        <w:t>2</w:t>
      </w:r>
      <w:r>
        <w:rPr>
          <w:color w:val="0000FF"/>
        </w:rPr>
        <w:t>S、臭气浓度的数据来源</w:t>
      </w:r>
    </w:p>
    <w:p>
      <w:pPr>
        <w:bidi w:val="0"/>
        <w:rPr>
          <w:color w:val="0000FF"/>
        </w:rPr>
      </w:pPr>
      <w:r>
        <w:rPr>
          <w:color w:val="0000FF"/>
        </w:rPr>
        <w:t>②评价标准</w:t>
      </w:r>
    </w:p>
    <w:p>
      <w:pPr>
        <w:bidi w:val="0"/>
        <w:rPr>
          <w:rFonts w:hint="eastAsia"/>
          <w:color w:val="0000FF"/>
          <w:lang w:eastAsia="zh-CN"/>
        </w:rPr>
      </w:pPr>
      <w:r>
        <w:rPr>
          <w:color w:val="0000FF"/>
        </w:rPr>
        <w:t>其他污染物NH3和H2S执行《环境空气质量标准》（GB3095-2012）中的二级标准和《环境影响评价技术导则</w:t>
      </w:r>
      <w:r>
        <w:rPr>
          <w:rFonts w:hint="eastAsia"/>
          <w:color w:val="0000FF"/>
          <w:lang w:val="en-US" w:eastAsia="zh-CN"/>
        </w:rPr>
        <w:t xml:space="preserve"> </w:t>
      </w:r>
      <w:r>
        <w:rPr>
          <w:color w:val="0000FF"/>
        </w:rPr>
        <w:t>大气环境》（H.J2.2-2018）附D的相关标准</w:t>
      </w:r>
      <w:r>
        <w:rPr>
          <w:rFonts w:hint="eastAsia"/>
          <w:color w:val="0000FF"/>
          <w:lang w:eastAsia="zh-CN"/>
        </w:rPr>
        <w:t>；</w:t>
      </w:r>
      <w:r>
        <w:rPr>
          <w:color w:val="0000FF"/>
        </w:rPr>
        <w:t>非甲烷总烃参照《大气污染物综合排放标准详解》（国家环境保护局科技标准司主编，中国环境科学出版社，1997）中提出的环境标准限值；臭气浓度无环境质量评价标准。详见表2.</w:t>
      </w:r>
      <w:r>
        <w:rPr>
          <w:rFonts w:hint="eastAsia"/>
          <w:color w:val="0000FF"/>
          <w:lang w:val="en-US" w:eastAsia="zh-CN"/>
        </w:rPr>
        <w:t>5</w:t>
      </w:r>
      <w:r>
        <w:rPr>
          <w:color w:val="0000FF"/>
        </w:rPr>
        <w:t>-</w:t>
      </w:r>
      <w:r>
        <w:rPr>
          <w:rFonts w:hint="eastAsia"/>
          <w:color w:val="0000FF"/>
          <w:lang w:val="en-US" w:eastAsia="zh-CN"/>
        </w:rPr>
        <w:t>2</w:t>
      </w:r>
      <w:r>
        <w:rPr>
          <w:color w:val="0000FF"/>
        </w:rPr>
        <w:t>。</w:t>
      </w:r>
    </w:p>
    <w:p>
      <w:pPr>
        <w:bidi w:val="0"/>
        <w:rPr>
          <w:color w:val="0000FF"/>
        </w:rPr>
      </w:pPr>
      <w:r>
        <w:rPr>
          <w:color w:val="0000FF"/>
        </w:rPr>
        <w:t>③监测点位及频次</w:t>
      </w:r>
    </w:p>
    <w:p>
      <w:pPr>
        <w:bidi w:val="0"/>
        <w:rPr>
          <w:color w:val="0000FF"/>
        </w:rPr>
      </w:pPr>
      <w:r>
        <w:rPr>
          <w:color w:val="0000FF"/>
        </w:rPr>
        <w:t>本次采用对项目区实测数据，在项目区设1个监测点。</w:t>
      </w:r>
    </w:p>
    <w:p>
      <w:pPr>
        <w:pStyle w:val="22"/>
        <w:bidi w:val="0"/>
        <w:rPr>
          <w:b/>
          <w:bCs/>
          <w:color w:val="0000FF"/>
        </w:rPr>
      </w:pPr>
      <w:r>
        <w:rPr>
          <w:b/>
          <w:bCs/>
          <w:color w:val="0000FF"/>
        </w:rPr>
        <w:t>表4.2-2项目监测频次</w:t>
      </w: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0"/>
        <w:gridCol w:w="1619"/>
        <w:gridCol w:w="1515"/>
        <w:gridCol w:w="3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550" w:type="dxa"/>
            <w:tcBorders>
              <w:tl2br w:val="nil"/>
              <w:tr2bl w:val="nil"/>
            </w:tcBorders>
            <w:vAlign w:val="center"/>
          </w:tcPr>
          <w:p>
            <w:pPr>
              <w:pStyle w:val="22"/>
              <w:bidi w:val="0"/>
              <w:jc w:val="center"/>
              <w:rPr>
                <w:color w:val="0000FF"/>
              </w:rPr>
            </w:pPr>
            <w:r>
              <w:rPr>
                <w:color w:val="0000FF"/>
              </w:rPr>
              <w:t>监测因子</w:t>
            </w:r>
          </w:p>
        </w:tc>
        <w:tc>
          <w:tcPr>
            <w:tcW w:w="1619" w:type="dxa"/>
            <w:tcBorders>
              <w:tl2br w:val="nil"/>
              <w:tr2bl w:val="nil"/>
            </w:tcBorders>
            <w:vAlign w:val="center"/>
          </w:tcPr>
          <w:p>
            <w:pPr>
              <w:pStyle w:val="22"/>
              <w:bidi w:val="0"/>
              <w:jc w:val="center"/>
              <w:rPr>
                <w:color w:val="0000FF"/>
              </w:rPr>
            </w:pPr>
            <w:r>
              <w:rPr>
                <w:color w:val="0000FF"/>
              </w:rPr>
              <w:t>监测时段</w:t>
            </w:r>
          </w:p>
        </w:tc>
        <w:tc>
          <w:tcPr>
            <w:tcW w:w="1515" w:type="dxa"/>
            <w:tcBorders>
              <w:tl2br w:val="nil"/>
              <w:tr2bl w:val="nil"/>
            </w:tcBorders>
            <w:vAlign w:val="center"/>
          </w:tcPr>
          <w:p>
            <w:pPr>
              <w:pStyle w:val="22"/>
              <w:bidi w:val="0"/>
              <w:jc w:val="center"/>
              <w:rPr>
                <w:color w:val="0000FF"/>
              </w:rPr>
            </w:pPr>
            <w:r>
              <w:rPr>
                <w:color w:val="0000FF"/>
              </w:rPr>
              <w:t>监测内容</w:t>
            </w:r>
          </w:p>
        </w:tc>
        <w:tc>
          <w:tcPr>
            <w:tcW w:w="3838" w:type="dxa"/>
            <w:tcBorders>
              <w:tl2br w:val="nil"/>
              <w:tr2bl w:val="nil"/>
            </w:tcBorders>
            <w:vAlign w:val="center"/>
          </w:tcPr>
          <w:p>
            <w:pPr>
              <w:pStyle w:val="22"/>
              <w:bidi w:val="0"/>
              <w:jc w:val="center"/>
              <w:rPr>
                <w:color w:val="0000FF"/>
              </w:rPr>
            </w:pPr>
            <w:r>
              <w:rPr>
                <w:color w:val="0000FF"/>
              </w:rPr>
              <w:t>监测频次要求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550" w:type="dxa"/>
            <w:tcBorders>
              <w:tl2br w:val="nil"/>
              <w:tr2bl w:val="nil"/>
            </w:tcBorders>
            <w:vAlign w:val="center"/>
          </w:tcPr>
          <w:p>
            <w:pPr>
              <w:pStyle w:val="22"/>
              <w:bidi w:val="0"/>
              <w:jc w:val="center"/>
              <w:rPr>
                <w:color w:val="0000FF"/>
              </w:rPr>
            </w:pPr>
            <w:r>
              <w:rPr>
                <w:color w:val="0000FF"/>
              </w:rPr>
              <w:t>H</w:t>
            </w:r>
            <w:r>
              <w:rPr>
                <w:color w:val="0000FF"/>
                <w:vertAlign w:val="subscript"/>
              </w:rPr>
              <w:t>2</w:t>
            </w:r>
            <w:r>
              <w:rPr>
                <w:color w:val="0000FF"/>
              </w:rPr>
              <w:t>S</w:t>
            </w:r>
          </w:p>
        </w:tc>
        <w:tc>
          <w:tcPr>
            <w:tcW w:w="1619" w:type="dxa"/>
            <w:vMerge w:val="restart"/>
            <w:tcBorders>
              <w:tl2br w:val="nil"/>
              <w:tr2bl w:val="nil"/>
            </w:tcBorders>
            <w:vAlign w:val="center"/>
          </w:tcPr>
          <w:p>
            <w:pPr>
              <w:pStyle w:val="22"/>
              <w:bidi w:val="0"/>
              <w:jc w:val="center"/>
              <w:rPr>
                <w:color w:val="0000FF"/>
              </w:rPr>
            </w:pPr>
            <w:r>
              <w:rPr>
                <w:color w:val="0000FF"/>
              </w:rPr>
              <w:t>连续7天</w:t>
            </w:r>
          </w:p>
        </w:tc>
        <w:tc>
          <w:tcPr>
            <w:tcW w:w="1515" w:type="dxa"/>
            <w:vMerge w:val="restart"/>
            <w:tcBorders>
              <w:tl2br w:val="nil"/>
              <w:tr2bl w:val="nil"/>
            </w:tcBorders>
            <w:vAlign w:val="center"/>
          </w:tcPr>
          <w:p>
            <w:pPr>
              <w:pStyle w:val="22"/>
              <w:bidi w:val="0"/>
              <w:jc w:val="center"/>
              <w:rPr>
                <w:color w:val="0000FF"/>
              </w:rPr>
            </w:pPr>
            <w:r>
              <w:rPr>
                <w:color w:val="0000FF"/>
              </w:rPr>
              <w:t>1小时平均浓度</w:t>
            </w:r>
          </w:p>
        </w:tc>
        <w:tc>
          <w:tcPr>
            <w:tcW w:w="3838" w:type="dxa"/>
            <w:vMerge w:val="restart"/>
            <w:tcBorders>
              <w:tl2br w:val="nil"/>
              <w:tr2bl w:val="nil"/>
            </w:tcBorders>
            <w:vAlign w:val="center"/>
          </w:tcPr>
          <w:p>
            <w:pPr>
              <w:pStyle w:val="22"/>
              <w:bidi w:val="0"/>
              <w:jc w:val="center"/>
              <w:rPr>
                <w:color w:val="0000FF"/>
              </w:rPr>
            </w:pPr>
            <w:r>
              <w:rPr>
                <w:color w:val="0000FF"/>
              </w:rPr>
              <w:t>小时浓度每天监测4次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550" w:type="dxa"/>
            <w:tcBorders>
              <w:tl2br w:val="nil"/>
              <w:tr2bl w:val="nil"/>
            </w:tcBorders>
            <w:vAlign w:val="center"/>
          </w:tcPr>
          <w:p>
            <w:pPr>
              <w:pStyle w:val="22"/>
              <w:bidi w:val="0"/>
              <w:jc w:val="center"/>
              <w:rPr>
                <w:color w:val="0000FF"/>
              </w:rPr>
            </w:pPr>
            <w:r>
              <w:rPr>
                <w:color w:val="0000FF"/>
              </w:rPr>
              <w:t>NH</w:t>
            </w:r>
            <w:r>
              <w:rPr>
                <w:color w:val="0000FF"/>
                <w:vertAlign w:val="subscript"/>
              </w:rPr>
              <w:t>3</w:t>
            </w:r>
          </w:p>
        </w:tc>
        <w:tc>
          <w:tcPr>
            <w:tcW w:w="1619" w:type="dxa"/>
            <w:vMerge w:val="continue"/>
            <w:tcBorders>
              <w:tl2br w:val="nil"/>
              <w:tr2bl w:val="nil"/>
            </w:tcBorders>
            <w:vAlign w:val="center"/>
          </w:tcPr>
          <w:p>
            <w:pPr>
              <w:pStyle w:val="22"/>
              <w:bidi w:val="0"/>
              <w:jc w:val="center"/>
              <w:rPr>
                <w:color w:val="0000FF"/>
              </w:rPr>
            </w:pPr>
          </w:p>
        </w:tc>
        <w:tc>
          <w:tcPr>
            <w:tcW w:w="1515" w:type="dxa"/>
            <w:vMerge w:val="continue"/>
            <w:tcBorders>
              <w:tl2br w:val="nil"/>
              <w:tr2bl w:val="nil"/>
            </w:tcBorders>
            <w:vAlign w:val="center"/>
          </w:tcPr>
          <w:p>
            <w:pPr>
              <w:pStyle w:val="22"/>
              <w:bidi w:val="0"/>
              <w:jc w:val="center"/>
              <w:rPr>
                <w:color w:val="0000FF"/>
              </w:rPr>
            </w:pPr>
          </w:p>
        </w:tc>
        <w:tc>
          <w:tcPr>
            <w:tcW w:w="3838" w:type="dxa"/>
            <w:vMerge w:val="continue"/>
            <w:tcBorders>
              <w:tl2br w:val="nil"/>
              <w:tr2bl w:val="nil"/>
            </w:tcBorders>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550" w:type="dxa"/>
            <w:tcBorders>
              <w:tl2br w:val="nil"/>
              <w:tr2bl w:val="nil"/>
            </w:tcBorders>
            <w:vAlign w:val="center"/>
          </w:tcPr>
          <w:p>
            <w:pPr>
              <w:pStyle w:val="22"/>
              <w:bidi w:val="0"/>
              <w:jc w:val="center"/>
              <w:rPr>
                <w:color w:val="0000FF"/>
              </w:rPr>
            </w:pPr>
            <w:r>
              <w:rPr>
                <w:color w:val="0000FF"/>
              </w:rPr>
              <w:t>臭气浓度</w:t>
            </w:r>
          </w:p>
        </w:tc>
        <w:tc>
          <w:tcPr>
            <w:tcW w:w="1619" w:type="dxa"/>
            <w:vMerge w:val="continue"/>
            <w:tcBorders>
              <w:tl2br w:val="nil"/>
              <w:tr2bl w:val="nil"/>
            </w:tcBorders>
            <w:vAlign w:val="center"/>
          </w:tcPr>
          <w:p>
            <w:pPr>
              <w:pStyle w:val="22"/>
              <w:bidi w:val="0"/>
              <w:jc w:val="center"/>
              <w:rPr>
                <w:color w:val="0000FF"/>
              </w:rPr>
            </w:pPr>
          </w:p>
        </w:tc>
        <w:tc>
          <w:tcPr>
            <w:tcW w:w="1515" w:type="dxa"/>
            <w:vMerge w:val="continue"/>
            <w:tcBorders>
              <w:tl2br w:val="nil"/>
              <w:tr2bl w:val="nil"/>
            </w:tcBorders>
            <w:vAlign w:val="center"/>
          </w:tcPr>
          <w:p>
            <w:pPr>
              <w:pStyle w:val="22"/>
              <w:bidi w:val="0"/>
              <w:jc w:val="center"/>
              <w:rPr>
                <w:color w:val="0000FF"/>
              </w:rPr>
            </w:pPr>
          </w:p>
        </w:tc>
        <w:tc>
          <w:tcPr>
            <w:tcW w:w="3838" w:type="dxa"/>
            <w:vMerge w:val="continue"/>
            <w:tcBorders>
              <w:tl2br w:val="nil"/>
              <w:tr2bl w:val="nil"/>
            </w:tcBorders>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55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非甲烷总烃</w:t>
            </w:r>
          </w:p>
        </w:tc>
        <w:tc>
          <w:tcPr>
            <w:tcW w:w="1619" w:type="dxa"/>
            <w:vMerge w:val="continue"/>
            <w:tcBorders>
              <w:tl2br w:val="nil"/>
              <w:tr2bl w:val="nil"/>
            </w:tcBorders>
            <w:vAlign w:val="center"/>
          </w:tcPr>
          <w:p>
            <w:pPr>
              <w:pStyle w:val="22"/>
              <w:bidi w:val="0"/>
              <w:jc w:val="center"/>
              <w:rPr>
                <w:color w:val="0000FF"/>
              </w:rPr>
            </w:pPr>
          </w:p>
        </w:tc>
        <w:tc>
          <w:tcPr>
            <w:tcW w:w="1515" w:type="dxa"/>
            <w:vMerge w:val="continue"/>
            <w:tcBorders>
              <w:tl2br w:val="nil"/>
              <w:tr2bl w:val="nil"/>
            </w:tcBorders>
            <w:vAlign w:val="center"/>
          </w:tcPr>
          <w:p>
            <w:pPr>
              <w:pStyle w:val="22"/>
              <w:bidi w:val="0"/>
              <w:jc w:val="center"/>
              <w:rPr>
                <w:color w:val="0000FF"/>
              </w:rPr>
            </w:pPr>
          </w:p>
        </w:tc>
        <w:tc>
          <w:tcPr>
            <w:tcW w:w="3838" w:type="dxa"/>
            <w:vMerge w:val="continue"/>
            <w:tcBorders>
              <w:tl2br w:val="nil"/>
              <w:tr2bl w:val="nil"/>
            </w:tcBorders>
            <w:vAlign w:val="center"/>
          </w:tcPr>
          <w:p>
            <w:pPr>
              <w:pStyle w:val="22"/>
              <w:bidi w:val="0"/>
              <w:jc w:val="center"/>
              <w:rPr>
                <w:color w:val="0000FF"/>
              </w:rPr>
            </w:pPr>
          </w:p>
        </w:tc>
      </w:tr>
    </w:tbl>
    <w:p>
      <w:pPr>
        <w:bidi w:val="0"/>
        <w:rPr>
          <w:color w:val="0000FF"/>
        </w:rPr>
      </w:pPr>
      <w:r>
        <w:rPr>
          <w:color w:val="0000FF"/>
        </w:rPr>
        <w:t>④评价方法</w:t>
      </w:r>
    </w:p>
    <w:p>
      <w:pPr>
        <w:bidi w:val="0"/>
        <w:rPr>
          <w:color w:val="0000FF"/>
        </w:rPr>
      </w:pPr>
      <w:r>
        <w:rPr>
          <w:color w:val="0000FF"/>
        </w:rPr>
        <w:t>本次环评空气环境质量现状采用超标率和最大浓度占标率进行评价，计算公式为：</w:t>
      </w:r>
    </w:p>
    <w:p>
      <w:pPr>
        <w:bidi w:val="0"/>
        <w:rPr>
          <w:color w:val="0000FF"/>
        </w:rPr>
      </w:pPr>
      <w:r>
        <w:rPr>
          <w:color w:val="0000FF"/>
        </w:rPr>
        <w:t>超标率=超标数据个数/总监测数据个数×100%</w:t>
      </w:r>
    </w:p>
    <w:p>
      <w:pPr>
        <w:spacing w:line="242" w:lineRule="auto"/>
        <w:ind w:firstLine="774"/>
        <w:jc w:val="center"/>
        <w:rPr>
          <w:color w:val="0000FF"/>
        </w:rPr>
      </w:pPr>
      <w:r>
        <w:rPr>
          <w:rFonts w:ascii="Times New Roman" w:hAnsi="Times New Roman" w:eastAsia="Times New Roman" w:cs="Times New Roman"/>
          <w:color w:val="0000FF"/>
          <w:spacing w:val="-3"/>
          <w:sz w:val="24"/>
          <w:szCs w:val="24"/>
        </w:rPr>
        <w:t>P</w:t>
      </w:r>
      <w:r>
        <w:rPr>
          <w:rFonts w:ascii="Times New Roman" w:hAnsi="Times New Roman" w:eastAsia="Times New Roman" w:cs="Times New Roman"/>
          <w:color w:val="0000FF"/>
          <w:spacing w:val="-3"/>
          <w:sz w:val="16"/>
          <w:szCs w:val="16"/>
        </w:rPr>
        <w:t>i</w:t>
      </w:r>
      <w:r>
        <w:rPr>
          <w:rFonts w:ascii="宋体" w:hAnsi="宋体" w:eastAsia="宋体" w:cs="宋体"/>
          <w:color w:val="0000FF"/>
          <w:spacing w:val="-3"/>
          <w:sz w:val="24"/>
          <w:szCs w:val="24"/>
        </w:rPr>
        <w:t>＝</w:t>
      </w:r>
      <w:r>
        <w:rPr>
          <w:rFonts w:ascii="Times New Roman" w:hAnsi="Times New Roman" w:eastAsia="Times New Roman" w:cs="Times New Roman"/>
          <w:color w:val="0000FF"/>
          <w:spacing w:val="-3"/>
          <w:sz w:val="24"/>
          <w:szCs w:val="24"/>
        </w:rPr>
        <w:t>C</w:t>
      </w:r>
      <w:r>
        <w:rPr>
          <w:rFonts w:ascii="Times New Roman" w:hAnsi="Times New Roman" w:eastAsia="Times New Roman" w:cs="Times New Roman"/>
          <w:color w:val="0000FF"/>
          <w:spacing w:val="-3"/>
          <w:sz w:val="16"/>
          <w:szCs w:val="16"/>
        </w:rPr>
        <w:t>i</w:t>
      </w:r>
      <w:r>
        <w:rPr>
          <w:rFonts w:ascii="Times New Roman" w:hAnsi="Times New Roman" w:eastAsia="Times New Roman" w:cs="Times New Roman"/>
          <w:color w:val="0000FF"/>
          <w:spacing w:val="-3"/>
          <w:sz w:val="24"/>
          <w:szCs w:val="24"/>
        </w:rPr>
        <w:t>/C</w:t>
      </w:r>
      <w:r>
        <w:rPr>
          <w:rFonts w:ascii="Times New Roman" w:hAnsi="Times New Roman" w:eastAsia="Times New Roman" w:cs="Times New Roman"/>
          <w:color w:val="0000FF"/>
          <w:spacing w:val="-3"/>
          <w:sz w:val="16"/>
          <w:szCs w:val="16"/>
        </w:rPr>
        <w:t>0i</w:t>
      </w:r>
    </w:p>
    <w:p>
      <w:pPr>
        <w:bidi w:val="0"/>
        <w:rPr>
          <w:color w:val="0000FF"/>
        </w:rPr>
      </w:pPr>
      <w:r>
        <w:rPr>
          <w:color w:val="0000FF"/>
        </w:rPr>
        <w:t>式中：Pi—第i个污染物的最大浓度占标率（无量纲）；</w:t>
      </w:r>
    </w:p>
    <w:p>
      <w:pPr>
        <w:bidi w:val="0"/>
        <w:ind w:firstLine="1200" w:firstLineChars="500"/>
        <w:rPr>
          <w:color w:val="0000FF"/>
        </w:rPr>
      </w:pPr>
      <w:r>
        <w:rPr>
          <w:color w:val="0000FF"/>
        </w:rPr>
        <w:t>Ci—第i个污染物的最大浓度（mg/m</w:t>
      </w:r>
      <w:r>
        <w:rPr>
          <w:color w:val="0000FF"/>
          <w:vertAlign w:val="superscript"/>
        </w:rPr>
        <w:t>3</w:t>
      </w:r>
      <w:r>
        <w:rPr>
          <w:color w:val="0000FF"/>
        </w:rPr>
        <w:t>）；</w:t>
      </w:r>
    </w:p>
    <w:p>
      <w:pPr>
        <w:bidi w:val="0"/>
        <w:ind w:firstLine="1200" w:firstLineChars="500"/>
        <w:rPr>
          <w:rFonts w:hint="eastAsia" w:eastAsia="宋体"/>
          <w:color w:val="0000FF"/>
          <w:lang w:eastAsia="zh-CN"/>
        </w:rPr>
      </w:pPr>
      <w:r>
        <w:rPr>
          <w:color w:val="0000FF"/>
        </w:rPr>
        <w:t>Coi—第i个污染物的环境空气质量浓度标准（mg/m</w:t>
      </w:r>
      <w:r>
        <w:rPr>
          <w:color w:val="0000FF"/>
          <w:vertAlign w:val="superscript"/>
        </w:rPr>
        <w:t>3</w:t>
      </w:r>
      <w:r>
        <w:rPr>
          <w:color w:val="0000FF"/>
        </w:rPr>
        <w:t>）。</w:t>
      </w:r>
    </w:p>
    <w:p>
      <w:pPr>
        <w:bidi w:val="0"/>
        <w:rPr>
          <w:color w:val="0000FF"/>
        </w:rPr>
      </w:pPr>
      <w:r>
        <w:rPr>
          <w:color w:val="0000FF"/>
        </w:rPr>
        <w:t>⑤监测及评价结果</w:t>
      </w:r>
    </w:p>
    <w:p>
      <w:pPr>
        <w:pStyle w:val="22"/>
        <w:bidi w:val="0"/>
        <w:rPr>
          <w:b/>
          <w:bCs/>
          <w:color w:val="0000FF"/>
        </w:rPr>
      </w:pPr>
      <w:r>
        <w:rPr>
          <w:b/>
          <w:bCs/>
          <w:color w:val="0000FF"/>
        </w:rPr>
        <w:t>表4.2-</w:t>
      </w:r>
      <w:r>
        <w:rPr>
          <w:rFonts w:hint="eastAsia"/>
          <w:b/>
          <w:bCs/>
          <w:color w:val="0000FF"/>
          <w:lang w:val="en-US" w:eastAsia="zh-CN"/>
        </w:rPr>
        <w:t xml:space="preserve">3   </w:t>
      </w:r>
      <w:r>
        <w:rPr>
          <w:b/>
          <w:bCs/>
          <w:color w:val="0000FF"/>
        </w:rPr>
        <w:t>疾控中心环境空气质量现状监测结果一览表</w:t>
      </w:r>
      <w:r>
        <w:rPr>
          <w:rFonts w:hint="eastAsia"/>
          <w:b/>
          <w:bCs/>
          <w:color w:val="0000FF"/>
          <w:lang w:val="en-US" w:eastAsia="zh-CN"/>
        </w:rPr>
        <w:t xml:space="preserve">   </w:t>
      </w:r>
      <w:r>
        <w:rPr>
          <w:b/>
          <w:bCs/>
          <w:color w:val="0000FF"/>
        </w:rPr>
        <w:t>单位：（mg/m</w:t>
      </w:r>
      <w:r>
        <w:rPr>
          <w:b/>
          <w:bCs/>
          <w:color w:val="0000FF"/>
          <w:vertAlign w:val="superscript"/>
        </w:rPr>
        <w:t>3</w:t>
      </w:r>
      <w:r>
        <w:rPr>
          <w:b/>
          <w:bCs/>
          <w:color w:val="0000FF"/>
        </w:rPr>
        <w:t>）</w:t>
      </w:r>
    </w:p>
    <w:tbl>
      <w:tblPr>
        <w:tblStyle w:val="23"/>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045"/>
        <w:gridCol w:w="1622"/>
        <w:gridCol w:w="1277"/>
        <w:gridCol w:w="1277"/>
        <w:gridCol w:w="1277"/>
        <w:gridCol w:w="1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99" w:type="dxa"/>
            <w:vMerge w:val="restart"/>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监测点位</w:t>
            </w:r>
          </w:p>
        </w:tc>
        <w:tc>
          <w:tcPr>
            <w:tcW w:w="1045" w:type="dxa"/>
            <w:vMerge w:val="restart"/>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采样日期</w:t>
            </w:r>
          </w:p>
        </w:tc>
        <w:tc>
          <w:tcPr>
            <w:tcW w:w="1622" w:type="dxa"/>
            <w:vMerge w:val="restart"/>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采样编号</w:t>
            </w:r>
          </w:p>
        </w:tc>
        <w:tc>
          <w:tcPr>
            <w:tcW w:w="5111" w:type="dxa"/>
            <w:gridSpan w:val="4"/>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监测项目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jc w:val="center"/>
              <w:rPr>
                <w:color w:val="0000FF"/>
              </w:rPr>
            </w:pPr>
          </w:p>
        </w:tc>
        <w:tc>
          <w:tcPr>
            <w:tcW w:w="1622" w:type="dxa"/>
            <w:vMerge w:val="continue"/>
            <w:tcBorders>
              <w:tl2br w:val="nil"/>
              <w:tr2bl w:val="nil"/>
            </w:tcBorders>
            <w:vAlign w:val="center"/>
          </w:tcPr>
          <w:p>
            <w:pPr>
              <w:pStyle w:val="22"/>
              <w:bidi w:val="0"/>
              <w:jc w:val="center"/>
              <w:rPr>
                <w:color w:val="0000FF"/>
              </w:rPr>
            </w:pPr>
          </w:p>
        </w:tc>
        <w:tc>
          <w:tcPr>
            <w:tcW w:w="1277" w:type="dxa"/>
            <w:tcBorders>
              <w:tl2br w:val="nil"/>
              <w:tr2bl w:val="nil"/>
            </w:tcBorders>
            <w:vAlign w:val="top"/>
          </w:tcPr>
          <w:p>
            <w:pPr>
              <w:spacing w:before="14" w:line="281" w:lineRule="exact"/>
              <w:ind w:firstLine="420" w:firstLineChars="200"/>
              <w:rPr>
                <w:color w:val="0000FF"/>
              </w:rPr>
            </w:pPr>
            <w:r>
              <w:rPr>
                <w:rFonts w:ascii="Times New Roman" w:hAnsi="Times New Roman" w:eastAsia="Times New Roman" w:cs="Times New Roman"/>
                <w:color w:val="0000FF"/>
                <w:sz w:val="21"/>
                <w:szCs w:val="21"/>
              </w:rPr>
              <w:t>NH</w:t>
            </w:r>
            <w:r>
              <w:rPr>
                <w:rFonts w:ascii="Times New Roman" w:hAnsi="Times New Roman" w:eastAsia="Times New Roman" w:cs="Times New Roman"/>
                <w:color w:val="0000FF"/>
                <w:position w:val="-1"/>
                <w:sz w:val="14"/>
                <w:szCs w:val="14"/>
              </w:rPr>
              <w:t>3</w:t>
            </w:r>
            <w:r>
              <w:rPr>
                <w:rFonts w:ascii="宋体" w:hAnsi="宋体" w:eastAsia="宋体" w:cs="宋体"/>
                <w:color w:val="0000FF"/>
                <w:sz w:val="21"/>
                <w:szCs w:val="21"/>
              </w:rPr>
              <w:t>（</w:t>
            </w:r>
            <w:r>
              <w:rPr>
                <w:rFonts w:ascii="Times New Roman" w:hAnsi="Times New Roman" w:eastAsia="Times New Roman" w:cs="Times New Roman"/>
                <w:color w:val="0000FF"/>
                <w:sz w:val="21"/>
                <w:szCs w:val="21"/>
              </w:rPr>
              <w:t>mg/m</w:t>
            </w:r>
            <w:r>
              <w:rPr>
                <w:rFonts w:ascii="Times New Roman" w:hAnsi="Times New Roman" w:eastAsia="Times New Roman" w:cs="Times New Roman"/>
                <w:color w:val="0000FF"/>
                <w:position w:val="6"/>
                <w:sz w:val="14"/>
                <w:szCs w:val="14"/>
              </w:rPr>
              <w:t>3</w:t>
            </w:r>
            <w:r>
              <w:rPr>
                <w:rFonts w:ascii="宋体" w:hAnsi="宋体" w:eastAsia="宋体" w:cs="宋体"/>
                <w:color w:val="0000FF"/>
                <w:sz w:val="21"/>
                <w:szCs w:val="21"/>
              </w:rPr>
              <w:t>）</w:t>
            </w:r>
          </w:p>
        </w:tc>
        <w:tc>
          <w:tcPr>
            <w:tcW w:w="1277" w:type="dxa"/>
            <w:tcBorders>
              <w:tl2br w:val="nil"/>
              <w:tr2bl w:val="nil"/>
            </w:tcBorders>
            <w:vAlign w:val="top"/>
          </w:tcPr>
          <w:p>
            <w:pPr>
              <w:spacing w:before="14" w:line="281" w:lineRule="exact"/>
              <w:ind w:firstLine="416" w:firstLineChars="200"/>
              <w:rPr>
                <w:color w:val="0000FF"/>
              </w:rPr>
            </w:pPr>
            <w:r>
              <w:rPr>
                <w:rFonts w:ascii="Times New Roman" w:hAnsi="Times New Roman" w:eastAsia="Times New Roman" w:cs="Times New Roman"/>
                <w:color w:val="0000FF"/>
                <w:spacing w:val="-1"/>
                <w:sz w:val="21"/>
                <w:szCs w:val="21"/>
              </w:rPr>
              <w:t>H</w:t>
            </w:r>
            <w:r>
              <w:rPr>
                <w:rFonts w:ascii="Times New Roman" w:hAnsi="Times New Roman" w:eastAsia="Times New Roman" w:cs="Times New Roman"/>
                <w:color w:val="0000FF"/>
                <w:spacing w:val="-1"/>
                <w:position w:val="-1"/>
                <w:sz w:val="14"/>
                <w:szCs w:val="14"/>
              </w:rPr>
              <w:t>2</w:t>
            </w:r>
            <w:r>
              <w:rPr>
                <w:rFonts w:ascii="Times New Roman" w:hAnsi="Times New Roman" w:eastAsia="Times New Roman" w:cs="Times New Roman"/>
                <w:color w:val="0000FF"/>
                <w:spacing w:val="-1"/>
                <w:sz w:val="21"/>
                <w:szCs w:val="21"/>
              </w:rPr>
              <w:t>S</w:t>
            </w:r>
            <w:r>
              <w:rPr>
                <w:rFonts w:ascii="宋体" w:hAnsi="宋体" w:eastAsia="宋体" w:cs="宋体"/>
                <w:color w:val="0000FF"/>
                <w:spacing w:val="-1"/>
                <w:sz w:val="21"/>
                <w:szCs w:val="21"/>
              </w:rPr>
              <w:t>（</w:t>
            </w:r>
            <w:r>
              <w:rPr>
                <w:rFonts w:ascii="Times New Roman" w:hAnsi="Times New Roman" w:eastAsia="Times New Roman" w:cs="Times New Roman"/>
                <w:color w:val="0000FF"/>
                <w:spacing w:val="-1"/>
                <w:sz w:val="21"/>
                <w:szCs w:val="21"/>
              </w:rPr>
              <w:t>mg/m</w:t>
            </w:r>
            <w:r>
              <w:rPr>
                <w:rFonts w:ascii="Times New Roman" w:hAnsi="Times New Roman" w:eastAsia="Times New Roman" w:cs="Times New Roman"/>
                <w:color w:val="0000FF"/>
                <w:spacing w:val="-1"/>
                <w:position w:val="6"/>
                <w:sz w:val="14"/>
                <w:szCs w:val="14"/>
              </w:rPr>
              <w:t>3</w:t>
            </w:r>
            <w:r>
              <w:rPr>
                <w:rFonts w:ascii="宋体" w:hAnsi="宋体" w:eastAsia="宋体" w:cs="宋体"/>
                <w:color w:val="0000FF"/>
                <w:spacing w:val="-1"/>
                <w:sz w:val="21"/>
                <w:szCs w:val="21"/>
              </w:rPr>
              <w:t>）</w:t>
            </w:r>
          </w:p>
        </w:tc>
        <w:tc>
          <w:tcPr>
            <w:tcW w:w="1277"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臭气浓度</w:t>
            </w:r>
          </w:p>
          <w:p>
            <w:pPr>
              <w:pStyle w:val="22"/>
              <w:bidi w:val="0"/>
              <w:jc w:val="center"/>
              <w:rPr>
                <w:rFonts w:hint="eastAsia" w:eastAsia="宋体"/>
                <w:color w:val="0000FF"/>
                <w:lang w:eastAsia="zh-CN"/>
              </w:rPr>
            </w:pPr>
            <w:r>
              <w:rPr>
                <w:rFonts w:hint="eastAsia"/>
                <w:color w:val="0000FF"/>
                <w:lang w:eastAsia="zh-CN"/>
              </w:rPr>
              <w:t>（</w:t>
            </w:r>
            <w:r>
              <w:rPr>
                <w:rFonts w:ascii="宋体" w:hAnsi="宋体" w:eastAsia="宋体" w:cs="宋体"/>
                <w:color w:val="0000FF"/>
                <w:spacing w:val="-4"/>
                <w:sz w:val="21"/>
                <w:szCs w:val="21"/>
              </w:rPr>
              <w:t>无量纲</w:t>
            </w:r>
            <w:r>
              <w:rPr>
                <w:rFonts w:hint="eastAsia"/>
                <w:color w:val="0000FF"/>
                <w:lang w:eastAsia="zh-CN"/>
              </w:rPr>
              <w:t>）</w:t>
            </w:r>
          </w:p>
        </w:tc>
        <w:tc>
          <w:tcPr>
            <w:tcW w:w="128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非甲烷总烃</w:t>
            </w:r>
            <w:r>
              <w:rPr>
                <w:rFonts w:ascii="宋体" w:hAnsi="宋体" w:eastAsia="宋体" w:cs="宋体"/>
                <w:color w:val="0000FF"/>
                <w:spacing w:val="-1"/>
                <w:sz w:val="21"/>
                <w:szCs w:val="21"/>
              </w:rPr>
              <w:t>（</w:t>
            </w:r>
            <w:r>
              <w:rPr>
                <w:rFonts w:ascii="Times New Roman" w:hAnsi="Times New Roman" w:eastAsia="Times New Roman" w:cs="Times New Roman"/>
                <w:color w:val="0000FF"/>
                <w:spacing w:val="-1"/>
                <w:sz w:val="21"/>
                <w:szCs w:val="21"/>
              </w:rPr>
              <w:t>mg/m</w:t>
            </w:r>
            <w:r>
              <w:rPr>
                <w:rFonts w:ascii="Times New Roman" w:hAnsi="Times New Roman" w:eastAsia="Times New Roman" w:cs="Times New Roman"/>
                <w:color w:val="0000FF"/>
                <w:spacing w:val="-1"/>
                <w:position w:val="6"/>
                <w:sz w:val="14"/>
                <w:szCs w:val="14"/>
              </w:rPr>
              <w:t>3</w:t>
            </w:r>
            <w:r>
              <w:rPr>
                <w:rFonts w:ascii="宋体" w:hAnsi="宋体" w:eastAsia="宋体" w:cs="宋体"/>
                <w:color w:val="0000FF"/>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99" w:type="dxa"/>
            <w:vMerge w:val="restart"/>
            <w:tcBorders>
              <w:tl2br w:val="nil"/>
              <w:tr2bl w:val="nil"/>
            </w:tcBorders>
            <w:vAlign w:val="center"/>
          </w:tcPr>
          <w:p>
            <w:pPr>
              <w:pStyle w:val="22"/>
              <w:bidi w:val="0"/>
              <w:rPr>
                <w:rFonts w:hint="default"/>
                <w:color w:val="0000FF"/>
                <w:lang w:val="en-US" w:eastAsia="zh-CN"/>
              </w:rPr>
            </w:pPr>
            <w:r>
              <w:rPr>
                <w:rFonts w:hint="eastAsia"/>
                <w:color w:val="0000FF"/>
                <w:lang w:eastAsia="zh-CN"/>
              </w:rPr>
              <w:t>项目区</w:t>
            </w:r>
            <w:r>
              <w:rPr>
                <w:rFonts w:hint="eastAsia"/>
                <w:color w:val="0000FF"/>
                <w:lang w:val="en-US" w:eastAsia="zh-CN"/>
              </w:rPr>
              <w:t>内</w:t>
            </w:r>
          </w:p>
          <w:p>
            <w:pPr>
              <w:pStyle w:val="22"/>
              <w:bidi w:val="0"/>
              <w:jc w:val="center"/>
              <w:rPr>
                <w:color w:val="0000FF"/>
              </w:rPr>
            </w:pPr>
          </w:p>
        </w:tc>
        <w:tc>
          <w:tcPr>
            <w:tcW w:w="1045" w:type="dxa"/>
            <w:vMerge w:val="restart"/>
            <w:tcBorders>
              <w:tl2br w:val="nil"/>
              <w:tr2bl w:val="nil"/>
            </w:tcBorders>
            <w:vAlign w:val="center"/>
          </w:tcPr>
          <w:p>
            <w:pPr>
              <w:pStyle w:val="22"/>
              <w:bidi w:val="0"/>
              <w:rPr>
                <w:color w:val="0000FF"/>
              </w:rPr>
            </w:pPr>
            <w:r>
              <w:rPr>
                <w:rFonts w:hint="eastAsia"/>
                <w:color w:val="0000FF"/>
                <w:lang w:val="en-US" w:eastAsia="zh-CN"/>
              </w:rPr>
              <w:t>2022年3月1日</w:t>
            </w:r>
          </w:p>
        </w:tc>
        <w:tc>
          <w:tcPr>
            <w:tcW w:w="1622" w:type="dxa"/>
            <w:tcBorders>
              <w:tl2br w:val="nil"/>
              <w:tr2bl w:val="nil"/>
            </w:tcBorders>
            <w:vAlign w:val="center"/>
          </w:tcPr>
          <w:p>
            <w:pPr>
              <w:pStyle w:val="22"/>
              <w:bidi w:val="0"/>
              <w:rPr>
                <w:color w:val="0000FF"/>
              </w:rPr>
            </w:pPr>
            <w:r>
              <w:rPr>
                <w:color w:val="0000FF"/>
              </w:rPr>
              <w:t>HQ-1#-1-1-</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1</w:t>
            </w:r>
            <w:r>
              <w:rPr>
                <w:color w:val="0000FF"/>
              </w:rPr>
              <w:t>-</w:t>
            </w:r>
            <w:r>
              <w:rPr>
                <w:rFonts w:hint="eastAsia"/>
                <w:color w:val="0000FF"/>
                <w:lang w:val="en-US" w:eastAsia="zh-CN"/>
              </w:rPr>
              <w:t>2</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1</w:t>
            </w:r>
            <w:r>
              <w:rPr>
                <w:color w:val="0000FF"/>
              </w:rPr>
              <w:t>-</w:t>
            </w:r>
            <w:r>
              <w:rPr>
                <w:rFonts w:hint="eastAsia"/>
                <w:color w:val="0000FF"/>
                <w:lang w:val="en-US" w:eastAsia="zh-CN"/>
              </w:rPr>
              <w:t>3</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1</w:t>
            </w:r>
            <w:r>
              <w:rPr>
                <w:color w:val="0000FF"/>
              </w:rPr>
              <w:t>-</w:t>
            </w:r>
            <w:r>
              <w:rPr>
                <w:rFonts w:hint="eastAsia"/>
                <w:color w:val="0000FF"/>
                <w:lang w:val="en-US" w:eastAsia="zh-CN"/>
              </w:rPr>
              <w:t>4</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restart"/>
            <w:tcBorders>
              <w:tl2br w:val="nil"/>
              <w:tr2bl w:val="nil"/>
            </w:tcBorders>
            <w:vAlign w:val="center"/>
          </w:tcPr>
          <w:p>
            <w:pPr>
              <w:pStyle w:val="22"/>
              <w:bidi w:val="0"/>
              <w:rPr>
                <w:color w:val="0000FF"/>
              </w:rPr>
            </w:pPr>
            <w:r>
              <w:rPr>
                <w:rFonts w:hint="eastAsia"/>
                <w:color w:val="0000FF"/>
                <w:lang w:val="en-US" w:eastAsia="zh-CN"/>
              </w:rPr>
              <w:t>2022年3月2日</w:t>
            </w: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2</w:t>
            </w:r>
            <w:r>
              <w:rPr>
                <w:color w:val="0000FF"/>
              </w:rPr>
              <w:t>-1-</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2</w:t>
            </w:r>
            <w:r>
              <w:rPr>
                <w:color w:val="0000FF"/>
              </w:rPr>
              <w:t>-</w:t>
            </w:r>
            <w:r>
              <w:rPr>
                <w:rFonts w:hint="eastAsia"/>
                <w:color w:val="0000FF"/>
                <w:lang w:val="en-US" w:eastAsia="zh-CN"/>
              </w:rPr>
              <w:t>2</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2</w:t>
            </w:r>
            <w:r>
              <w:rPr>
                <w:color w:val="0000FF"/>
              </w:rPr>
              <w:t>-</w:t>
            </w:r>
            <w:r>
              <w:rPr>
                <w:rFonts w:hint="eastAsia"/>
                <w:color w:val="0000FF"/>
                <w:lang w:val="en-US" w:eastAsia="zh-CN"/>
              </w:rPr>
              <w:t>3</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2</w:t>
            </w:r>
            <w:r>
              <w:rPr>
                <w:color w:val="0000FF"/>
              </w:rPr>
              <w:t>-</w:t>
            </w:r>
            <w:r>
              <w:rPr>
                <w:rFonts w:hint="eastAsia"/>
                <w:color w:val="0000FF"/>
                <w:lang w:val="en-US" w:eastAsia="zh-CN"/>
              </w:rPr>
              <w:t>4</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restart"/>
            <w:tcBorders>
              <w:tl2br w:val="nil"/>
              <w:tr2bl w:val="nil"/>
            </w:tcBorders>
            <w:vAlign w:val="center"/>
          </w:tcPr>
          <w:p>
            <w:pPr>
              <w:pStyle w:val="22"/>
              <w:bidi w:val="0"/>
              <w:rPr>
                <w:color w:val="0000FF"/>
              </w:rPr>
            </w:pPr>
            <w:r>
              <w:rPr>
                <w:rFonts w:hint="eastAsia"/>
                <w:color w:val="0000FF"/>
                <w:lang w:val="en-US" w:eastAsia="zh-CN"/>
              </w:rPr>
              <w:t>2022年3月3日</w:t>
            </w: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3</w:t>
            </w:r>
            <w:r>
              <w:rPr>
                <w:color w:val="0000FF"/>
              </w:rPr>
              <w:t>-1-</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3</w:t>
            </w:r>
            <w:r>
              <w:rPr>
                <w:color w:val="0000FF"/>
              </w:rPr>
              <w:t>-</w:t>
            </w:r>
            <w:r>
              <w:rPr>
                <w:rFonts w:hint="eastAsia"/>
                <w:color w:val="0000FF"/>
                <w:lang w:val="en-US" w:eastAsia="zh-CN"/>
              </w:rPr>
              <w:t>2</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3</w:t>
            </w:r>
            <w:r>
              <w:rPr>
                <w:color w:val="0000FF"/>
              </w:rPr>
              <w:t>-</w:t>
            </w:r>
            <w:r>
              <w:rPr>
                <w:rFonts w:hint="eastAsia"/>
                <w:color w:val="0000FF"/>
                <w:lang w:val="en-US" w:eastAsia="zh-CN"/>
              </w:rPr>
              <w:t>3</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3</w:t>
            </w:r>
            <w:r>
              <w:rPr>
                <w:color w:val="0000FF"/>
              </w:rPr>
              <w:t>-</w:t>
            </w:r>
            <w:r>
              <w:rPr>
                <w:rFonts w:hint="eastAsia"/>
                <w:color w:val="0000FF"/>
                <w:lang w:val="en-US" w:eastAsia="zh-CN"/>
              </w:rPr>
              <w:t>4</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restart"/>
            <w:tcBorders>
              <w:tl2br w:val="nil"/>
              <w:tr2bl w:val="nil"/>
            </w:tcBorders>
            <w:vAlign w:val="center"/>
          </w:tcPr>
          <w:p>
            <w:pPr>
              <w:pStyle w:val="22"/>
              <w:bidi w:val="0"/>
              <w:rPr>
                <w:color w:val="0000FF"/>
              </w:rPr>
            </w:pPr>
            <w:r>
              <w:rPr>
                <w:rFonts w:hint="eastAsia"/>
                <w:color w:val="0000FF"/>
                <w:lang w:val="en-US" w:eastAsia="zh-CN"/>
              </w:rPr>
              <w:t>2022年3月4日</w:t>
            </w: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4</w:t>
            </w:r>
            <w:r>
              <w:rPr>
                <w:color w:val="0000FF"/>
              </w:rPr>
              <w:t>-1-</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4</w:t>
            </w:r>
            <w:r>
              <w:rPr>
                <w:color w:val="0000FF"/>
              </w:rPr>
              <w:t>-</w:t>
            </w:r>
            <w:r>
              <w:rPr>
                <w:rFonts w:hint="eastAsia"/>
                <w:color w:val="0000FF"/>
                <w:lang w:val="en-US" w:eastAsia="zh-CN"/>
              </w:rPr>
              <w:t>2</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4</w:t>
            </w:r>
            <w:r>
              <w:rPr>
                <w:color w:val="0000FF"/>
              </w:rPr>
              <w:t>-</w:t>
            </w:r>
            <w:r>
              <w:rPr>
                <w:rFonts w:hint="eastAsia"/>
                <w:color w:val="0000FF"/>
                <w:lang w:val="en-US" w:eastAsia="zh-CN"/>
              </w:rPr>
              <w:t>3</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4</w:t>
            </w:r>
            <w:r>
              <w:rPr>
                <w:color w:val="0000FF"/>
              </w:rPr>
              <w:t>-</w:t>
            </w:r>
            <w:r>
              <w:rPr>
                <w:rFonts w:hint="eastAsia"/>
                <w:color w:val="0000FF"/>
                <w:lang w:val="en-US" w:eastAsia="zh-CN"/>
              </w:rPr>
              <w:t>4</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restart"/>
            <w:tcBorders>
              <w:tl2br w:val="nil"/>
              <w:tr2bl w:val="nil"/>
            </w:tcBorders>
            <w:vAlign w:val="center"/>
          </w:tcPr>
          <w:p>
            <w:pPr>
              <w:pStyle w:val="22"/>
              <w:bidi w:val="0"/>
              <w:rPr>
                <w:color w:val="0000FF"/>
              </w:rPr>
            </w:pPr>
            <w:r>
              <w:rPr>
                <w:rFonts w:hint="eastAsia"/>
                <w:color w:val="0000FF"/>
                <w:lang w:val="en-US" w:eastAsia="zh-CN"/>
              </w:rPr>
              <w:t>2022年3月5日</w:t>
            </w: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5</w:t>
            </w:r>
            <w:r>
              <w:rPr>
                <w:color w:val="0000FF"/>
              </w:rPr>
              <w:t>-1-</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5</w:t>
            </w:r>
            <w:r>
              <w:rPr>
                <w:color w:val="0000FF"/>
              </w:rPr>
              <w:t>-</w:t>
            </w:r>
            <w:r>
              <w:rPr>
                <w:rFonts w:hint="eastAsia"/>
                <w:color w:val="0000FF"/>
                <w:lang w:val="en-US" w:eastAsia="zh-CN"/>
              </w:rPr>
              <w:t>2</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5</w:t>
            </w:r>
            <w:r>
              <w:rPr>
                <w:color w:val="0000FF"/>
              </w:rPr>
              <w:t>-</w:t>
            </w:r>
            <w:r>
              <w:rPr>
                <w:rFonts w:hint="eastAsia"/>
                <w:color w:val="0000FF"/>
                <w:lang w:val="en-US" w:eastAsia="zh-CN"/>
              </w:rPr>
              <w:t>3</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5</w:t>
            </w:r>
            <w:r>
              <w:rPr>
                <w:color w:val="0000FF"/>
              </w:rPr>
              <w:t>-</w:t>
            </w:r>
            <w:r>
              <w:rPr>
                <w:rFonts w:hint="eastAsia"/>
                <w:color w:val="0000FF"/>
                <w:lang w:val="en-US" w:eastAsia="zh-CN"/>
              </w:rPr>
              <w:t>4</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restart"/>
            <w:tcBorders>
              <w:tl2br w:val="nil"/>
              <w:tr2bl w:val="nil"/>
            </w:tcBorders>
            <w:vAlign w:val="center"/>
          </w:tcPr>
          <w:p>
            <w:pPr>
              <w:pStyle w:val="22"/>
              <w:bidi w:val="0"/>
              <w:rPr>
                <w:color w:val="0000FF"/>
              </w:rPr>
            </w:pPr>
            <w:r>
              <w:rPr>
                <w:rFonts w:hint="eastAsia"/>
                <w:color w:val="0000FF"/>
                <w:lang w:val="en-US" w:eastAsia="zh-CN"/>
              </w:rPr>
              <w:t>2022年3月6日</w:t>
            </w: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6</w:t>
            </w:r>
            <w:r>
              <w:rPr>
                <w:color w:val="0000FF"/>
              </w:rPr>
              <w:t>-1-</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6</w:t>
            </w:r>
            <w:r>
              <w:rPr>
                <w:color w:val="0000FF"/>
              </w:rPr>
              <w:t>-</w:t>
            </w:r>
            <w:r>
              <w:rPr>
                <w:rFonts w:hint="eastAsia"/>
                <w:color w:val="0000FF"/>
                <w:lang w:val="en-US" w:eastAsia="zh-CN"/>
              </w:rPr>
              <w:t>2</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6</w:t>
            </w:r>
            <w:r>
              <w:rPr>
                <w:color w:val="0000FF"/>
              </w:rPr>
              <w:t>-</w:t>
            </w:r>
            <w:r>
              <w:rPr>
                <w:rFonts w:hint="eastAsia"/>
                <w:color w:val="0000FF"/>
                <w:lang w:val="en-US" w:eastAsia="zh-CN"/>
              </w:rPr>
              <w:t>3</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6</w:t>
            </w:r>
            <w:r>
              <w:rPr>
                <w:color w:val="0000FF"/>
              </w:rPr>
              <w:t>-</w:t>
            </w:r>
            <w:r>
              <w:rPr>
                <w:rFonts w:hint="eastAsia"/>
                <w:color w:val="0000FF"/>
                <w:lang w:val="en-US" w:eastAsia="zh-CN"/>
              </w:rPr>
              <w:t>4</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restart"/>
            <w:tcBorders>
              <w:tl2br w:val="nil"/>
              <w:tr2bl w:val="nil"/>
            </w:tcBorders>
            <w:vAlign w:val="center"/>
          </w:tcPr>
          <w:p>
            <w:pPr>
              <w:pStyle w:val="22"/>
              <w:bidi w:val="0"/>
              <w:rPr>
                <w:color w:val="0000FF"/>
              </w:rPr>
            </w:pPr>
            <w:r>
              <w:rPr>
                <w:rFonts w:hint="eastAsia"/>
                <w:color w:val="0000FF"/>
                <w:lang w:val="en-US" w:eastAsia="zh-CN"/>
              </w:rPr>
              <w:t>2022年3月7日</w:t>
            </w: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7</w:t>
            </w:r>
            <w:r>
              <w:rPr>
                <w:color w:val="0000FF"/>
              </w:rPr>
              <w:t>-1-</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jc w:val="center"/>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7</w:t>
            </w:r>
            <w:r>
              <w:rPr>
                <w:color w:val="0000FF"/>
              </w:rPr>
              <w:t>-</w:t>
            </w:r>
            <w:r>
              <w:rPr>
                <w:rFonts w:hint="eastAsia"/>
                <w:color w:val="0000FF"/>
                <w:lang w:val="en-US" w:eastAsia="zh-CN"/>
              </w:rPr>
              <w:t>2</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0.03</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jc w:val="center"/>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7</w:t>
            </w:r>
            <w:r>
              <w:rPr>
                <w:color w:val="0000FF"/>
              </w:rPr>
              <w:t>-</w:t>
            </w:r>
            <w:r>
              <w:rPr>
                <w:rFonts w:hint="eastAsia"/>
                <w:color w:val="0000FF"/>
                <w:lang w:val="en-US" w:eastAsia="zh-CN"/>
              </w:rPr>
              <w:t>3</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0000FF"/>
              </w:rPr>
            </w:pPr>
          </w:p>
        </w:tc>
        <w:tc>
          <w:tcPr>
            <w:tcW w:w="1045" w:type="dxa"/>
            <w:vMerge w:val="continue"/>
            <w:tcBorders>
              <w:tl2br w:val="nil"/>
              <w:tr2bl w:val="nil"/>
            </w:tcBorders>
            <w:vAlign w:val="center"/>
          </w:tcPr>
          <w:p>
            <w:pPr>
              <w:pStyle w:val="22"/>
              <w:bidi w:val="0"/>
              <w:jc w:val="center"/>
              <w:rPr>
                <w:color w:val="0000FF"/>
              </w:rPr>
            </w:pPr>
          </w:p>
        </w:tc>
        <w:tc>
          <w:tcPr>
            <w:tcW w:w="1622" w:type="dxa"/>
            <w:tcBorders>
              <w:tl2br w:val="nil"/>
              <w:tr2bl w:val="nil"/>
            </w:tcBorders>
            <w:vAlign w:val="center"/>
          </w:tcPr>
          <w:p>
            <w:pPr>
              <w:pStyle w:val="22"/>
              <w:bidi w:val="0"/>
              <w:rPr>
                <w:color w:val="0000FF"/>
              </w:rPr>
            </w:pPr>
            <w:r>
              <w:rPr>
                <w:color w:val="0000FF"/>
              </w:rPr>
              <w:t>HQ-1#-</w:t>
            </w:r>
            <w:r>
              <w:rPr>
                <w:rFonts w:hint="eastAsia"/>
                <w:color w:val="0000FF"/>
                <w:lang w:val="en-US" w:eastAsia="zh-CN"/>
              </w:rPr>
              <w:t>7</w:t>
            </w:r>
            <w:r>
              <w:rPr>
                <w:color w:val="0000FF"/>
              </w:rPr>
              <w:t>-</w:t>
            </w:r>
            <w:r>
              <w:rPr>
                <w:rFonts w:hint="eastAsia"/>
                <w:color w:val="0000FF"/>
                <w:lang w:val="en-US" w:eastAsia="zh-CN"/>
              </w:rPr>
              <w:t>4</w:t>
            </w:r>
            <w:r>
              <w:rPr>
                <w:color w:val="0000FF"/>
              </w:rPr>
              <w:t>-</w:t>
            </w:r>
            <w:r>
              <w:rPr>
                <w:rFonts w:hint="eastAsia"/>
                <w:color w:val="0000FF"/>
                <w:lang w:val="en-US" w:eastAsia="zh-CN"/>
              </w:rPr>
              <w:t>m</w:t>
            </w:r>
          </w:p>
        </w:tc>
        <w:tc>
          <w:tcPr>
            <w:tcW w:w="1277" w:type="dxa"/>
            <w:tcBorders>
              <w:tl2br w:val="nil"/>
              <w:tr2bl w:val="nil"/>
            </w:tcBorders>
            <w:vAlign w:val="center"/>
          </w:tcPr>
          <w:p>
            <w:pPr>
              <w:pStyle w:val="22"/>
              <w:bidi w:val="0"/>
              <w:rPr>
                <w:color w:val="0000FF"/>
              </w:rPr>
            </w:pPr>
            <w:r>
              <w:rPr>
                <w:rFonts w:hint="eastAsia"/>
                <w:color w:val="0000FF"/>
                <w:lang w:val="en-US" w:eastAsia="zh-CN"/>
              </w:rPr>
              <w:t>0.04</w:t>
            </w:r>
          </w:p>
        </w:tc>
        <w:tc>
          <w:tcPr>
            <w:tcW w:w="1277" w:type="dxa"/>
            <w:tcBorders>
              <w:tl2br w:val="nil"/>
              <w:tr2bl w:val="nil"/>
            </w:tcBorders>
            <w:vAlign w:val="center"/>
          </w:tcPr>
          <w:p>
            <w:pPr>
              <w:pStyle w:val="22"/>
              <w:bidi w:val="0"/>
              <w:rPr>
                <w:color w:val="0000FF"/>
              </w:rPr>
            </w:pPr>
            <w:r>
              <w:rPr>
                <w:rFonts w:hint="default"/>
                <w:color w:val="0000FF"/>
                <w:lang w:val="en-US" w:eastAsia="zh-CN"/>
              </w:rPr>
              <w:t>&lt;</w:t>
            </w:r>
            <w:r>
              <w:rPr>
                <w:rFonts w:hint="eastAsia"/>
                <w:color w:val="0000FF"/>
                <w:lang w:val="en-US" w:eastAsia="zh-CN"/>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rPr>
                <w:color w:val="0000FF"/>
              </w:rPr>
            </w:pPr>
            <w:r>
              <w:rPr>
                <w:rFonts w:hint="eastAsia"/>
                <w:color w:val="0000FF"/>
                <w:lang w:val="en-US" w:eastAsia="zh-CN"/>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944" w:type="dxa"/>
            <w:gridSpan w:val="2"/>
            <w:tcBorders>
              <w:tl2br w:val="nil"/>
              <w:tr2bl w:val="nil"/>
            </w:tcBorders>
            <w:vAlign w:val="center"/>
          </w:tcPr>
          <w:p>
            <w:pPr>
              <w:pStyle w:val="22"/>
              <w:bidi w:val="0"/>
              <w:jc w:val="center"/>
              <w:rPr>
                <w:color w:val="0000FF"/>
              </w:rPr>
            </w:pPr>
            <w:r>
              <w:rPr>
                <w:color w:val="0000FF"/>
              </w:rPr>
              <w:t>浓度范围（mg/m</w:t>
            </w:r>
            <w:r>
              <w:rPr>
                <w:color w:val="0000FF"/>
                <w:vertAlign w:val="superscript"/>
              </w:rPr>
              <w:t>3</w:t>
            </w:r>
            <w:r>
              <w:rPr>
                <w:color w:val="0000FF"/>
              </w:rPr>
              <w:t>）</w:t>
            </w:r>
          </w:p>
        </w:tc>
        <w:tc>
          <w:tcPr>
            <w:tcW w:w="1622" w:type="dxa"/>
            <w:tcBorders>
              <w:tl2br w:val="nil"/>
              <w:tr2bl w:val="nil"/>
            </w:tcBorders>
            <w:vAlign w:val="center"/>
          </w:tcPr>
          <w:p>
            <w:pPr>
              <w:pStyle w:val="22"/>
              <w:bidi w:val="0"/>
              <w:jc w:val="center"/>
              <w:rPr>
                <w:color w:val="0000FF"/>
              </w:rPr>
            </w:pPr>
            <w:r>
              <w:rPr>
                <w:color w:val="0000FF"/>
              </w:rPr>
              <w:t>/</w:t>
            </w:r>
          </w:p>
        </w:tc>
        <w:tc>
          <w:tcPr>
            <w:tcW w:w="1277"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0.03~0.04</w:t>
            </w:r>
          </w:p>
        </w:tc>
        <w:tc>
          <w:tcPr>
            <w:tcW w:w="1277" w:type="dxa"/>
            <w:tcBorders>
              <w:tl2br w:val="nil"/>
              <w:tr2bl w:val="nil"/>
            </w:tcBorders>
            <w:vAlign w:val="center"/>
          </w:tcPr>
          <w:p>
            <w:pPr>
              <w:pStyle w:val="22"/>
              <w:bidi w:val="0"/>
              <w:jc w:val="center"/>
              <w:rPr>
                <w:color w:val="0000FF"/>
              </w:rPr>
            </w:pPr>
            <w:r>
              <w:rPr>
                <w:color w:val="0000FF"/>
              </w:rPr>
              <w:t>0.005</w:t>
            </w:r>
          </w:p>
        </w:tc>
        <w:tc>
          <w:tcPr>
            <w:tcW w:w="1277" w:type="dxa"/>
            <w:tcBorders>
              <w:tl2br w:val="nil"/>
              <w:tr2bl w:val="nil"/>
            </w:tcBorders>
            <w:vAlign w:val="center"/>
          </w:tcPr>
          <w:p>
            <w:pPr>
              <w:pStyle w:val="22"/>
              <w:bidi w:val="0"/>
              <w:jc w:val="center"/>
              <w:rPr>
                <w:color w:val="0000FF"/>
              </w:rPr>
            </w:pPr>
            <w:r>
              <w:rPr>
                <w:color w:val="0000FF"/>
              </w:rPr>
              <w:t>&lt;10</w:t>
            </w:r>
          </w:p>
        </w:tc>
        <w:tc>
          <w:tcPr>
            <w:tcW w:w="128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0.58~0.85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944" w:type="dxa"/>
            <w:gridSpan w:val="2"/>
            <w:tcBorders>
              <w:tl2br w:val="nil"/>
              <w:tr2bl w:val="nil"/>
            </w:tcBorders>
            <w:vAlign w:val="center"/>
          </w:tcPr>
          <w:p>
            <w:pPr>
              <w:pStyle w:val="22"/>
              <w:bidi w:val="0"/>
              <w:jc w:val="center"/>
              <w:rPr>
                <w:color w:val="0000FF"/>
              </w:rPr>
            </w:pPr>
            <w:r>
              <w:rPr>
                <w:color w:val="0000FF"/>
              </w:rPr>
              <w:t>浓度限值（mg/m</w:t>
            </w:r>
            <w:r>
              <w:rPr>
                <w:color w:val="0000FF"/>
                <w:vertAlign w:val="superscript"/>
              </w:rPr>
              <w:t>3</w:t>
            </w:r>
            <w:r>
              <w:rPr>
                <w:color w:val="0000FF"/>
              </w:rPr>
              <w:t>）</w:t>
            </w:r>
          </w:p>
        </w:tc>
        <w:tc>
          <w:tcPr>
            <w:tcW w:w="1622" w:type="dxa"/>
            <w:tcBorders>
              <w:tl2br w:val="nil"/>
              <w:tr2bl w:val="nil"/>
            </w:tcBorders>
            <w:vAlign w:val="center"/>
          </w:tcPr>
          <w:p>
            <w:pPr>
              <w:pStyle w:val="22"/>
              <w:bidi w:val="0"/>
              <w:jc w:val="center"/>
              <w:rPr>
                <w:color w:val="0000FF"/>
              </w:rPr>
            </w:pPr>
            <w:r>
              <w:rPr>
                <w:color w:val="0000FF"/>
              </w:rPr>
              <w:t>/</w:t>
            </w:r>
          </w:p>
        </w:tc>
        <w:tc>
          <w:tcPr>
            <w:tcW w:w="1277" w:type="dxa"/>
            <w:tcBorders>
              <w:tl2br w:val="nil"/>
              <w:tr2bl w:val="nil"/>
            </w:tcBorders>
            <w:vAlign w:val="center"/>
          </w:tcPr>
          <w:p>
            <w:pPr>
              <w:pStyle w:val="22"/>
              <w:bidi w:val="0"/>
              <w:jc w:val="center"/>
              <w:rPr>
                <w:color w:val="0000FF"/>
              </w:rPr>
            </w:pPr>
            <w:r>
              <w:rPr>
                <w:color w:val="0000FF"/>
              </w:rPr>
              <w:t>＜0.2</w:t>
            </w:r>
          </w:p>
        </w:tc>
        <w:tc>
          <w:tcPr>
            <w:tcW w:w="1277" w:type="dxa"/>
            <w:tcBorders>
              <w:tl2br w:val="nil"/>
              <w:tr2bl w:val="nil"/>
            </w:tcBorders>
            <w:vAlign w:val="center"/>
          </w:tcPr>
          <w:p>
            <w:pPr>
              <w:pStyle w:val="22"/>
              <w:bidi w:val="0"/>
              <w:jc w:val="center"/>
              <w:rPr>
                <w:color w:val="0000FF"/>
              </w:rPr>
            </w:pPr>
            <w:r>
              <w:rPr>
                <w:color w:val="0000FF"/>
              </w:rPr>
              <w:t>＜0.01</w:t>
            </w:r>
          </w:p>
        </w:tc>
        <w:tc>
          <w:tcPr>
            <w:tcW w:w="1277" w:type="dxa"/>
            <w:tcBorders>
              <w:tl2br w:val="nil"/>
              <w:tr2bl w:val="nil"/>
            </w:tcBorders>
            <w:vAlign w:val="center"/>
          </w:tcPr>
          <w:p>
            <w:pPr>
              <w:pStyle w:val="22"/>
              <w:bidi w:val="0"/>
              <w:jc w:val="center"/>
              <w:rPr>
                <w:color w:val="0000FF"/>
              </w:rPr>
            </w:pPr>
            <w:r>
              <w:rPr>
                <w:color w:val="0000FF"/>
              </w:rPr>
              <w:t>10</w:t>
            </w:r>
          </w:p>
        </w:tc>
        <w:tc>
          <w:tcPr>
            <w:tcW w:w="128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944" w:type="dxa"/>
            <w:gridSpan w:val="2"/>
            <w:tcBorders>
              <w:tl2br w:val="nil"/>
              <w:tr2bl w:val="nil"/>
            </w:tcBorders>
            <w:vAlign w:val="center"/>
          </w:tcPr>
          <w:p>
            <w:pPr>
              <w:pStyle w:val="22"/>
              <w:bidi w:val="0"/>
              <w:jc w:val="center"/>
              <w:rPr>
                <w:color w:val="0000FF"/>
              </w:rPr>
            </w:pPr>
            <w:r>
              <w:rPr>
                <w:color w:val="0000FF"/>
              </w:rPr>
              <w:t>最大浓度占标率（%）</w:t>
            </w:r>
          </w:p>
        </w:tc>
        <w:tc>
          <w:tcPr>
            <w:tcW w:w="1622" w:type="dxa"/>
            <w:tcBorders>
              <w:tl2br w:val="nil"/>
              <w:tr2bl w:val="nil"/>
            </w:tcBorders>
            <w:vAlign w:val="center"/>
          </w:tcPr>
          <w:p>
            <w:pPr>
              <w:pStyle w:val="22"/>
              <w:bidi w:val="0"/>
              <w:jc w:val="center"/>
              <w:rPr>
                <w:color w:val="0000FF"/>
              </w:rPr>
            </w:pPr>
            <w:r>
              <w:rPr>
                <w:color w:val="0000FF"/>
              </w:rPr>
              <w:t>/</w:t>
            </w:r>
          </w:p>
        </w:tc>
        <w:tc>
          <w:tcPr>
            <w:tcW w:w="1277"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0.2</w:t>
            </w:r>
          </w:p>
        </w:tc>
        <w:tc>
          <w:tcPr>
            <w:tcW w:w="1277" w:type="dxa"/>
            <w:tcBorders>
              <w:tl2br w:val="nil"/>
              <w:tr2bl w:val="nil"/>
            </w:tcBorders>
            <w:vAlign w:val="center"/>
          </w:tcPr>
          <w:p>
            <w:pPr>
              <w:pStyle w:val="22"/>
              <w:bidi w:val="0"/>
              <w:jc w:val="center"/>
              <w:rPr>
                <w:color w:val="0000FF"/>
              </w:rPr>
            </w:pPr>
            <w:r>
              <w:rPr>
                <w:color w:val="0000FF"/>
              </w:rPr>
              <w:t>-</w:t>
            </w:r>
          </w:p>
        </w:tc>
        <w:tc>
          <w:tcPr>
            <w:tcW w:w="1277" w:type="dxa"/>
            <w:tcBorders>
              <w:tl2br w:val="nil"/>
              <w:tr2bl w:val="nil"/>
            </w:tcBorders>
            <w:vAlign w:val="center"/>
          </w:tcPr>
          <w:p>
            <w:pPr>
              <w:pStyle w:val="22"/>
              <w:bidi w:val="0"/>
              <w:jc w:val="center"/>
              <w:rPr>
                <w:color w:val="0000FF"/>
              </w:rPr>
            </w:pPr>
            <w:r>
              <w:rPr>
                <w:color w:val="0000FF"/>
              </w:rPr>
              <w:t>&lt;1</w:t>
            </w:r>
          </w:p>
        </w:tc>
        <w:tc>
          <w:tcPr>
            <w:tcW w:w="1280"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944" w:type="dxa"/>
            <w:gridSpan w:val="2"/>
            <w:tcBorders>
              <w:tl2br w:val="nil"/>
              <w:tr2bl w:val="nil"/>
            </w:tcBorders>
            <w:vAlign w:val="center"/>
          </w:tcPr>
          <w:p>
            <w:pPr>
              <w:pStyle w:val="22"/>
              <w:bidi w:val="0"/>
              <w:jc w:val="center"/>
              <w:rPr>
                <w:color w:val="0000FF"/>
              </w:rPr>
            </w:pPr>
            <w:r>
              <w:rPr>
                <w:color w:val="0000FF"/>
              </w:rPr>
              <w:t>超标率（%）</w:t>
            </w:r>
          </w:p>
        </w:tc>
        <w:tc>
          <w:tcPr>
            <w:tcW w:w="1622" w:type="dxa"/>
            <w:tcBorders>
              <w:tl2br w:val="nil"/>
              <w:tr2bl w:val="nil"/>
            </w:tcBorders>
            <w:vAlign w:val="center"/>
          </w:tcPr>
          <w:p>
            <w:pPr>
              <w:pStyle w:val="22"/>
              <w:bidi w:val="0"/>
              <w:jc w:val="center"/>
              <w:rPr>
                <w:color w:val="0000FF"/>
              </w:rPr>
            </w:pPr>
            <w:r>
              <w:rPr>
                <w:color w:val="0000FF"/>
              </w:rPr>
              <w:t>0</w:t>
            </w:r>
          </w:p>
        </w:tc>
        <w:tc>
          <w:tcPr>
            <w:tcW w:w="1277" w:type="dxa"/>
            <w:tcBorders>
              <w:tl2br w:val="nil"/>
              <w:tr2bl w:val="nil"/>
            </w:tcBorders>
            <w:vAlign w:val="center"/>
          </w:tcPr>
          <w:p>
            <w:pPr>
              <w:pStyle w:val="22"/>
              <w:bidi w:val="0"/>
              <w:jc w:val="center"/>
              <w:rPr>
                <w:color w:val="0000FF"/>
              </w:rPr>
            </w:pPr>
            <w:r>
              <w:rPr>
                <w:color w:val="0000FF"/>
              </w:rPr>
              <w:t>0</w:t>
            </w:r>
          </w:p>
        </w:tc>
        <w:tc>
          <w:tcPr>
            <w:tcW w:w="1277" w:type="dxa"/>
            <w:tcBorders>
              <w:tl2br w:val="nil"/>
              <w:tr2bl w:val="nil"/>
            </w:tcBorders>
            <w:vAlign w:val="center"/>
          </w:tcPr>
          <w:p>
            <w:pPr>
              <w:pStyle w:val="22"/>
              <w:bidi w:val="0"/>
              <w:jc w:val="center"/>
              <w:rPr>
                <w:color w:val="0000FF"/>
              </w:rPr>
            </w:pPr>
            <w:r>
              <w:rPr>
                <w:color w:val="0000FF"/>
              </w:rPr>
              <w:t>0</w:t>
            </w:r>
          </w:p>
        </w:tc>
        <w:tc>
          <w:tcPr>
            <w:tcW w:w="1277" w:type="dxa"/>
            <w:tcBorders>
              <w:tl2br w:val="nil"/>
              <w:tr2bl w:val="nil"/>
            </w:tcBorders>
            <w:vAlign w:val="center"/>
          </w:tcPr>
          <w:p>
            <w:pPr>
              <w:pStyle w:val="22"/>
              <w:bidi w:val="0"/>
              <w:jc w:val="center"/>
              <w:rPr>
                <w:color w:val="0000FF"/>
              </w:rPr>
            </w:pPr>
            <w:r>
              <w:rPr>
                <w:color w:val="0000FF"/>
              </w:rPr>
              <w:t>0</w:t>
            </w:r>
          </w:p>
        </w:tc>
        <w:tc>
          <w:tcPr>
            <w:tcW w:w="1280" w:type="dxa"/>
            <w:tcBorders>
              <w:tl2br w:val="nil"/>
              <w:tr2bl w:val="nil"/>
            </w:tcBorders>
            <w:vAlign w:val="center"/>
          </w:tcPr>
          <w:p>
            <w:pPr>
              <w:pStyle w:val="22"/>
              <w:bidi w:val="0"/>
              <w:jc w:val="center"/>
              <w:rPr>
                <w:rFonts w:hint="eastAsia" w:eastAsia="宋体"/>
                <w:color w:val="0000FF"/>
                <w:lang w:val="en-US" w:eastAsia="zh-CN"/>
              </w:rPr>
            </w:pPr>
            <w:r>
              <w:rPr>
                <w:rFonts w:hint="eastAsia"/>
                <w:color w:val="0000FF"/>
                <w:lang w:val="en-US" w:eastAsia="zh-CN"/>
              </w:rPr>
              <w:t>0</w:t>
            </w:r>
          </w:p>
        </w:tc>
      </w:tr>
    </w:tbl>
    <w:p>
      <w:pPr>
        <w:pStyle w:val="22"/>
        <w:bidi w:val="0"/>
        <w:jc w:val="left"/>
        <w:rPr>
          <w:color w:val="0000FF"/>
        </w:rPr>
      </w:pPr>
      <w:r>
        <w:rPr>
          <w:color w:val="0000FF"/>
        </w:rPr>
        <w:t>注：数字加L：其中数字表示检出限，L表示小于检出限。</w:t>
      </w:r>
    </w:p>
    <w:p>
      <w:pPr>
        <w:bidi w:val="0"/>
        <w:rPr>
          <w:color w:val="0000FF"/>
        </w:rPr>
      </w:pPr>
      <w:r>
        <w:rPr>
          <w:rFonts w:hint="eastAsia"/>
          <w:color w:val="0000FF"/>
          <w:lang w:val="en-US" w:eastAsia="zh-CN"/>
        </w:rPr>
        <w:t>由</w:t>
      </w:r>
      <w:r>
        <w:rPr>
          <w:color w:val="0000FF"/>
        </w:rPr>
        <w:t>表</w:t>
      </w:r>
      <w:r>
        <w:rPr>
          <w:rFonts w:hint="eastAsia"/>
          <w:color w:val="0000FF"/>
          <w:lang w:val="en-US" w:eastAsia="zh-CN"/>
        </w:rPr>
        <w:t>4.2-3</w:t>
      </w:r>
      <w:r>
        <w:rPr>
          <w:color w:val="0000FF"/>
        </w:rPr>
        <w:t>可知，疾控中心下风向NH</w:t>
      </w:r>
      <w:r>
        <w:rPr>
          <w:color w:val="0000FF"/>
          <w:vertAlign w:val="subscript"/>
        </w:rPr>
        <w:t>3</w:t>
      </w:r>
      <w:r>
        <w:rPr>
          <w:color w:val="0000FF"/>
        </w:rPr>
        <w:t>、H</w:t>
      </w:r>
      <w:r>
        <w:rPr>
          <w:color w:val="0000FF"/>
          <w:vertAlign w:val="subscript"/>
        </w:rPr>
        <w:t>2</w:t>
      </w:r>
      <w:r>
        <w:rPr>
          <w:color w:val="0000FF"/>
        </w:rPr>
        <w:t>S均能满足《环境影响评价技术导则</w:t>
      </w:r>
      <w:r>
        <w:rPr>
          <w:rFonts w:hint="eastAsia"/>
          <w:color w:val="0000FF"/>
          <w:lang w:val="en-US" w:eastAsia="zh-CN"/>
        </w:rPr>
        <w:t xml:space="preserve"> </w:t>
      </w:r>
      <w:r>
        <w:rPr>
          <w:color w:val="0000FF"/>
        </w:rPr>
        <w:t>大气环境》（H.J2.2-2018）附D的相关标准。</w:t>
      </w:r>
    </w:p>
    <w:p>
      <w:pPr>
        <w:bidi w:val="0"/>
        <w:rPr>
          <w:color w:val="0000FF"/>
        </w:rPr>
      </w:pPr>
      <w:r>
        <w:rPr>
          <w:color w:val="0000FF"/>
        </w:rPr>
        <w:t>非甲烷总烃</w:t>
      </w:r>
      <w:r>
        <w:rPr>
          <w:rFonts w:hint="eastAsia"/>
          <w:color w:val="0000FF"/>
          <w:lang w:val="en-US" w:eastAsia="zh-CN"/>
        </w:rPr>
        <w:t>满足</w:t>
      </w:r>
      <w:r>
        <w:rPr>
          <w:color w:val="0000FF"/>
        </w:rPr>
        <w:t>《大气污染物综合排放标准详解》（国家环境保护局科技标准司主编，中国环境科学出版社，1997）中提出的环境标准限值；</w:t>
      </w:r>
    </w:p>
    <w:p>
      <w:pPr>
        <w:bidi w:val="0"/>
        <w:rPr>
          <w:color w:val="0000FF"/>
        </w:rPr>
      </w:pPr>
      <w:r>
        <w:rPr>
          <w:color w:val="0000FF"/>
        </w:rPr>
        <w:t>我国尚未出台臭气浓度环境质量标准，通过监测，臭气浓度符合《医疗机构水污染物排放标准》（GB18466-2005）中表3的排放标准限要求。</w:t>
      </w:r>
    </w:p>
    <w:p>
      <w:pPr>
        <w:bidi w:val="0"/>
        <w:rPr>
          <w:color w:val="0000FF"/>
        </w:rPr>
      </w:pPr>
      <w:r>
        <w:rPr>
          <w:color w:val="0000FF"/>
        </w:rPr>
        <w:t>本项目臭气浓度监测结果可以作为工程建设前区域背景值，作为本项目环境管理基础数据。</w:t>
      </w:r>
    </w:p>
    <w:p>
      <w:pPr>
        <w:pStyle w:val="6"/>
        <w:bidi w:val="0"/>
        <w:rPr>
          <w:color w:val="0000FF"/>
        </w:rPr>
      </w:pPr>
      <w:bookmarkStart w:id="80" w:name="_Toc24303"/>
      <w:r>
        <w:rPr>
          <w:color w:val="0000FF"/>
        </w:rPr>
        <w:t>4.2.2地表水环境现状调查及评价</w:t>
      </w:r>
      <w:bookmarkEnd w:id="80"/>
    </w:p>
    <w:p>
      <w:pPr>
        <w:spacing w:before="197" w:line="185" w:lineRule="auto"/>
        <w:ind w:firstLine="509"/>
        <w:rPr>
          <w:rFonts w:ascii="宋体" w:hAnsi="宋体" w:eastAsia="宋体" w:cs="宋体"/>
          <w:color w:val="0000FF"/>
          <w:sz w:val="24"/>
          <w:szCs w:val="24"/>
        </w:rPr>
      </w:pPr>
      <w:r>
        <w:rPr>
          <w:rFonts w:ascii="宋体" w:hAnsi="宋体" w:eastAsia="宋体" w:cs="宋体"/>
          <w:color w:val="0000FF"/>
          <w:spacing w:val="-2"/>
          <w:sz w:val="24"/>
          <w:szCs w:val="24"/>
        </w:rPr>
        <w:t>（</w:t>
      </w:r>
      <w:r>
        <w:rPr>
          <w:rFonts w:ascii="Times New Roman" w:hAnsi="Times New Roman" w:eastAsia="Times New Roman" w:cs="Times New Roman"/>
          <w:color w:val="0000FF"/>
          <w:spacing w:val="-2"/>
          <w:sz w:val="24"/>
          <w:szCs w:val="24"/>
        </w:rPr>
        <w:t>1</w:t>
      </w:r>
      <w:r>
        <w:rPr>
          <w:rFonts w:ascii="宋体" w:hAnsi="宋体" w:eastAsia="宋体" w:cs="宋体"/>
          <w:color w:val="0000FF"/>
          <w:spacing w:val="-2"/>
          <w:sz w:val="24"/>
          <w:szCs w:val="24"/>
        </w:rPr>
        <w:t>）监测点及监测项目</w:t>
      </w:r>
    </w:p>
    <w:p>
      <w:pPr>
        <w:bidi w:val="0"/>
        <w:rPr>
          <w:rFonts w:hint="default" w:eastAsia="宋体"/>
          <w:color w:val="0000FF"/>
          <w:lang w:val="en-US" w:eastAsia="zh-CN"/>
        </w:rPr>
      </w:pPr>
      <w:r>
        <w:rPr>
          <w:rFonts w:hint="eastAsia"/>
          <w:color w:val="0000FF"/>
          <w:lang w:val="en-US" w:eastAsia="zh-CN"/>
        </w:rPr>
        <w:t>①监测点位</w:t>
      </w:r>
    </w:p>
    <w:p>
      <w:pPr>
        <w:bidi w:val="0"/>
        <w:rPr>
          <w:rFonts w:hint="eastAsia"/>
          <w:color w:val="0000FF"/>
          <w:lang w:eastAsia="zh-CN"/>
        </w:rPr>
      </w:pPr>
      <w:r>
        <w:rPr>
          <w:rFonts w:hint="eastAsia"/>
          <w:color w:val="0000FF"/>
          <w:lang w:eastAsia="zh-CN"/>
        </w:rPr>
        <w:t>项目区东侧</w:t>
      </w:r>
      <w:r>
        <w:rPr>
          <w:rFonts w:hint="eastAsia"/>
          <w:color w:val="0000FF"/>
          <w:lang w:val="en-US" w:eastAsia="zh-CN"/>
        </w:rPr>
        <w:t>360m处拉依苏水库，监测点取样坐标</w:t>
      </w:r>
      <w:r>
        <w:rPr>
          <w:rFonts w:hint="default"/>
          <w:color w:val="0000FF"/>
          <w:lang w:val="en-US" w:eastAsia="zh-CN"/>
        </w:rPr>
        <w:t>E</w:t>
      </w:r>
      <w:r>
        <w:rPr>
          <w:rFonts w:hint="eastAsia"/>
          <w:color w:val="0000FF"/>
          <w:lang w:val="en-US" w:eastAsia="zh-CN"/>
        </w:rPr>
        <w:t>：81</w:t>
      </w:r>
      <w:r>
        <w:rPr>
          <w:rFonts w:hint="default"/>
          <w:color w:val="0000FF"/>
          <w:lang w:val="en-US" w:eastAsia="zh-CN"/>
        </w:rPr>
        <w:t>°</w:t>
      </w:r>
      <w:r>
        <w:rPr>
          <w:rFonts w:hint="eastAsia"/>
          <w:color w:val="0000FF"/>
          <w:lang w:val="en-US" w:eastAsia="zh-CN"/>
        </w:rPr>
        <w:t>18</w:t>
      </w:r>
      <w:r>
        <w:rPr>
          <w:rFonts w:hint="default"/>
          <w:color w:val="0000FF"/>
          <w:lang w:val="en-US" w:eastAsia="zh-CN"/>
        </w:rPr>
        <w:t>′</w:t>
      </w:r>
      <w:r>
        <w:rPr>
          <w:rFonts w:hint="eastAsia"/>
          <w:color w:val="0000FF"/>
          <w:lang w:val="en-US" w:eastAsia="zh-CN"/>
        </w:rPr>
        <w:t>22.40</w:t>
      </w:r>
      <w:r>
        <w:rPr>
          <w:rFonts w:hint="default"/>
          <w:color w:val="0000FF"/>
          <w:lang w:val="en-US" w:eastAsia="zh-CN"/>
        </w:rPr>
        <w:t>″</w:t>
      </w:r>
      <w:r>
        <w:rPr>
          <w:rFonts w:hint="eastAsia"/>
          <w:color w:val="0000FF"/>
          <w:lang w:val="en-US" w:eastAsia="zh-CN"/>
        </w:rPr>
        <w:t>，</w:t>
      </w:r>
      <w:r>
        <w:rPr>
          <w:rFonts w:hint="default"/>
          <w:color w:val="0000FF"/>
          <w:lang w:val="en-US" w:eastAsia="zh-CN"/>
        </w:rPr>
        <w:t>N</w:t>
      </w:r>
      <w:r>
        <w:rPr>
          <w:rFonts w:hint="eastAsia"/>
          <w:color w:val="0000FF"/>
          <w:lang w:val="en-US" w:eastAsia="zh-CN"/>
        </w:rPr>
        <w:t>：36</w:t>
      </w:r>
      <w:r>
        <w:rPr>
          <w:rFonts w:hint="default"/>
          <w:color w:val="0000FF"/>
          <w:lang w:val="en-US" w:eastAsia="zh-CN"/>
        </w:rPr>
        <w:t>°</w:t>
      </w:r>
      <w:r>
        <w:rPr>
          <w:rFonts w:hint="eastAsia"/>
          <w:color w:val="0000FF"/>
          <w:lang w:val="en-US" w:eastAsia="zh-CN"/>
        </w:rPr>
        <w:t>53</w:t>
      </w:r>
      <w:r>
        <w:rPr>
          <w:rFonts w:hint="default"/>
          <w:color w:val="0000FF"/>
          <w:lang w:val="en-US" w:eastAsia="zh-CN"/>
        </w:rPr>
        <w:t>′</w:t>
      </w:r>
      <w:r>
        <w:rPr>
          <w:rFonts w:hint="eastAsia"/>
          <w:color w:val="0000FF"/>
          <w:lang w:val="en-US" w:eastAsia="zh-CN"/>
        </w:rPr>
        <w:t>48.13</w:t>
      </w:r>
      <w:r>
        <w:rPr>
          <w:rFonts w:hint="default"/>
          <w:color w:val="0000FF"/>
          <w:lang w:val="en-US" w:eastAsia="zh-CN"/>
        </w:rPr>
        <w:t>″</w:t>
      </w:r>
      <w:r>
        <w:rPr>
          <w:rFonts w:hint="eastAsia"/>
          <w:color w:val="0000FF"/>
          <w:lang w:eastAsia="zh-CN"/>
        </w:rPr>
        <w:t>。</w:t>
      </w:r>
    </w:p>
    <w:p>
      <w:pPr>
        <w:bidi w:val="0"/>
        <w:rPr>
          <w:rFonts w:hint="default"/>
          <w:color w:val="0000FF"/>
          <w:lang w:val="en-US" w:eastAsia="zh-CN"/>
        </w:rPr>
      </w:pPr>
      <w:r>
        <w:rPr>
          <w:rFonts w:hint="eastAsia"/>
          <w:color w:val="0000FF"/>
          <w:lang w:val="en-US" w:eastAsia="zh-CN"/>
        </w:rPr>
        <w:t>②监测项目</w:t>
      </w:r>
    </w:p>
    <w:p>
      <w:pPr>
        <w:bidi w:val="0"/>
        <w:rPr>
          <w:color w:val="0000FF"/>
        </w:rPr>
      </w:pPr>
      <w:r>
        <w:rPr>
          <w:rFonts w:hint="eastAsia"/>
          <w:color w:val="0000FF"/>
        </w:rPr>
        <w:t>pH、</w:t>
      </w:r>
      <w:r>
        <w:rPr>
          <w:color w:val="0000FF"/>
        </w:rPr>
        <w:t>溶解氧、</w:t>
      </w:r>
      <w:r>
        <w:rPr>
          <w:rFonts w:hint="eastAsia"/>
          <w:color w:val="0000FF"/>
          <w:lang w:eastAsia="zh-CN"/>
        </w:rPr>
        <w:t>化学需氧量</w:t>
      </w:r>
      <w:r>
        <w:rPr>
          <w:color w:val="0000FF"/>
        </w:rPr>
        <w:t>、</w:t>
      </w:r>
      <w:r>
        <w:rPr>
          <w:rFonts w:hint="eastAsia"/>
          <w:color w:val="0000FF"/>
          <w:lang w:eastAsia="zh-CN"/>
        </w:rPr>
        <w:t>五日生化需氧量、</w:t>
      </w:r>
      <w:r>
        <w:rPr>
          <w:rFonts w:hint="eastAsia"/>
          <w:color w:val="0000FF"/>
        </w:rPr>
        <w:t>氨氮、总磷、氟化物、六价铬、氰化物、挥发酚、硫酸盐、粪大肠菌群</w:t>
      </w:r>
      <w:r>
        <w:rPr>
          <w:rFonts w:hint="eastAsia"/>
          <w:color w:val="0000FF"/>
          <w:lang w:eastAsia="zh-CN"/>
        </w:rPr>
        <w:t>、总氮</w:t>
      </w:r>
      <w:r>
        <w:rPr>
          <w:color w:val="0000FF"/>
        </w:rPr>
        <w:t>等共13项。</w:t>
      </w:r>
    </w:p>
    <w:p>
      <w:pPr>
        <w:bidi w:val="0"/>
        <w:rPr>
          <w:color w:val="0000FF"/>
        </w:rPr>
      </w:pPr>
      <w:r>
        <w:rPr>
          <w:color w:val="0000FF"/>
        </w:rPr>
        <w:t>（2）监测时间及分析方法</w:t>
      </w:r>
    </w:p>
    <w:p>
      <w:pPr>
        <w:bidi w:val="0"/>
        <w:rPr>
          <w:color w:val="0000FF"/>
        </w:rPr>
      </w:pPr>
      <w:r>
        <w:rPr>
          <w:color w:val="0000FF"/>
        </w:rPr>
        <w:t>监测时间为202</w:t>
      </w:r>
      <w:r>
        <w:rPr>
          <w:rFonts w:hint="eastAsia"/>
          <w:color w:val="0000FF"/>
          <w:lang w:val="en-US" w:eastAsia="zh-CN"/>
        </w:rPr>
        <w:t>2</w:t>
      </w:r>
      <w:r>
        <w:rPr>
          <w:color w:val="0000FF"/>
        </w:rPr>
        <w:t>年</w:t>
      </w:r>
      <w:r>
        <w:rPr>
          <w:rFonts w:hint="eastAsia"/>
          <w:color w:val="0000FF"/>
          <w:lang w:val="en-US" w:eastAsia="zh-CN"/>
        </w:rPr>
        <w:t>3</w:t>
      </w:r>
      <w:r>
        <w:rPr>
          <w:color w:val="0000FF"/>
        </w:rPr>
        <w:t>月</w:t>
      </w:r>
      <w:r>
        <w:rPr>
          <w:rFonts w:hint="eastAsia"/>
          <w:color w:val="0000FF"/>
          <w:lang w:val="en-US" w:eastAsia="zh-CN"/>
        </w:rPr>
        <w:t>3</w:t>
      </w:r>
      <w:r>
        <w:rPr>
          <w:color w:val="0000FF"/>
        </w:rPr>
        <w:t>日对</w:t>
      </w:r>
      <w:r>
        <w:rPr>
          <w:rFonts w:hint="eastAsia"/>
          <w:color w:val="0000FF"/>
          <w:lang w:val="en-US" w:eastAsia="zh-CN"/>
        </w:rPr>
        <w:t>拉依苏水库</w:t>
      </w:r>
      <w:r>
        <w:rPr>
          <w:color w:val="0000FF"/>
        </w:rPr>
        <w:t>进行采样监测。监测分析方法详见表4.3-9。监测单位为</w:t>
      </w:r>
      <w:r>
        <w:rPr>
          <w:rFonts w:hint="eastAsia"/>
          <w:color w:val="0000FF"/>
          <w:lang w:val="en-US" w:eastAsia="zh-CN"/>
        </w:rPr>
        <w:t>新疆锡水金山环境科技有限公司</w:t>
      </w:r>
      <w:r>
        <w:rPr>
          <w:color w:val="0000FF"/>
        </w:rPr>
        <w:t>，检测报告编号为</w:t>
      </w:r>
      <w:r>
        <w:rPr>
          <w:rFonts w:hint="eastAsia"/>
          <w:color w:val="0000FF"/>
          <w:lang w:val="en-US" w:eastAsia="zh-CN"/>
        </w:rPr>
        <w:t>WT202202099</w:t>
      </w:r>
      <w:r>
        <w:rPr>
          <w:color w:val="0000FF"/>
        </w:rPr>
        <w:t>。</w:t>
      </w:r>
    </w:p>
    <w:p>
      <w:pPr>
        <w:pStyle w:val="22"/>
        <w:bidi w:val="0"/>
        <w:rPr>
          <w:b/>
          <w:bCs/>
          <w:color w:val="0000FF"/>
        </w:rPr>
      </w:pPr>
      <w:r>
        <w:rPr>
          <w:b/>
          <w:bCs/>
          <w:color w:val="0000FF"/>
        </w:rPr>
        <w:t>表4.</w:t>
      </w:r>
      <w:r>
        <w:rPr>
          <w:rFonts w:hint="eastAsia"/>
          <w:b/>
          <w:bCs/>
          <w:color w:val="0000FF"/>
          <w:lang w:val="en-US" w:eastAsia="zh-CN"/>
        </w:rPr>
        <w:t>2</w:t>
      </w:r>
      <w:r>
        <w:rPr>
          <w:b/>
          <w:bCs/>
          <w:color w:val="0000FF"/>
        </w:rPr>
        <w:t>-</w:t>
      </w:r>
      <w:r>
        <w:rPr>
          <w:rFonts w:hint="eastAsia"/>
          <w:b/>
          <w:bCs/>
          <w:color w:val="0000FF"/>
          <w:lang w:val="en-US" w:eastAsia="zh-CN"/>
        </w:rPr>
        <w:t>4</w:t>
      </w:r>
      <w:r>
        <w:rPr>
          <w:b/>
          <w:bCs/>
          <w:color w:val="0000FF"/>
        </w:rPr>
        <w:t>水质监测项目分析方法</w:t>
      </w:r>
    </w:p>
    <w:tbl>
      <w:tblPr>
        <w:tblStyle w:val="17"/>
        <w:tblW w:w="9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94"/>
        <w:gridCol w:w="1450"/>
        <w:gridCol w:w="3360"/>
        <w:gridCol w:w="1770"/>
        <w:gridCol w:w="1280"/>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10" w:hRule="atLeast"/>
          <w:tblHeader/>
          <w:jc w:val="center"/>
        </w:trPr>
        <w:tc>
          <w:tcPr>
            <w:tcW w:w="694" w:type="dxa"/>
            <w:tcBorders>
              <w:tl2br w:val="nil"/>
              <w:tr2bl w:val="nil"/>
            </w:tcBorders>
            <w:noWrap w:val="0"/>
            <w:vAlign w:val="center"/>
          </w:tcPr>
          <w:p>
            <w:pPr>
              <w:pStyle w:val="22"/>
              <w:bidi w:val="0"/>
              <w:rPr>
                <w:rFonts w:hint="default"/>
                <w:color w:val="0000FF"/>
              </w:rPr>
            </w:pPr>
            <w:r>
              <w:rPr>
                <w:rFonts w:hint="default"/>
                <w:color w:val="0000FF"/>
              </w:rPr>
              <w:t>类别</w:t>
            </w:r>
          </w:p>
        </w:tc>
        <w:tc>
          <w:tcPr>
            <w:tcW w:w="1450" w:type="dxa"/>
            <w:tcBorders>
              <w:tl2br w:val="nil"/>
              <w:tr2bl w:val="nil"/>
            </w:tcBorders>
            <w:noWrap w:val="0"/>
            <w:vAlign w:val="center"/>
          </w:tcPr>
          <w:p>
            <w:pPr>
              <w:pStyle w:val="22"/>
              <w:bidi w:val="0"/>
              <w:rPr>
                <w:rFonts w:hint="default"/>
                <w:color w:val="0000FF"/>
              </w:rPr>
            </w:pPr>
            <w:r>
              <w:rPr>
                <w:rFonts w:hint="default"/>
                <w:color w:val="0000FF"/>
                <w:lang w:eastAsia="zh-CN"/>
              </w:rPr>
              <w:t>监测</w:t>
            </w:r>
            <w:r>
              <w:rPr>
                <w:rFonts w:hint="default"/>
                <w:color w:val="0000FF"/>
              </w:rPr>
              <w:t>项目</w:t>
            </w:r>
          </w:p>
        </w:tc>
        <w:tc>
          <w:tcPr>
            <w:tcW w:w="3360" w:type="dxa"/>
            <w:tcBorders>
              <w:tl2br w:val="nil"/>
              <w:tr2bl w:val="nil"/>
            </w:tcBorders>
            <w:noWrap w:val="0"/>
            <w:vAlign w:val="center"/>
          </w:tcPr>
          <w:p>
            <w:pPr>
              <w:pStyle w:val="22"/>
              <w:bidi w:val="0"/>
              <w:rPr>
                <w:rFonts w:hint="default"/>
                <w:color w:val="0000FF"/>
              </w:rPr>
            </w:pPr>
            <w:r>
              <w:rPr>
                <w:rFonts w:hint="default"/>
                <w:color w:val="0000FF"/>
                <w:lang w:eastAsia="zh-CN"/>
              </w:rPr>
              <w:t>监测</w:t>
            </w:r>
            <w:r>
              <w:rPr>
                <w:rFonts w:hint="default"/>
                <w:color w:val="0000FF"/>
              </w:rPr>
              <w:t>方法及依据</w:t>
            </w:r>
          </w:p>
        </w:tc>
        <w:tc>
          <w:tcPr>
            <w:tcW w:w="1770" w:type="dxa"/>
            <w:tcBorders>
              <w:tl2br w:val="nil"/>
              <w:tr2bl w:val="nil"/>
            </w:tcBorders>
            <w:noWrap w:val="0"/>
            <w:vAlign w:val="center"/>
          </w:tcPr>
          <w:p>
            <w:pPr>
              <w:pStyle w:val="22"/>
              <w:bidi w:val="0"/>
              <w:rPr>
                <w:rFonts w:hint="default"/>
                <w:color w:val="0000FF"/>
              </w:rPr>
            </w:pPr>
            <w:r>
              <w:rPr>
                <w:rFonts w:hint="default"/>
                <w:color w:val="0000FF"/>
              </w:rPr>
              <w:t>所用仪器</w:t>
            </w:r>
          </w:p>
        </w:tc>
        <w:tc>
          <w:tcPr>
            <w:tcW w:w="1280" w:type="dxa"/>
            <w:tcBorders>
              <w:tl2br w:val="nil"/>
              <w:tr2bl w:val="nil"/>
            </w:tcBorders>
            <w:noWrap w:val="0"/>
            <w:vAlign w:val="center"/>
          </w:tcPr>
          <w:p>
            <w:pPr>
              <w:pStyle w:val="22"/>
              <w:bidi w:val="0"/>
              <w:rPr>
                <w:rFonts w:hint="default"/>
                <w:color w:val="0000FF"/>
              </w:rPr>
            </w:pPr>
            <w:r>
              <w:rPr>
                <w:rFonts w:hint="default"/>
                <w:color w:val="0000FF"/>
              </w:rPr>
              <w:t>仪器编号</w:t>
            </w:r>
          </w:p>
        </w:tc>
        <w:tc>
          <w:tcPr>
            <w:tcW w:w="1172" w:type="dxa"/>
            <w:tcBorders>
              <w:tl2br w:val="nil"/>
              <w:tr2bl w:val="nil"/>
            </w:tcBorders>
            <w:noWrap w:val="0"/>
            <w:vAlign w:val="center"/>
          </w:tcPr>
          <w:p>
            <w:pPr>
              <w:pStyle w:val="22"/>
              <w:bidi w:val="0"/>
              <w:rPr>
                <w:rFonts w:hint="default"/>
                <w:color w:val="0000FF"/>
              </w:rPr>
            </w:pPr>
            <w:r>
              <w:rPr>
                <w:rFonts w:hint="default"/>
                <w:color w:val="0000FF"/>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restart"/>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地表水</w:t>
            </w: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rPr>
              <w:t>pH</w:t>
            </w:r>
          </w:p>
        </w:tc>
        <w:tc>
          <w:tcPr>
            <w:tcW w:w="3360" w:type="dxa"/>
            <w:tcBorders>
              <w:tl2br w:val="nil"/>
              <w:tr2bl w:val="nil"/>
            </w:tcBorders>
            <w:noWrap w:val="0"/>
            <w:vAlign w:val="center"/>
          </w:tcPr>
          <w:p>
            <w:pPr>
              <w:pStyle w:val="22"/>
              <w:bidi w:val="0"/>
              <w:rPr>
                <w:color w:val="0000FF"/>
              </w:rPr>
            </w:pPr>
            <w:r>
              <w:rPr>
                <w:rFonts w:hint="eastAsia"/>
                <w:color w:val="0000FF"/>
                <w:lang w:val="en-US" w:eastAsia="zh-CN"/>
              </w:rPr>
              <w:t>水质pH值的测定电极法HJ1147-2020</w:t>
            </w:r>
          </w:p>
        </w:tc>
        <w:tc>
          <w:tcPr>
            <w:tcW w:w="1770"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GTPH30便携式酸度计</w:t>
            </w:r>
          </w:p>
        </w:tc>
        <w:tc>
          <w:tcPr>
            <w:tcW w:w="1280" w:type="dxa"/>
            <w:tcBorders>
              <w:tl2br w:val="nil"/>
              <w:tr2bl w:val="nil"/>
            </w:tcBorders>
            <w:noWrap w:val="0"/>
            <w:vAlign w:val="center"/>
          </w:tcPr>
          <w:p>
            <w:pPr>
              <w:pStyle w:val="22"/>
              <w:bidi w:val="0"/>
              <w:rPr>
                <w:rFonts w:hint="default"/>
                <w:color w:val="0000FF"/>
                <w:lang w:val="en-US" w:eastAsia="zh-CN"/>
              </w:rPr>
            </w:pPr>
            <w:r>
              <w:rPr>
                <w:rFonts w:hint="eastAsia"/>
                <w:color w:val="0000FF"/>
                <w:lang w:val="en-US" w:eastAsia="zh-CN"/>
              </w:rPr>
              <w:t>XSJS/YQ-56-1</w:t>
            </w:r>
          </w:p>
        </w:tc>
        <w:tc>
          <w:tcPr>
            <w:tcW w:w="1172"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default"/>
                <w:color w:val="0000FF"/>
                <w:lang w:val="en-US" w:eastAsia="zh-CN"/>
              </w:rPr>
              <w:t>溶解氧</w:t>
            </w:r>
          </w:p>
        </w:tc>
        <w:tc>
          <w:tcPr>
            <w:tcW w:w="3360" w:type="dxa"/>
            <w:tcBorders>
              <w:tl2br w:val="nil"/>
              <w:tr2bl w:val="nil"/>
            </w:tcBorders>
            <w:noWrap w:val="0"/>
            <w:vAlign w:val="center"/>
          </w:tcPr>
          <w:p>
            <w:pPr>
              <w:pStyle w:val="22"/>
              <w:bidi w:val="0"/>
              <w:rPr>
                <w:color w:val="0000FF"/>
              </w:rPr>
            </w:pPr>
            <w:r>
              <w:rPr>
                <w:rFonts w:hint="eastAsia"/>
                <w:color w:val="0000FF"/>
                <w:lang w:val="en-US" w:eastAsia="zh-CN"/>
              </w:rPr>
              <w:t>水质溶解氧的测定电化学探头法HJ506-2009</w:t>
            </w:r>
          </w:p>
        </w:tc>
        <w:tc>
          <w:tcPr>
            <w:tcW w:w="1770" w:type="dxa"/>
            <w:tcBorders>
              <w:tl2br w:val="nil"/>
              <w:tr2bl w:val="nil"/>
            </w:tcBorders>
            <w:noWrap w:val="0"/>
            <w:vAlign w:val="center"/>
          </w:tcPr>
          <w:p>
            <w:pPr>
              <w:pStyle w:val="22"/>
              <w:bidi w:val="0"/>
              <w:rPr>
                <w:rFonts w:hint="eastAsia"/>
                <w:color w:val="0000FF"/>
                <w:lang w:val="en-US" w:eastAsia="zh-CN"/>
              </w:rPr>
            </w:pPr>
            <w:r>
              <w:rPr>
                <w:rFonts w:hint="default"/>
                <w:color w:val="0000FF"/>
                <w:lang w:val="en-US" w:eastAsia="zh-CN"/>
              </w:rPr>
              <w:t>AR8210+笔式溶氧仪</w:t>
            </w:r>
          </w:p>
        </w:tc>
        <w:tc>
          <w:tcPr>
            <w:tcW w:w="1280" w:type="dxa"/>
            <w:tcBorders>
              <w:tl2br w:val="nil"/>
              <w:tr2bl w:val="nil"/>
            </w:tcBorders>
            <w:noWrap w:val="0"/>
            <w:vAlign w:val="center"/>
          </w:tcPr>
          <w:p>
            <w:pPr>
              <w:pStyle w:val="22"/>
              <w:bidi w:val="0"/>
              <w:rPr>
                <w:rFonts w:hint="default"/>
                <w:color w:val="0000FF"/>
                <w:lang w:val="en-US" w:eastAsia="zh-CN"/>
              </w:rPr>
            </w:pPr>
            <w:r>
              <w:rPr>
                <w:rFonts w:hint="eastAsia"/>
                <w:color w:val="0000FF"/>
                <w:lang w:val="en-US" w:eastAsia="zh-CN"/>
              </w:rPr>
              <w:t>XSJS/YQ-57-8</w:t>
            </w:r>
          </w:p>
        </w:tc>
        <w:tc>
          <w:tcPr>
            <w:tcW w:w="1172"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default"/>
                <w:color w:val="0000FF"/>
                <w:lang w:val="en-US" w:eastAsia="zh-CN"/>
              </w:rPr>
              <w:t>化学需氧量</w:t>
            </w:r>
          </w:p>
        </w:tc>
        <w:tc>
          <w:tcPr>
            <w:tcW w:w="3360" w:type="dxa"/>
            <w:tcBorders>
              <w:tl2br w:val="nil"/>
              <w:tr2bl w:val="nil"/>
            </w:tcBorders>
            <w:noWrap w:val="0"/>
            <w:vAlign w:val="center"/>
          </w:tcPr>
          <w:p>
            <w:pPr>
              <w:pStyle w:val="22"/>
              <w:bidi w:val="0"/>
              <w:rPr>
                <w:rFonts w:hint="default"/>
                <w:color w:val="0000FF"/>
                <w:lang w:val="en-US" w:eastAsia="zh-CN"/>
              </w:rPr>
            </w:pPr>
            <w:r>
              <w:rPr>
                <w:color w:val="0000FF"/>
              </w:rPr>
              <w:t>水质化学需氧量的测定重铬酸盐法HJ828-2017</w:t>
            </w:r>
          </w:p>
        </w:tc>
        <w:tc>
          <w:tcPr>
            <w:tcW w:w="1770" w:type="dxa"/>
            <w:tcBorders>
              <w:tl2br w:val="nil"/>
              <w:tr2bl w:val="nil"/>
            </w:tcBorders>
            <w:noWrap w:val="0"/>
            <w:vAlign w:val="center"/>
          </w:tcPr>
          <w:p>
            <w:pPr>
              <w:pStyle w:val="22"/>
              <w:bidi w:val="0"/>
              <w:rPr>
                <w:rFonts w:hint="eastAsia" w:eastAsia="宋体"/>
                <w:color w:val="0000FF"/>
                <w:lang w:val="en-US" w:eastAsia="zh-CN"/>
              </w:rPr>
            </w:pPr>
            <w:r>
              <w:rPr>
                <w:color w:val="0000FF"/>
              </w:rPr>
              <w:t>GGC-12C型标准COD消解器</w:t>
            </w:r>
          </w:p>
        </w:tc>
        <w:tc>
          <w:tcPr>
            <w:tcW w:w="1280" w:type="dxa"/>
            <w:tcBorders>
              <w:tl2br w:val="nil"/>
              <w:tr2bl w:val="nil"/>
            </w:tcBorders>
            <w:noWrap w:val="0"/>
            <w:vAlign w:val="center"/>
          </w:tcPr>
          <w:p>
            <w:pPr>
              <w:pStyle w:val="22"/>
              <w:bidi w:val="0"/>
              <w:rPr>
                <w:rFonts w:hint="eastAsia"/>
                <w:color w:val="0000FF"/>
                <w:lang w:val="en-US" w:eastAsia="zh-CN"/>
              </w:rPr>
            </w:pPr>
            <w:r>
              <w:rPr>
                <w:rFonts w:hint="eastAsia"/>
                <w:color w:val="0000FF"/>
              </w:rPr>
              <w:t>XSJS/YQ-17</w:t>
            </w:r>
          </w:p>
        </w:tc>
        <w:tc>
          <w:tcPr>
            <w:tcW w:w="1172" w:type="dxa"/>
            <w:tcBorders>
              <w:tl2br w:val="nil"/>
              <w:tr2bl w:val="nil"/>
            </w:tcBorders>
            <w:noWrap w:val="0"/>
            <w:vAlign w:val="center"/>
          </w:tcPr>
          <w:p>
            <w:pPr>
              <w:pStyle w:val="22"/>
              <w:bidi w:val="0"/>
              <w:rPr>
                <w:rFonts w:hint="eastAsia"/>
                <w:color w:val="0000FF"/>
                <w:lang w:val="en-US" w:eastAsia="zh-CN"/>
              </w:rPr>
            </w:pPr>
            <w:r>
              <w:rPr>
                <w:color w:val="0000FF"/>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lang w:val="en-US" w:eastAsia="zh-CN"/>
              </w:rPr>
              <w:t>五日生化需氧量</w:t>
            </w:r>
          </w:p>
        </w:tc>
        <w:tc>
          <w:tcPr>
            <w:tcW w:w="3360" w:type="dxa"/>
            <w:tcBorders>
              <w:tl2br w:val="nil"/>
              <w:tr2bl w:val="nil"/>
            </w:tcBorders>
            <w:noWrap w:val="0"/>
            <w:vAlign w:val="center"/>
          </w:tcPr>
          <w:p>
            <w:pPr>
              <w:pStyle w:val="22"/>
              <w:bidi w:val="0"/>
              <w:rPr>
                <w:rFonts w:hint="default"/>
                <w:color w:val="0000FF"/>
                <w:lang w:val="en-US" w:eastAsia="zh-CN"/>
              </w:rPr>
            </w:pPr>
            <w:r>
              <w:rPr>
                <w:rFonts w:hint="eastAsia"/>
                <w:color w:val="0000FF"/>
                <w:lang w:val="en-US" w:eastAsia="zh-CN"/>
              </w:rPr>
              <w:t>水质五日生化需氧量（BOD5）的测定稀释与接种法HJ505-2009</w:t>
            </w:r>
          </w:p>
        </w:tc>
        <w:tc>
          <w:tcPr>
            <w:tcW w:w="1770"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SPX-150型生化培养箱</w:t>
            </w:r>
          </w:p>
        </w:tc>
        <w:tc>
          <w:tcPr>
            <w:tcW w:w="1280" w:type="dxa"/>
            <w:tcBorders>
              <w:tl2br w:val="nil"/>
              <w:tr2bl w:val="nil"/>
            </w:tcBorders>
            <w:noWrap w:val="0"/>
            <w:vAlign w:val="center"/>
          </w:tcPr>
          <w:p>
            <w:pPr>
              <w:pStyle w:val="22"/>
              <w:bidi w:val="0"/>
              <w:rPr>
                <w:rFonts w:hint="default"/>
                <w:color w:val="0000FF"/>
                <w:lang w:val="en-US" w:eastAsia="zh-CN"/>
              </w:rPr>
            </w:pPr>
            <w:r>
              <w:rPr>
                <w:rFonts w:hint="eastAsia"/>
                <w:color w:val="0000FF"/>
                <w:lang w:val="en-US" w:eastAsia="zh-CN"/>
              </w:rPr>
              <w:t>XSJS/YQ-59-1</w:t>
            </w:r>
          </w:p>
        </w:tc>
        <w:tc>
          <w:tcPr>
            <w:tcW w:w="1172"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0.5</w:t>
            </w:r>
            <w:r>
              <w:rPr>
                <w:color w:val="0000FF"/>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eastAsia"/>
                <w:color w:val="0000FF"/>
                <w:lang w:eastAsia="zh-CN"/>
              </w:rPr>
            </w:pPr>
            <w:r>
              <w:rPr>
                <w:rFonts w:hint="eastAsia"/>
                <w:color w:val="0000FF"/>
                <w:lang w:eastAsia="zh-CN"/>
              </w:rPr>
              <w:t>总氮</w:t>
            </w:r>
          </w:p>
        </w:tc>
        <w:tc>
          <w:tcPr>
            <w:tcW w:w="3360" w:type="dxa"/>
            <w:tcBorders>
              <w:tl2br w:val="nil"/>
              <w:tr2bl w:val="nil"/>
            </w:tcBorders>
            <w:noWrap w:val="0"/>
            <w:vAlign w:val="center"/>
          </w:tcPr>
          <w:p>
            <w:pPr>
              <w:pStyle w:val="22"/>
              <w:bidi w:val="0"/>
              <w:rPr>
                <w:rFonts w:hint="default"/>
                <w:color w:val="0000FF"/>
                <w:lang w:val="en-US" w:eastAsia="zh-CN"/>
              </w:rPr>
            </w:pPr>
            <w:r>
              <w:rPr>
                <w:rFonts w:hint="eastAsia"/>
                <w:color w:val="0000FF"/>
                <w:lang w:val="en-US" w:eastAsia="zh-CN"/>
              </w:rPr>
              <w:t>水质总氮的测定碱性过硫酸钾消解紫外分光光度法HJ636-2012</w:t>
            </w:r>
          </w:p>
        </w:tc>
        <w:tc>
          <w:tcPr>
            <w:tcW w:w="1770" w:type="dxa"/>
            <w:tcBorders>
              <w:tl2br w:val="nil"/>
              <w:tr2bl w:val="nil"/>
            </w:tcBorders>
            <w:noWrap w:val="0"/>
            <w:vAlign w:val="center"/>
          </w:tcPr>
          <w:p>
            <w:pPr>
              <w:pStyle w:val="22"/>
              <w:bidi w:val="0"/>
              <w:rPr>
                <w:rFonts w:hint="eastAsia" w:eastAsia="宋体"/>
                <w:color w:val="0000FF"/>
                <w:lang w:val="en-US" w:eastAsia="zh-CN"/>
              </w:rPr>
            </w:pPr>
            <w:r>
              <w:rPr>
                <w:color w:val="0000FF"/>
              </w:rPr>
              <w:t>UV-1600型紫外可见分光光度计</w:t>
            </w:r>
          </w:p>
        </w:tc>
        <w:tc>
          <w:tcPr>
            <w:tcW w:w="1280" w:type="dxa"/>
            <w:tcBorders>
              <w:tl2br w:val="nil"/>
              <w:tr2bl w:val="nil"/>
            </w:tcBorders>
            <w:noWrap w:val="0"/>
            <w:vAlign w:val="center"/>
          </w:tcPr>
          <w:p>
            <w:pPr>
              <w:pStyle w:val="22"/>
              <w:bidi w:val="0"/>
              <w:rPr>
                <w:rFonts w:hint="eastAsia"/>
                <w:color w:val="0000FF"/>
                <w:lang w:val="en-US" w:eastAsia="zh-CN"/>
              </w:rPr>
            </w:pPr>
            <w:r>
              <w:rPr>
                <w:rFonts w:hint="eastAsia"/>
                <w:color w:val="0000FF"/>
              </w:rPr>
              <w:t>XSJS/YQ-19</w:t>
            </w:r>
          </w:p>
        </w:tc>
        <w:tc>
          <w:tcPr>
            <w:tcW w:w="1172" w:type="dxa"/>
            <w:tcBorders>
              <w:tl2br w:val="nil"/>
              <w:tr2bl w:val="nil"/>
            </w:tcBorders>
            <w:noWrap w:val="0"/>
            <w:vAlign w:val="center"/>
          </w:tcPr>
          <w:p>
            <w:pPr>
              <w:pStyle w:val="22"/>
              <w:bidi w:val="0"/>
              <w:rPr>
                <w:rFonts w:hint="default"/>
                <w:color w:val="0000FF"/>
                <w:lang w:val="en-US" w:eastAsia="zh-CN"/>
              </w:rPr>
            </w:pPr>
            <w:r>
              <w:rPr>
                <w:rFonts w:hint="eastAsia"/>
                <w:color w:val="0000FF"/>
                <w:lang w:val="en-US" w:eastAsia="zh-CN"/>
              </w:rPr>
              <w:t>0.05</w:t>
            </w:r>
            <w:r>
              <w:rPr>
                <w:color w:val="0000FF"/>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rPr>
              <w:t>氨氮</w:t>
            </w:r>
          </w:p>
        </w:tc>
        <w:tc>
          <w:tcPr>
            <w:tcW w:w="3360" w:type="dxa"/>
            <w:tcBorders>
              <w:tl2br w:val="nil"/>
              <w:tr2bl w:val="nil"/>
            </w:tcBorders>
            <w:noWrap w:val="0"/>
            <w:vAlign w:val="center"/>
          </w:tcPr>
          <w:p>
            <w:pPr>
              <w:pStyle w:val="22"/>
              <w:bidi w:val="0"/>
              <w:rPr>
                <w:rFonts w:hint="default"/>
                <w:color w:val="0000FF"/>
                <w:lang w:val="en-US" w:eastAsia="zh-CN"/>
              </w:rPr>
            </w:pPr>
            <w:r>
              <w:rPr>
                <w:color w:val="0000FF"/>
              </w:rPr>
              <w:t>水质氨氮的测定纳氏试剂分光光度法HJ535-2009</w:t>
            </w:r>
          </w:p>
        </w:tc>
        <w:tc>
          <w:tcPr>
            <w:tcW w:w="1770" w:type="dxa"/>
            <w:tcBorders>
              <w:tl2br w:val="nil"/>
              <w:tr2bl w:val="nil"/>
            </w:tcBorders>
            <w:noWrap w:val="0"/>
            <w:vAlign w:val="center"/>
          </w:tcPr>
          <w:p>
            <w:pPr>
              <w:pStyle w:val="22"/>
              <w:bidi w:val="0"/>
              <w:rPr>
                <w:rFonts w:hint="eastAsia" w:eastAsia="宋体"/>
                <w:color w:val="0000FF"/>
                <w:lang w:val="en-US" w:eastAsia="zh-CN"/>
              </w:rPr>
            </w:pPr>
            <w:r>
              <w:rPr>
                <w:color w:val="0000FF"/>
              </w:rPr>
              <w:t>UV-1600型紫外可见分光光度计</w:t>
            </w:r>
          </w:p>
        </w:tc>
        <w:tc>
          <w:tcPr>
            <w:tcW w:w="1280" w:type="dxa"/>
            <w:tcBorders>
              <w:tl2br w:val="nil"/>
              <w:tr2bl w:val="nil"/>
            </w:tcBorders>
            <w:noWrap w:val="0"/>
            <w:vAlign w:val="center"/>
          </w:tcPr>
          <w:p>
            <w:pPr>
              <w:pStyle w:val="22"/>
              <w:bidi w:val="0"/>
              <w:rPr>
                <w:rFonts w:hint="eastAsia"/>
                <w:color w:val="0000FF"/>
                <w:lang w:val="en-US" w:eastAsia="zh-CN"/>
              </w:rPr>
            </w:pPr>
            <w:r>
              <w:rPr>
                <w:rFonts w:hint="eastAsia"/>
                <w:color w:val="0000FF"/>
              </w:rPr>
              <w:t>XSJS/YQ-19</w:t>
            </w:r>
            <w:r>
              <w:rPr>
                <w:rFonts w:hint="eastAsia"/>
                <w:color w:val="0000FF"/>
                <w:lang w:val="en-US" w:eastAsia="zh-CN"/>
              </w:rPr>
              <w:t>-2</w:t>
            </w:r>
          </w:p>
        </w:tc>
        <w:tc>
          <w:tcPr>
            <w:tcW w:w="1172" w:type="dxa"/>
            <w:tcBorders>
              <w:tl2br w:val="nil"/>
              <w:tr2bl w:val="nil"/>
            </w:tcBorders>
            <w:noWrap w:val="0"/>
            <w:vAlign w:val="center"/>
          </w:tcPr>
          <w:p>
            <w:pPr>
              <w:pStyle w:val="22"/>
              <w:bidi w:val="0"/>
              <w:rPr>
                <w:rFonts w:hint="eastAsia"/>
                <w:color w:val="0000FF"/>
                <w:lang w:val="en-US" w:eastAsia="zh-CN"/>
              </w:rPr>
            </w:pPr>
            <w:r>
              <w:rPr>
                <w:color w:val="0000FF"/>
              </w:rPr>
              <w:t>0.02</w:t>
            </w:r>
            <w:r>
              <w:rPr>
                <w:rFonts w:hint="eastAsia"/>
                <w:color w:val="0000FF"/>
                <w:lang w:val="en-US" w:eastAsia="zh-CN"/>
              </w:rPr>
              <w:t>5</w:t>
            </w:r>
            <w:r>
              <w:rPr>
                <w:color w:val="0000FF"/>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default"/>
                <w:color w:val="0000FF"/>
                <w:lang w:val="en-US" w:eastAsia="zh-CN"/>
              </w:rPr>
              <w:t>总磷</w:t>
            </w:r>
          </w:p>
        </w:tc>
        <w:tc>
          <w:tcPr>
            <w:tcW w:w="3360" w:type="dxa"/>
            <w:tcBorders>
              <w:tl2br w:val="nil"/>
              <w:tr2bl w:val="nil"/>
            </w:tcBorders>
            <w:noWrap w:val="0"/>
            <w:vAlign w:val="center"/>
          </w:tcPr>
          <w:p>
            <w:pPr>
              <w:pStyle w:val="22"/>
              <w:bidi w:val="0"/>
              <w:rPr>
                <w:color w:val="0000FF"/>
              </w:rPr>
            </w:pPr>
            <w:r>
              <w:rPr>
                <w:rFonts w:hint="eastAsia"/>
                <w:color w:val="0000FF"/>
                <w:lang w:val="en-US" w:eastAsia="zh-CN"/>
              </w:rPr>
              <w:t>水质总磷的测定钼酸铵分光光度法GB11893-1989</w:t>
            </w:r>
          </w:p>
        </w:tc>
        <w:tc>
          <w:tcPr>
            <w:tcW w:w="1770" w:type="dxa"/>
            <w:tcBorders>
              <w:tl2br w:val="nil"/>
              <w:tr2bl w:val="nil"/>
            </w:tcBorders>
            <w:noWrap w:val="0"/>
            <w:vAlign w:val="center"/>
          </w:tcPr>
          <w:p>
            <w:pPr>
              <w:pStyle w:val="22"/>
              <w:bidi w:val="0"/>
              <w:rPr>
                <w:rFonts w:hint="eastAsia" w:eastAsia="宋体"/>
                <w:color w:val="0000FF"/>
                <w:lang w:val="en-US" w:eastAsia="zh-CN"/>
              </w:rPr>
            </w:pPr>
            <w:r>
              <w:rPr>
                <w:color w:val="0000FF"/>
              </w:rPr>
              <w:t>UV-1600型紫外可见分光光度计</w:t>
            </w:r>
          </w:p>
        </w:tc>
        <w:tc>
          <w:tcPr>
            <w:tcW w:w="1280" w:type="dxa"/>
            <w:tcBorders>
              <w:tl2br w:val="nil"/>
              <w:tr2bl w:val="nil"/>
            </w:tcBorders>
            <w:noWrap w:val="0"/>
            <w:vAlign w:val="center"/>
          </w:tcPr>
          <w:p>
            <w:pPr>
              <w:pStyle w:val="22"/>
              <w:bidi w:val="0"/>
              <w:rPr>
                <w:rFonts w:hint="eastAsia"/>
                <w:color w:val="0000FF"/>
              </w:rPr>
            </w:pPr>
            <w:r>
              <w:rPr>
                <w:rFonts w:hint="eastAsia"/>
                <w:color w:val="0000FF"/>
              </w:rPr>
              <w:t>XSJS/YQ-19</w:t>
            </w:r>
            <w:r>
              <w:rPr>
                <w:rFonts w:hint="eastAsia"/>
                <w:color w:val="0000FF"/>
                <w:lang w:val="en-US" w:eastAsia="zh-CN"/>
              </w:rPr>
              <w:t>-2</w:t>
            </w:r>
          </w:p>
        </w:tc>
        <w:tc>
          <w:tcPr>
            <w:tcW w:w="1172"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0.01</w:t>
            </w:r>
            <w:r>
              <w:rPr>
                <w:color w:val="0000FF"/>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rPr>
              <w:t>氟化物</w:t>
            </w:r>
          </w:p>
        </w:tc>
        <w:tc>
          <w:tcPr>
            <w:tcW w:w="3360" w:type="dxa"/>
            <w:tcBorders>
              <w:tl2br w:val="nil"/>
              <w:tr2bl w:val="nil"/>
            </w:tcBorders>
            <w:noWrap w:val="0"/>
            <w:vAlign w:val="center"/>
          </w:tcPr>
          <w:p>
            <w:pPr>
              <w:pStyle w:val="22"/>
              <w:bidi w:val="0"/>
              <w:rPr>
                <w:rFonts w:hint="default"/>
                <w:color w:val="0000FF"/>
                <w:lang w:val="en-US" w:eastAsia="zh-CN"/>
              </w:rPr>
            </w:pPr>
            <w:r>
              <w:rPr>
                <w:rFonts w:hint="eastAsia"/>
                <w:color w:val="0000FF"/>
                <w:lang w:val="en-US" w:eastAsia="zh-CN"/>
              </w:rPr>
              <w:t>水质氟化物的测定离子选择电极法GB7484-1987</w:t>
            </w:r>
          </w:p>
        </w:tc>
        <w:tc>
          <w:tcPr>
            <w:tcW w:w="1770"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PXS-270离子计</w:t>
            </w:r>
          </w:p>
        </w:tc>
        <w:tc>
          <w:tcPr>
            <w:tcW w:w="1280" w:type="dxa"/>
            <w:tcBorders>
              <w:tl2br w:val="nil"/>
              <w:tr2bl w:val="nil"/>
            </w:tcBorders>
            <w:noWrap w:val="0"/>
            <w:vAlign w:val="center"/>
          </w:tcPr>
          <w:p>
            <w:pPr>
              <w:pStyle w:val="22"/>
              <w:bidi w:val="0"/>
              <w:rPr>
                <w:rFonts w:hint="eastAsia"/>
                <w:color w:val="0000FF"/>
                <w:lang w:val="en-US" w:eastAsia="zh-CN"/>
              </w:rPr>
            </w:pPr>
            <w:r>
              <w:rPr>
                <w:rFonts w:hint="eastAsia"/>
                <w:color w:val="0000FF"/>
              </w:rPr>
              <w:t>XSJS/YQ-</w:t>
            </w:r>
            <w:r>
              <w:rPr>
                <w:rFonts w:hint="eastAsia"/>
                <w:color w:val="0000FF"/>
                <w:lang w:val="en-US" w:eastAsia="zh-CN"/>
              </w:rPr>
              <w:t>31</w:t>
            </w:r>
          </w:p>
        </w:tc>
        <w:tc>
          <w:tcPr>
            <w:tcW w:w="1172"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0.05</w:t>
            </w:r>
            <w:r>
              <w:rPr>
                <w:color w:val="0000FF"/>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rPr>
              <w:t>六价铬</w:t>
            </w:r>
          </w:p>
        </w:tc>
        <w:tc>
          <w:tcPr>
            <w:tcW w:w="3360" w:type="dxa"/>
            <w:tcBorders>
              <w:tl2br w:val="nil"/>
              <w:tr2bl w:val="nil"/>
            </w:tcBorders>
            <w:noWrap w:val="0"/>
            <w:vAlign w:val="center"/>
          </w:tcPr>
          <w:p>
            <w:pPr>
              <w:pStyle w:val="22"/>
              <w:bidi w:val="0"/>
              <w:rPr>
                <w:rFonts w:hint="default"/>
                <w:color w:val="0000FF"/>
                <w:lang w:val="en-US" w:eastAsia="zh-CN"/>
              </w:rPr>
            </w:pPr>
            <w:r>
              <w:rPr>
                <w:rFonts w:hint="eastAsia"/>
                <w:color w:val="0000FF"/>
                <w:lang w:eastAsia="zh-CN"/>
              </w:rPr>
              <w:t>水质</w:t>
            </w:r>
            <w:r>
              <w:rPr>
                <w:color w:val="0000FF"/>
              </w:rPr>
              <w:t>六价铬</w:t>
            </w:r>
            <w:r>
              <w:rPr>
                <w:rFonts w:hint="eastAsia"/>
                <w:color w:val="0000FF"/>
                <w:lang w:eastAsia="zh-CN"/>
              </w:rPr>
              <w:t>的测定</w:t>
            </w:r>
            <w:r>
              <w:rPr>
                <w:rFonts w:hint="eastAsia"/>
                <w:color w:val="0000FF"/>
                <w:lang w:val="en-US" w:eastAsia="zh-CN"/>
              </w:rPr>
              <w:t>二苯碳酰二肼</w:t>
            </w:r>
            <w:r>
              <w:rPr>
                <w:rFonts w:hint="eastAsia"/>
                <w:color w:val="0000FF"/>
              </w:rPr>
              <w:t>分光光度法</w:t>
            </w:r>
            <w:r>
              <w:rPr>
                <w:rFonts w:hint="eastAsia"/>
                <w:color w:val="0000FF"/>
                <w:lang w:val="en-US" w:eastAsia="zh-CN"/>
              </w:rPr>
              <w:t>GB7467-1987</w:t>
            </w:r>
          </w:p>
        </w:tc>
        <w:tc>
          <w:tcPr>
            <w:tcW w:w="1770" w:type="dxa"/>
            <w:tcBorders>
              <w:tl2br w:val="nil"/>
              <w:tr2bl w:val="nil"/>
            </w:tcBorders>
            <w:noWrap w:val="0"/>
            <w:vAlign w:val="center"/>
          </w:tcPr>
          <w:p>
            <w:pPr>
              <w:pStyle w:val="22"/>
              <w:bidi w:val="0"/>
              <w:rPr>
                <w:rFonts w:hint="eastAsia" w:eastAsia="宋体"/>
                <w:color w:val="0000FF"/>
                <w:lang w:val="en-US" w:eastAsia="zh-CN"/>
              </w:rPr>
            </w:pPr>
            <w:r>
              <w:rPr>
                <w:color w:val="0000FF"/>
              </w:rPr>
              <w:t>UV-1600型紫外可见分光光度计</w:t>
            </w:r>
          </w:p>
        </w:tc>
        <w:tc>
          <w:tcPr>
            <w:tcW w:w="1280" w:type="dxa"/>
            <w:tcBorders>
              <w:tl2br w:val="nil"/>
              <w:tr2bl w:val="nil"/>
            </w:tcBorders>
            <w:noWrap w:val="0"/>
            <w:vAlign w:val="center"/>
          </w:tcPr>
          <w:p>
            <w:pPr>
              <w:pStyle w:val="22"/>
              <w:bidi w:val="0"/>
              <w:rPr>
                <w:rFonts w:hint="eastAsia"/>
                <w:color w:val="0000FF"/>
                <w:lang w:val="en-US" w:eastAsia="zh-CN"/>
              </w:rPr>
            </w:pPr>
            <w:r>
              <w:rPr>
                <w:rFonts w:hint="eastAsia"/>
                <w:color w:val="0000FF"/>
              </w:rPr>
              <w:t>XSJS/YQ-19</w:t>
            </w:r>
          </w:p>
        </w:tc>
        <w:tc>
          <w:tcPr>
            <w:tcW w:w="1172" w:type="dxa"/>
            <w:tcBorders>
              <w:tl2br w:val="nil"/>
              <w:tr2bl w:val="nil"/>
            </w:tcBorders>
            <w:noWrap w:val="0"/>
            <w:vAlign w:val="center"/>
          </w:tcPr>
          <w:p>
            <w:pPr>
              <w:pStyle w:val="22"/>
              <w:bidi w:val="0"/>
              <w:rPr>
                <w:rFonts w:hint="eastAsia"/>
                <w:color w:val="0000FF"/>
                <w:lang w:val="en-US" w:eastAsia="zh-CN"/>
              </w:rPr>
            </w:pPr>
            <w:r>
              <w:rPr>
                <w:color w:val="0000FF"/>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rPr>
              <w:t>氰化物</w:t>
            </w:r>
          </w:p>
        </w:tc>
        <w:tc>
          <w:tcPr>
            <w:tcW w:w="3360" w:type="dxa"/>
            <w:tcBorders>
              <w:tl2br w:val="nil"/>
              <w:tr2bl w:val="nil"/>
            </w:tcBorders>
            <w:noWrap w:val="0"/>
            <w:vAlign w:val="center"/>
          </w:tcPr>
          <w:p>
            <w:pPr>
              <w:pStyle w:val="22"/>
              <w:bidi w:val="0"/>
              <w:rPr>
                <w:rFonts w:hint="default"/>
                <w:color w:val="0000FF"/>
                <w:lang w:val="en-US" w:eastAsia="zh-CN"/>
              </w:rPr>
            </w:pPr>
            <w:r>
              <w:rPr>
                <w:color w:val="0000FF"/>
              </w:rPr>
              <w:t>水质氰化物的测定容量法和分光光度法HJ484-2009</w:t>
            </w:r>
          </w:p>
        </w:tc>
        <w:tc>
          <w:tcPr>
            <w:tcW w:w="1770" w:type="dxa"/>
            <w:tcBorders>
              <w:tl2br w:val="nil"/>
              <w:tr2bl w:val="nil"/>
            </w:tcBorders>
            <w:noWrap w:val="0"/>
            <w:vAlign w:val="center"/>
          </w:tcPr>
          <w:p>
            <w:pPr>
              <w:pStyle w:val="22"/>
              <w:bidi w:val="0"/>
              <w:rPr>
                <w:rFonts w:hint="eastAsia" w:eastAsia="宋体"/>
                <w:color w:val="0000FF"/>
                <w:lang w:val="en-US" w:eastAsia="zh-CN"/>
              </w:rPr>
            </w:pPr>
            <w:r>
              <w:rPr>
                <w:color w:val="0000FF"/>
              </w:rPr>
              <w:t>UV-1600型紫外可见分光光度计</w:t>
            </w:r>
          </w:p>
        </w:tc>
        <w:tc>
          <w:tcPr>
            <w:tcW w:w="1280" w:type="dxa"/>
            <w:tcBorders>
              <w:tl2br w:val="nil"/>
              <w:tr2bl w:val="nil"/>
            </w:tcBorders>
            <w:noWrap w:val="0"/>
            <w:vAlign w:val="center"/>
          </w:tcPr>
          <w:p>
            <w:pPr>
              <w:pStyle w:val="22"/>
              <w:bidi w:val="0"/>
              <w:rPr>
                <w:rFonts w:hint="eastAsia"/>
                <w:color w:val="0000FF"/>
                <w:lang w:val="en-US" w:eastAsia="zh-CN"/>
              </w:rPr>
            </w:pPr>
            <w:r>
              <w:rPr>
                <w:rFonts w:hint="eastAsia"/>
                <w:color w:val="0000FF"/>
              </w:rPr>
              <w:t>XSJS/YQ-19</w:t>
            </w:r>
            <w:r>
              <w:rPr>
                <w:rFonts w:hint="eastAsia"/>
                <w:color w:val="0000FF"/>
                <w:lang w:val="en-US" w:eastAsia="zh-CN"/>
              </w:rPr>
              <w:t>-2</w:t>
            </w:r>
          </w:p>
        </w:tc>
        <w:tc>
          <w:tcPr>
            <w:tcW w:w="1172"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0.004</w:t>
            </w:r>
            <w:r>
              <w:rPr>
                <w:color w:val="0000FF"/>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lang w:eastAsia="zh-CN"/>
              </w:rPr>
              <w:t>挥发酚</w:t>
            </w:r>
          </w:p>
        </w:tc>
        <w:tc>
          <w:tcPr>
            <w:tcW w:w="3360" w:type="dxa"/>
            <w:tcBorders>
              <w:tl2br w:val="nil"/>
              <w:tr2bl w:val="nil"/>
            </w:tcBorders>
            <w:noWrap w:val="0"/>
            <w:vAlign w:val="center"/>
          </w:tcPr>
          <w:p>
            <w:pPr>
              <w:pStyle w:val="22"/>
              <w:bidi w:val="0"/>
              <w:rPr>
                <w:color w:val="0000FF"/>
              </w:rPr>
            </w:pPr>
            <w:r>
              <w:rPr>
                <w:color w:val="0000FF"/>
              </w:rPr>
              <w:t>水质挥发酚的测定4-氨基安替比林分光光度法HJ503-2009</w:t>
            </w:r>
          </w:p>
        </w:tc>
        <w:tc>
          <w:tcPr>
            <w:tcW w:w="1770" w:type="dxa"/>
            <w:tcBorders>
              <w:tl2br w:val="nil"/>
              <w:tr2bl w:val="nil"/>
            </w:tcBorders>
            <w:noWrap w:val="0"/>
            <w:vAlign w:val="center"/>
          </w:tcPr>
          <w:p>
            <w:pPr>
              <w:pStyle w:val="22"/>
              <w:bidi w:val="0"/>
              <w:rPr>
                <w:rFonts w:hint="eastAsia" w:eastAsia="宋体"/>
                <w:color w:val="0000FF"/>
                <w:lang w:val="en-US" w:eastAsia="zh-CN"/>
              </w:rPr>
            </w:pPr>
            <w:r>
              <w:rPr>
                <w:color w:val="0000FF"/>
              </w:rPr>
              <w:t>UV-1600型紫外可见分光光度计</w:t>
            </w:r>
          </w:p>
        </w:tc>
        <w:tc>
          <w:tcPr>
            <w:tcW w:w="1280" w:type="dxa"/>
            <w:tcBorders>
              <w:tl2br w:val="nil"/>
              <w:tr2bl w:val="nil"/>
            </w:tcBorders>
            <w:noWrap w:val="0"/>
            <w:vAlign w:val="center"/>
          </w:tcPr>
          <w:p>
            <w:pPr>
              <w:pStyle w:val="22"/>
              <w:bidi w:val="0"/>
              <w:rPr>
                <w:rFonts w:hint="eastAsia"/>
                <w:color w:val="0000FF"/>
              </w:rPr>
            </w:pPr>
            <w:r>
              <w:rPr>
                <w:rFonts w:hint="eastAsia"/>
                <w:color w:val="0000FF"/>
              </w:rPr>
              <w:t>XSJS/YQ-19</w:t>
            </w:r>
            <w:r>
              <w:rPr>
                <w:rFonts w:hint="eastAsia"/>
                <w:color w:val="0000FF"/>
                <w:lang w:val="en-US" w:eastAsia="zh-CN"/>
              </w:rPr>
              <w:t>-2</w:t>
            </w:r>
          </w:p>
        </w:tc>
        <w:tc>
          <w:tcPr>
            <w:tcW w:w="1172" w:type="dxa"/>
            <w:tcBorders>
              <w:tl2br w:val="nil"/>
              <w:tr2bl w:val="nil"/>
            </w:tcBorders>
            <w:noWrap w:val="0"/>
            <w:vAlign w:val="center"/>
          </w:tcPr>
          <w:p>
            <w:pPr>
              <w:pStyle w:val="22"/>
              <w:bidi w:val="0"/>
              <w:rPr>
                <w:rFonts w:hint="eastAsia"/>
                <w:color w:val="0000FF"/>
                <w:lang w:val="en-US" w:eastAsia="zh-CN"/>
              </w:rPr>
            </w:pPr>
            <w:r>
              <w:rPr>
                <w:color w:val="0000FF"/>
              </w:rP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rPr>
              <w:t>硫酸盐</w:t>
            </w:r>
          </w:p>
        </w:tc>
        <w:tc>
          <w:tcPr>
            <w:tcW w:w="3360" w:type="dxa"/>
            <w:tcBorders>
              <w:tl2br w:val="nil"/>
              <w:tr2bl w:val="nil"/>
            </w:tcBorders>
            <w:noWrap w:val="0"/>
            <w:vAlign w:val="center"/>
          </w:tcPr>
          <w:p>
            <w:pPr>
              <w:pStyle w:val="22"/>
              <w:bidi w:val="0"/>
              <w:rPr>
                <w:rFonts w:hint="default"/>
                <w:color w:val="0000FF"/>
                <w:lang w:val="en-US" w:eastAsia="zh-CN"/>
              </w:rPr>
            </w:pPr>
            <w:r>
              <w:rPr>
                <w:rFonts w:hint="default"/>
                <w:color w:val="0000FF"/>
                <w:lang w:val="en-US" w:eastAsia="zh-CN"/>
              </w:rPr>
              <w:t>水质</w:t>
            </w:r>
            <w:r>
              <w:rPr>
                <w:rFonts w:hint="eastAsia"/>
                <w:color w:val="0000FF"/>
              </w:rPr>
              <w:t>硫酸盐</w:t>
            </w:r>
            <w:r>
              <w:rPr>
                <w:rFonts w:hint="eastAsia"/>
                <w:color w:val="0000FF"/>
                <w:lang w:val="en-US" w:eastAsia="zh-CN"/>
              </w:rPr>
              <w:t>的测定铬酸钡分光光度法（试行）HJ/T342-2007</w:t>
            </w:r>
          </w:p>
        </w:tc>
        <w:tc>
          <w:tcPr>
            <w:tcW w:w="1770" w:type="dxa"/>
            <w:tcBorders>
              <w:tl2br w:val="nil"/>
              <w:tr2bl w:val="nil"/>
            </w:tcBorders>
            <w:noWrap w:val="0"/>
            <w:vAlign w:val="center"/>
          </w:tcPr>
          <w:p>
            <w:pPr>
              <w:pStyle w:val="22"/>
              <w:bidi w:val="0"/>
              <w:rPr>
                <w:rFonts w:hint="eastAsia" w:eastAsia="宋体"/>
                <w:color w:val="0000FF"/>
                <w:lang w:val="en-US" w:eastAsia="zh-CN"/>
              </w:rPr>
            </w:pPr>
            <w:r>
              <w:rPr>
                <w:color w:val="0000FF"/>
              </w:rPr>
              <w:t>UV-1600型紫外可见分光光度计</w:t>
            </w:r>
          </w:p>
        </w:tc>
        <w:tc>
          <w:tcPr>
            <w:tcW w:w="1280" w:type="dxa"/>
            <w:tcBorders>
              <w:tl2br w:val="nil"/>
              <w:tr2bl w:val="nil"/>
            </w:tcBorders>
            <w:noWrap w:val="0"/>
            <w:vAlign w:val="center"/>
          </w:tcPr>
          <w:p>
            <w:pPr>
              <w:pStyle w:val="22"/>
              <w:bidi w:val="0"/>
              <w:rPr>
                <w:rFonts w:hint="eastAsia"/>
                <w:color w:val="0000FF"/>
                <w:lang w:val="en-US" w:eastAsia="zh-CN"/>
              </w:rPr>
            </w:pPr>
            <w:r>
              <w:rPr>
                <w:rFonts w:hint="eastAsia"/>
                <w:color w:val="0000FF"/>
              </w:rPr>
              <w:t>XSJS/YQ-19</w:t>
            </w:r>
          </w:p>
        </w:tc>
        <w:tc>
          <w:tcPr>
            <w:tcW w:w="1172"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8</w:t>
            </w:r>
            <w:r>
              <w:rPr>
                <w:color w:val="0000FF"/>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80" w:hRule="atLeast"/>
          <w:tblHeader/>
          <w:jc w:val="center"/>
        </w:trPr>
        <w:tc>
          <w:tcPr>
            <w:tcW w:w="694" w:type="dxa"/>
            <w:vMerge w:val="continue"/>
            <w:tcBorders>
              <w:tl2br w:val="nil"/>
              <w:tr2bl w:val="nil"/>
            </w:tcBorders>
            <w:noWrap w:val="0"/>
            <w:vAlign w:val="center"/>
          </w:tcPr>
          <w:p>
            <w:pPr>
              <w:pStyle w:val="22"/>
              <w:bidi w:val="0"/>
              <w:rPr>
                <w:rFonts w:hint="eastAsia"/>
                <w:color w:val="0000FF"/>
                <w:lang w:val="en-US" w:eastAsia="zh-CN"/>
              </w:rPr>
            </w:pPr>
          </w:p>
        </w:tc>
        <w:tc>
          <w:tcPr>
            <w:tcW w:w="1450" w:type="dxa"/>
            <w:tcBorders>
              <w:tl2br w:val="nil"/>
              <w:tr2bl w:val="nil"/>
            </w:tcBorders>
            <w:noWrap w:val="0"/>
            <w:vAlign w:val="center"/>
          </w:tcPr>
          <w:p>
            <w:pPr>
              <w:pStyle w:val="22"/>
              <w:bidi w:val="0"/>
              <w:rPr>
                <w:rFonts w:hint="default"/>
                <w:color w:val="0000FF"/>
                <w:lang w:val="en-US" w:eastAsia="zh-CN"/>
              </w:rPr>
            </w:pPr>
            <w:r>
              <w:rPr>
                <w:rFonts w:hint="eastAsia"/>
                <w:color w:val="0000FF"/>
              </w:rPr>
              <w:t>粪大肠菌群</w:t>
            </w:r>
          </w:p>
        </w:tc>
        <w:tc>
          <w:tcPr>
            <w:tcW w:w="3360"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水质总大肠菌群、粪大肠菌群和大肠埃希氏菌的测定酶底物法HJ1001-2018</w:t>
            </w:r>
          </w:p>
        </w:tc>
        <w:tc>
          <w:tcPr>
            <w:tcW w:w="1770" w:type="dxa"/>
            <w:tcBorders>
              <w:tl2br w:val="nil"/>
              <w:tr2bl w:val="nil"/>
            </w:tcBorders>
            <w:noWrap w:val="0"/>
            <w:vAlign w:val="center"/>
          </w:tcPr>
          <w:p>
            <w:pPr>
              <w:pStyle w:val="22"/>
              <w:bidi w:val="0"/>
              <w:rPr>
                <w:rFonts w:hint="eastAsia"/>
                <w:color w:val="0000FF"/>
                <w:lang w:val="en-US" w:eastAsia="zh-CN"/>
              </w:rPr>
            </w:pPr>
            <w:r>
              <w:rPr>
                <w:rFonts w:hint="default"/>
                <w:color w:val="0000FF"/>
                <w:lang w:val="en-US" w:eastAsia="zh-CN"/>
              </w:rPr>
              <w:t>DH-360A</w:t>
            </w:r>
            <w:r>
              <w:rPr>
                <w:rFonts w:hint="eastAsia"/>
                <w:color w:val="0000FF"/>
                <w:lang w:val="en-US" w:eastAsia="zh-CN"/>
              </w:rPr>
              <w:t>型</w:t>
            </w:r>
            <w:r>
              <w:rPr>
                <w:rFonts w:hint="default"/>
                <w:color w:val="0000FF"/>
                <w:lang w:val="en-US" w:eastAsia="zh-CN"/>
              </w:rPr>
              <w:t>电热恒温培养箱</w:t>
            </w:r>
          </w:p>
        </w:tc>
        <w:tc>
          <w:tcPr>
            <w:tcW w:w="1280" w:type="dxa"/>
            <w:tcBorders>
              <w:tl2br w:val="nil"/>
              <w:tr2bl w:val="nil"/>
            </w:tcBorders>
            <w:noWrap w:val="0"/>
            <w:vAlign w:val="center"/>
          </w:tcPr>
          <w:p>
            <w:pPr>
              <w:pStyle w:val="22"/>
              <w:bidi w:val="0"/>
              <w:rPr>
                <w:rFonts w:hint="default"/>
                <w:color w:val="0000FF"/>
                <w:lang w:val="en-US" w:eastAsia="zh-CN"/>
              </w:rPr>
            </w:pPr>
            <w:r>
              <w:rPr>
                <w:rFonts w:hint="default"/>
                <w:color w:val="0000FF"/>
                <w:lang w:val="en-US" w:eastAsia="zh-CN"/>
              </w:rPr>
              <w:t>XSJS/YQ-</w:t>
            </w:r>
            <w:r>
              <w:rPr>
                <w:rFonts w:hint="eastAsia"/>
                <w:color w:val="0000FF"/>
                <w:lang w:val="en-US" w:eastAsia="zh-CN"/>
              </w:rPr>
              <w:t>113</w:t>
            </w:r>
          </w:p>
        </w:tc>
        <w:tc>
          <w:tcPr>
            <w:tcW w:w="1172" w:type="dxa"/>
            <w:tcBorders>
              <w:tl2br w:val="nil"/>
              <w:tr2bl w:val="nil"/>
            </w:tcBorders>
            <w:noWrap w:val="0"/>
            <w:vAlign w:val="center"/>
          </w:tcPr>
          <w:p>
            <w:pPr>
              <w:pStyle w:val="22"/>
              <w:bidi w:val="0"/>
              <w:rPr>
                <w:rFonts w:hint="eastAsia"/>
                <w:color w:val="0000FF"/>
                <w:lang w:val="en-US" w:eastAsia="zh-CN"/>
              </w:rPr>
            </w:pPr>
            <w:r>
              <w:rPr>
                <w:rFonts w:hint="eastAsia"/>
                <w:color w:val="0000FF"/>
                <w:lang w:val="en-US" w:eastAsia="zh-CN"/>
              </w:rPr>
              <w:t>10MPN/L</w:t>
            </w:r>
          </w:p>
        </w:tc>
      </w:tr>
    </w:tbl>
    <w:p>
      <w:pPr>
        <w:bidi w:val="0"/>
        <w:rPr>
          <w:color w:val="0000FF"/>
        </w:rPr>
      </w:pPr>
      <w:r>
        <w:rPr>
          <w:color w:val="0000FF"/>
        </w:rPr>
        <w:t>（3）评价标准</w:t>
      </w:r>
    </w:p>
    <w:p>
      <w:pPr>
        <w:bidi w:val="0"/>
        <w:rPr>
          <w:color w:val="0000FF"/>
        </w:rPr>
      </w:pPr>
      <w:r>
        <w:rPr>
          <w:color w:val="0000FF"/>
        </w:rPr>
        <w:t>执行《地表水环境质量标准》（GB3838-2002）中的Ⅲ类水体标准。</w:t>
      </w:r>
    </w:p>
    <w:p>
      <w:pPr>
        <w:bidi w:val="0"/>
        <w:rPr>
          <w:color w:val="0000FF"/>
        </w:rPr>
      </w:pPr>
      <w:r>
        <w:rPr>
          <w:color w:val="0000FF"/>
        </w:rPr>
        <w:t>（</w:t>
      </w:r>
      <w:r>
        <w:rPr>
          <w:rFonts w:hint="eastAsia"/>
          <w:color w:val="0000FF"/>
          <w:lang w:val="en-US" w:eastAsia="zh-CN"/>
        </w:rPr>
        <w:t>4</w:t>
      </w:r>
      <w:r>
        <w:rPr>
          <w:color w:val="0000FF"/>
        </w:rPr>
        <w:t>）监测结果及评价</w:t>
      </w:r>
    </w:p>
    <w:p>
      <w:pPr>
        <w:bidi w:val="0"/>
        <w:rPr>
          <w:color w:val="0000FF"/>
        </w:rPr>
      </w:pPr>
      <w:r>
        <w:rPr>
          <w:color w:val="0000FF"/>
        </w:rPr>
        <w:t>地表水监测及评价结果见表4.2-</w:t>
      </w:r>
      <w:r>
        <w:rPr>
          <w:rFonts w:hint="eastAsia"/>
          <w:color w:val="0000FF"/>
          <w:lang w:val="en-US" w:eastAsia="zh-CN"/>
        </w:rPr>
        <w:t>5</w:t>
      </w:r>
      <w:r>
        <w:rPr>
          <w:color w:val="0000FF"/>
        </w:rPr>
        <w:t>。</w:t>
      </w:r>
    </w:p>
    <w:p>
      <w:pPr>
        <w:pStyle w:val="22"/>
        <w:bidi w:val="0"/>
        <w:rPr>
          <w:rFonts w:hint="eastAsia"/>
          <w:b/>
          <w:bCs/>
          <w:color w:val="0000FF"/>
          <w:lang w:val="en-US" w:eastAsia="zh-CN"/>
        </w:rPr>
      </w:pPr>
      <w:r>
        <w:rPr>
          <w:b/>
          <w:bCs/>
          <w:color w:val="0000FF"/>
        </w:rPr>
        <w:t>表4.</w:t>
      </w:r>
      <w:r>
        <w:rPr>
          <w:rFonts w:hint="eastAsia"/>
          <w:b/>
          <w:bCs/>
          <w:color w:val="0000FF"/>
          <w:lang w:val="en-US" w:eastAsia="zh-CN"/>
        </w:rPr>
        <w:t>2</w:t>
      </w:r>
      <w:r>
        <w:rPr>
          <w:b/>
          <w:bCs/>
          <w:color w:val="0000FF"/>
        </w:rPr>
        <w:t>-</w:t>
      </w:r>
      <w:r>
        <w:rPr>
          <w:rFonts w:hint="eastAsia"/>
          <w:b/>
          <w:bCs/>
          <w:color w:val="0000FF"/>
          <w:lang w:val="en-US" w:eastAsia="zh-CN"/>
        </w:rPr>
        <w:t xml:space="preserve">5   </w:t>
      </w:r>
      <w:r>
        <w:rPr>
          <w:b/>
          <w:bCs/>
          <w:color w:val="0000FF"/>
        </w:rPr>
        <w:t>地表水现状监测与评价结果一览表</w:t>
      </w:r>
      <w:r>
        <w:rPr>
          <w:rFonts w:hint="eastAsia"/>
          <w:b/>
          <w:bCs/>
          <w:color w:val="0000FF"/>
          <w:lang w:val="en-US" w:eastAsia="zh-CN"/>
        </w:rPr>
        <w:t xml:space="preserve">   </w:t>
      </w:r>
      <w:r>
        <w:rPr>
          <w:b/>
          <w:bCs/>
          <w:color w:val="0000FF"/>
        </w:rPr>
        <w:t>单位：mg/</w:t>
      </w:r>
      <w:r>
        <w:rPr>
          <w:rFonts w:hint="eastAsia"/>
          <w:b/>
          <w:bCs/>
          <w:color w:val="0000FF"/>
          <w:lang w:val="en-US" w:eastAsia="zh-CN"/>
        </w:rPr>
        <w:t>L</w:t>
      </w:r>
    </w:p>
    <w:tbl>
      <w:tblPr>
        <w:tblStyle w:val="17"/>
        <w:tblW w:w="84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12"/>
        <w:gridCol w:w="2188"/>
        <w:gridCol w:w="2016"/>
        <w:gridCol w:w="20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项目</w:t>
            </w:r>
          </w:p>
        </w:tc>
        <w:tc>
          <w:tcPr>
            <w:tcW w:w="218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标准值（</w:t>
            </w:r>
            <w:r>
              <w:rPr>
                <w:rFonts w:hint="default"/>
                <w:color w:val="0000FF"/>
                <w:lang w:val="en-US" w:eastAsia="zh-CN"/>
              </w:rPr>
              <w:t>Ⅲ</w:t>
            </w:r>
            <w:r>
              <w:rPr>
                <w:rFonts w:hint="eastAsia"/>
                <w:color w:val="0000FF"/>
                <w:lang w:val="en-US" w:eastAsia="zh-CN"/>
              </w:rPr>
              <w:t>类）</w:t>
            </w:r>
          </w:p>
        </w:tc>
        <w:tc>
          <w:tcPr>
            <w:tcW w:w="201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监测结果</w:t>
            </w:r>
          </w:p>
        </w:tc>
        <w:tc>
          <w:tcPr>
            <w:tcW w:w="200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标准指数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pH</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6~9</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7.6</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溶解氧</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≥5mg/L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7.49</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default"/>
                <w:color w:val="0000FF"/>
                <w:lang w:val="en-US" w:eastAsia="zh-CN"/>
              </w:rPr>
              <w:t>0.</w:t>
            </w:r>
            <w:r>
              <w:rPr>
                <w:rFonts w:hint="eastAsia"/>
                <w:color w:val="0000FF"/>
                <w:lang w:val="en-US" w:eastAsia="zh-CN"/>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化学需氧量</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≤20mg/L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7</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五日生化需氧量</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≤4mg/L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1.1</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总氮</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≤1.0mg/L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0.92</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氨氮</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≤1.0mg/L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0.236</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总磷</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≤0.2mg/L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0.01</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氟化物</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≤1.0mg/L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0.98</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六价铬</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≤0.05mg/L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0.016</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氰化物</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≤0.2mg/L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&lt;0.004</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挥发酚</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≤0.005mg/L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&lt;0.0003</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硫酸盐</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250mg/L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230</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21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eastAsia"/>
                <w:color w:val="0000FF"/>
              </w:rPr>
            </w:pPr>
            <w:r>
              <w:rPr>
                <w:rFonts w:hint="eastAsia"/>
                <w:color w:val="0000FF"/>
                <w:lang w:val="en-US" w:eastAsia="zh-CN"/>
              </w:rPr>
              <w:t>粪大肠菌群</w:t>
            </w:r>
          </w:p>
        </w:tc>
        <w:tc>
          <w:tcPr>
            <w:tcW w:w="2188"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10000</w:t>
            </w:r>
            <w:r>
              <w:rPr>
                <w:rFonts w:hint="eastAsia"/>
                <w:color w:val="0000FF"/>
                <w:lang w:val="en-US" w:eastAsia="zh-CN"/>
              </w:rPr>
              <w:t>个</w:t>
            </w:r>
            <w:r>
              <w:rPr>
                <w:rFonts w:hint="default"/>
                <w:color w:val="0000FF"/>
                <w:lang w:val="en-US" w:eastAsia="zh-CN"/>
              </w:rPr>
              <w:t>/L</w:t>
            </w:r>
          </w:p>
        </w:tc>
        <w:tc>
          <w:tcPr>
            <w:tcW w:w="2016"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rPr>
            </w:pPr>
            <w:r>
              <w:rPr>
                <w:rFonts w:hint="default"/>
                <w:color w:val="0000FF"/>
                <w:lang w:val="en-US" w:eastAsia="zh-CN"/>
              </w:rPr>
              <w:t>1.0×10</w:t>
            </w:r>
            <w:r>
              <w:rPr>
                <w:rFonts w:hint="default"/>
                <w:color w:val="0000FF"/>
                <w:vertAlign w:val="superscript"/>
                <w:lang w:val="en-US" w:eastAsia="zh-CN"/>
              </w:rPr>
              <w:t>3</w:t>
            </w:r>
          </w:p>
        </w:tc>
        <w:tc>
          <w:tcPr>
            <w:tcW w:w="2002" w:type="dxa"/>
            <w:tcBorders>
              <w:top w:val="nil"/>
              <w:left w:val="single" w:color="000000" w:sz="8" w:space="0"/>
              <w:bottom w:val="single" w:color="000000" w:sz="8" w:space="0"/>
              <w:right w:val="single" w:color="000000" w:sz="8" w:space="0"/>
            </w:tcBorders>
            <w:shd w:val="clear" w:color="auto" w:fill="auto"/>
            <w:vAlign w:val="center"/>
          </w:tcPr>
          <w:p>
            <w:pPr>
              <w:pStyle w:val="22"/>
              <w:bidi w:val="0"/>
              <w:rPr>
                <w:rFonts w:hint="default"/>
                <w:color w:val="0000FF"/>
                <w:lang w:val="en-US"/>
              </w:rPr>
            </w:pPr>
            <w:r>
              <w:rPr>
                <w:rFonts w:hint="eastAsia"/>
                <w:color w:val="0000FF"/>
                <w:lang w:val="en-US" w:eastAsia="zh-CN"/>
              </w:rPr>
              <w:t>0.1</w:t>
            </w:r>
          </w:p>
        </w:tc>
      </w:tr>
    </w:tbl>
    <w:p>
      <w:pPr>
        <w:spacing w:before="44" w:line="241" w:lineRule="auto"/>
        <w:ind w:firstLine="115"/>
        <w:rPr>
          <w:rFonts w:hint="eastAsia" w:eastAsia="宋体"/>
          <w:color w:val="0000FF"/>
          <w:lang w:eastAsia="zh-CN"/>
        </w:rPr>
      </w:pPr>
      <w:r>
        <w:rPr>
          <w:rFonts w:ascii="宋体" w:hAnsi="宋体" w:eastAsia="宋体" w:cs="宋体"/>
          <w:color w:val="0000FF"/>
          <w:spacing w:val="-10"/>
          <w:sz w:val="21"/>
          <w:szCs w:val="21"/>
        </w:rPr>
        <w:t>注：水质单位</w:t>
      </w:r>
      <w:r>
        <w:rPr>
          <w:rFonts w:ascii="Times New Roman" w:hAnsi="Times New Roman" w:eastAsia="Times New Roman" w:cs="Times New Roman"/>
          <w:color w:val="0000FF"/>
          <w:spacing w:val="-10"/>
          <w:sz w:val="21"/>
          <w:szCs w:val="21"/>
        </w:rPr>
        <w:t>mg/L</w:t>
      </w:r>
      <w:r>
        <w:rPr>
          <w:rFonts w:ascii="宋体" w:hAnsi="宋体" w:eastAsia="宋体" w:cs="宋体"/>
          <w:color w:val="0000FF"/>
          <w:spacing w:val="-10"/>
          <w:sz w:val="21"/>
          <w:szCs w:val="21"/>
        </w:rPr>
        <w:t>，</w:t>
      </w:r>
      <w:r>
        <w:rPr>
          <w:rFonts w:ascii="Times New Roman" w:hAnsi="Times New Roman" w:eastAsia="Times New Roman" w:cs="Times New Roman"/>
          <w:color w:val="0000FF"/>
          <w:spacing w:val="-10"/>
          <w:sz w:val="21"/>
          <w:szCs w:val="21"/>
        </w:rPr>
        <w:t>pH</w:t>
      </w:r>
      <w:r>
        <w:rPr>
          <w:rFonts w:ascii="宋体" w:hAnsi="宋体" w:eastAsia="宋体" w:cs="宋体"/>
          <w:color w:val="0000FF"/>
          <w:spacing w:val="-10"/>
          <w:sz w:val="21"/>
          <w:szCs w:val="21"/>
        </w:rPr>
        <w:t>、标准指数无量纲。</w:t>
      </w:r>
    </w:p>
    <w:p>
      <w:pPr>
        <w:bidi w:val="0"/>
        <w:rPr>
          <w:color w:val="0000FF"/>
        </w:rPr>
      </w:pPr>
      <w:r>
        <w:rPr>
          <w:color w:val="0000FF"/>
        </w:rPr>
        <w:t>由表4.2-</w:t>
      </w:r>
      <w:r>
        <w:rPr>
          <w:rFonts w:hint="eastAsia"/>
          <w:color w:val="0000FF"/>
          <w:lang w:val="en-US" w:eastAsia="zh-CN"/>
        </w:rPr>
        <w:t>5</w:t>
      </w:r>
      <w:r>
        <w:rPr>
          <w:color w:val="0000FF"/>
        </w:rPr>
        <w:t>可知，评价区域内地表水各项监测因子均满足《地表水环境质量标准》（GB3838-2002）中Ⅲ类标准，说明该</w:t>
      </w:r>
      <w:r>
        <w:rPr>
          <w:rFonts w:hint="eastAsia"/>
          <w:color w:val="0000FF"/>
          <w:lang w:val="en-US" w:eastAsia="zh-CN"/>
        </w:rPr>
        <w:t>水库</w:t>
      </w:r>
      <w:r>
        <w:rPr>
          <w:color w:val="0000FF"/>
        </w:rPr>
        <w:t>水质较好。</w:t>
      </w:r>
    </w:p>
    <w:p>
      <w:pPr>
        <w:pStyle w:val="6"/>
        <w:bidi w:val="0"/>
        <w:rPr>
          <w:color w:val="0000FF"/>
        </w:rPr>
      </w:pPr>
      <w:bookmarkStart w:id="81" w:name="_Toc13278"/>
      <w:r>
        <w:rPr>
          <w:color w:val="0000FF"/>
        </w:rPr>
        <w:t>4.2.3地下水质量现状调查与评价</w:t>
      </w:r>
      <w:bookmarkEnd w:id="81"/>
    </w:p>
    <w:p>
      <w:pPr>
        <w:bidi w:val="0"/>
        <w:rPr>
          <w:color w:val="0000FF"/>
        </w:rPr>
      </w:pPr>
      <w:r>
        <w:rPr>
          <w:color w:val="0000FF"/>
        </w:rPr>
        <w:t>根据《环境影响评价技术导则</w:t>
      </w:r>
      <w:r>
        <w:rPr>
          <w:rFonts w:hint="eastAsia"/>
          <w:color w:val="0000FF"/>
          <w:lang w:val="en-US" w:eastAsia="zh-CN"/>
        </w:rPr>
        <w:t xml:space="preserve"> </w:t>
      </w:r>
      <w:r>
        <w:rPr>
          <w:color w:val="0000FF"/>
        </w:rPr>
        <w:t>地下水环境》（HJ610-2016）中附录A，本项目为疾病预防和控制中心项目，确定本项目所属地下水环境影响评价项目类别为Ⅳ类项目（V社会事业与服务业160疾病预防和控制中心）。本项目区不属于生活供水水源地准保护区以及补给径流区，也不属于特殊地下水资源（如热水、矿泉水、温泉等）保护区及以外的分布区，地下水环境敏感程度分级为“不敏感”。</w:t>
      </w:r>
    </w:p>
    <w:p>
      <w:pPr>
        <w:bidi w:val="0"/>
        <w:rPr>
          <w:color w:val="0000FF"/>
        </w:rPr>
      </w:pPr>
      <w:r>
        <w:rPr>
          <w:color w:val="0000FF"/>
        </w:rPr>
        <w:t>按照导则要求，Ⅳ类项目可不开展地下水环境影响评价，因此，项目仅对地下水进行简单分析。</w:t>
      </w:r>
    </w:p>
    <w:p>
      <w:pPr>
        <w:pStyle w:val="6"/>
        <w:bidi w:val="0"/>
        <w:rPr>
          <w:color w:val="0000FF"/>
        </w:rPr>
      </w:pPr>
      <w:bookmarkStart w:id="82" w:name="_Toc27312"/>
      <w:r>
        <w:rPr>
          <w:color w:val="0000FF"/>
        </w:rPr>
        <w:t>4.2.4声环境质量现状调查与评价</w:t>
      </w:r>
      <w:bookmarkEnd w:id="82"/>
    </w:p>
    <w:p>
      <w:pPr>
        <w:bidi w:val="0"/>
        <w:rPr>
          <w:rFonts w:hint="eastAsia"/>
          <w:color w:val="0000FF"/>
          <w:lang w:val="en-US" w:eastAsia="zh-CN"/>
        </w:rPr>
      </w:pPr>
      <w:r>
        <w:rPr>
          <w:rFonts w:hint="eastAsia"/>
          <w:color w:val="0000FF"/>
          <w:lang w:val="en-US" w:eastAsia="zh-CN"/>
        </w:rPr>
        <w:t>（1）监测点位</w:t>
      </w:r>
    </w:p>
    <w:p>
      <w:pPr>
        <w:bidi w:val="0"/>
        <w:rPr>
          <w:color w:val="0000FF"/>
        </w:rPr>
      </w:pPr>
      <w:r>
        <w:rPr>
          <w:color w:val="0000FF"/>
        </w:rPr>
        <w:t>根据本项目建设内容及总体布置，结合调查范围内敏感目标分布情况，本次评价声环境质量现状监测共设置</w:t>
      </w:r>
      <w:r>
        <w:rPr>
          <w:rFonts w:hint="eastAsia"/>
          <w:color w:val="0000FF"/>
          <w:lang w:val="en-US" w:eastAsia="zh-CN"/>
        </w:rPr>
        <w:t>4</w:t>
      </w:r>
      <w:r>
        <w:rPr>
          <w:color w:val="0000FF"/>
        </w:rPr>
        <w:t>个监测点，分别在项目区东、南、西、北边界各设置1个监测点。声环境质量现状监测点位布设情况见表4</w:t>
      </w:r>
      <w:r>
        <w:rPr>
          <w:rFonts w:hint="eastAsia"/>
          <w:color w:val="0000FF"/>
          <w:lang w:val="en-US" w:eastAsia="zh-CN"/>
        </w:rPr>
        <w:t>.2-6</w:t>
      </w:r>
      <w:r>
        <w:rPr>
          <w:color w:val="0000FF"/>
        </w:rPr>
        <w:t>。</w:t>
      </w:r>
    </w:p>
    <w:p>
      <w:pPr>
        <w:pStyle w:val="22"/>
        <w:bidi w:val="0"/>
        <w:rPr>
          <w:b/>
          <w:bCs/>
          <w:color w:val="0000FF"/>
        </w:rPr>
      </w:pPr>
      <w:r>
        <w:rPr>
          <w:b/>
          <w:bCs/>
          <w:color w:val="0000FF"/>
        </w:rPr>
        <w:t>表4</w:t>
      </w:r>
      <w:r>
        <w:rPr>
          <w:rFonts w:hint="eastAsia"/>
          <w:b/>
          <w:bCs/>
          <w:color w:val="0000FF"/>
          <w:lang w:val="en-US" w:eastAsia="zh-CN"/>
        </w:rPr>
        <w:t>.2-6</w:t>
      </w:r>
      <w:r>
        <w:rPr>
          <w:b/>
          <w:bCs/>
          <w:color w:val="0000FF"/>
        </w:rPr>
        <w:t>声环境质量现状监测点位布设情况一览表</w:t>
      </w:r>
    </w:p>
    <w:tbl>
      <w:tblPr>
        <w:tblStyle w:val="23"/>
        <w:tblW w:w="85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2"/>
        <w:gridCol w:w="3"/>
        <w:gridCol w:w="3128"/>
        <w:gridCol w:w="3"/>
        <w:gridCol w:w="30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2382" w:type="dxa"/>
            <w:vAlign w:val="center"/>
          </w:tcPr>
          <w:p>
            <w:pPr>
              <w:pStyle w:val="22"/>
              <w:bidi w:val="0"/>
              <w:jc w:val="center"/>
              <w:rPr>
                <w:color w:val="0000FF"/>
              </w:rPr>
            </w:pPr>
            <w:r>
              <w:rPr>
                <w:color w:val="0000FF"/>
              </w:rPr>
              <w:t>监测点编号</w:t>
            </w:r>
          </w:p>
        </w:tc>
        <w:tc>
          <w:tcPr>
            <w:tcW w:w="3131" w:type="dxa"/>
            <w:gridSpan w:val="2"/>
            <w:vAlign w:val="center"/>
          </w:tcPr>
          <w:p>
            <w:pPr>
              <w:pStyle w:val="22"/>
              <w:bidi w:val="0"/>
              <w:jc w:val="center"/>
              <w:rPr>
                <w:color w:val="0000FF"/>
              </w:rPr>
            </w:pPr>
            <w:r>
              <w:rPr>
                <w:color w:val="0000FF"/>
              </w:rPr>
              <w:t>监测点位置</w:t>
            </w:r>
          </w:p>
        </w:tc>
        <w:tc>
          <w:tcPr>
            <w:tcW w:w="3007" w:type="dxa"/>
            <w:gridSpan w:val="2"/>
            <w:vAlign w:val="center"/>
          </w:tcPr>
          <w:p>
            <w:pPr>
              <w:pStyle w:val="22"/>
              <w:bidi w:val="0"/>
              <w:jc w:val="center"/>
              <w:rPr>
                <w:color w:val="0000FF"/>
              </w:rPr>
            </w:pPr>
            <w:r>
              <w:rPr>
                <w:color w:val="0000FF"/>
              </w:rPr>
              <w:t>点位功能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382" w:type="dxa"/>
            <w:vAlign w:val="center"/>
          </w:tcPr>
          <w:p>
            <w:pPr>
              <w:pStyle w:val="22"/>
              <w:bidi w:val="0"/>
              <w:jc w:val="center"/>
              <w:rPr>
                <w:color w:val="0000FF"/>
              </w:rPr>
            </w:pPr>
            <w:r>
              <w:rPr>
                <w:color w:val="0000FF"/>
              </w:rPr>
              <w:t>1#</w:t>
            </w:r>
          </w:p>
        </w:tc>
        <w:tc>
          <w:tcPr>
            <w:tcW w:w="3131" w:type="dxa"/>
            <w:gridSpan w:val="2"/>
            <w:vAlign w:val="center"/>
          </w:tcPr>
          <w:p>
            <w:pPr>
              <w:pStyle w:val="22"/>
              <w:bidi w:val="0"/>
              <w:jc w:val="center"/>
              <w:rPr>
                <w:color w:val="0000FF"/>
              </w:rPr>
            </w:pPr>
            <w:r>
              <w:rPr>
                <w:rFonts w:hint="eastAsia" w:ascii="Times New Roman" w:hAnsi="Times New Roman" w:cs="Times New Roman"/>
                <w:color w:val="0000FF"/>
                <w:kern w:val="0"/>
                <w:szCs w:val="21"/>
                <w:lang w:val="en-US" w:eastAsia="zh-CN" w:bidi="ar"/>
              </w:rPr>
              <w:t>厂界</w:t>
            </w:r>
            <w:r>
              <w:rPr>
                <w:rFonts w:hint="eastAsia" w:cs="Times New Roman"/>
                <w:color w:val="0000FF"/>
                <w:kern w:val="0"/>
                <w:szCs w:val="21"/>
                <w:lang w:val="en-US" w:eastAsia="zh-CN" w:bidi="ar"/>
              </w:rPr>
              <w:t>东侧外1m</w:t>
            </w:r>
          </w:p>
        </w:tc>
        <w:tc>
          <w:tcPr>
            <w:tcW w:w="3007" w:type="dxa"/>
            <w:gridSpan w:val="2"/>
            <w:vAlign w:val="center"/>
          </w:tcPr>
          <w:p>
            <w:pPr>
              <w:pStyle w:val="22"/>
              <w:bidi w:val="0"/>
              <w:jc w:val="center"/>
              <w:rPr>
                <w:color w:val="0000FF"/>
              </w:rPr>
            </w:pPr>
            <w:r>
              <w:rPr>
                <w:color w:val="0000FF"/>
              </w:rPr>
              <w:t>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382" w:type="dxa"/>
            <w:vAlign w:val="center"/>
          </w:tcPr>
          <w:p>
            <w:pPr>
              <w:pStyle w:val="22"/>
              <w:bidi w:val="0"/>
              <w:jc w:val="center"/>
              <w:rPr>
                <w:color w:val="0000FF"/>
              </w:rPr>
            </w:pPr>
            <w:r>
              <w:rPr>
                <w:color w:val="0000FF"/>
              </w:rPr>
              <w:t>2#</w:t>
            </w:r>
          </w:p>
        </w:tc>
        <w:tc>
          <w:tcPr>
            <w:tcW w:w="3131" w:type="dxa"/>
            <w:gridSpan w:val="2"/>
            <w:vAlign w:val="center"/>
          </w:tcPr>
          <w:p>
            <w:pPr>
              <w:pStyle w:val="22"/>
              <w:bidi w:val="0"/>
              <w:jc w:val="center"/>
              <w:rPr>
                <w:color w:val="0000FF"/>
              </w:rPr>
            </w:pPr>
            <w:r>
              <w:rPr>
                <w:rFonts w:hint="eastAsia" w:ascii="Times New Roman" w:hAnsi="Times New Roman" w:cs="Times New Roman"/>
                <w:color w:val="0000FF"/>
                <w:kern w:val="0"/>
                <w:szCs w:val="21"/>
                <w:lang w:val="en-US" w:eastAsia="zh-CN" w:bidi="ar"/>
              </w:rPr>
              <w:t>厂界</w:t>
            </w:r>
            <w:r>
              <w:rPr>
                <w:rFonts w:hint="eastAsia" w:cs="Times New Roman"/>
                <w:color w:val="0000FF"/>
                <w:kern w:val="0"/>
                <w:szCs w:val="21"/>
                <w:lang w:val="en-US" w:eastAsia="zh-CN" w:bidi="ar"/>
              </w:rPr>
              <w:t>南侧外1m</w:t>
            </w:r>
          </w:p>
        </w:tc>
        <w:tc>
          <w:tcPr>
            <w:tcW w:w="3007" w:type="dxa"/>
            <w:gridSpan w:val="2"/>
            <w:vAlign w:val="center"/>
          </w:tcPr>
          <w:p>
            <w:pPr>
              <w:pStyle w:val="22"/>
              <w:bidi w:val="0"/>
              <w:jc w:val="center"/>
              <w:rPr>
                <w:color w:val="0000FF"/>
              </w:rPr>
            </w:pPr>
            <w:r>
              <w:rPr>
                <w:color w:val="0000FF"/>
              </w:rPr>
              <w:t>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2382" w:type="dxa"/>
            <w:vAlign w:val="center"/>
          </w:tcPr>
          <w:p>
            <w:pPr>
              <w:pStyle w:val="22"/>
              <w:bidi w:val="0"/>
              <w:jc w:val="center"/>
              <w:rPr>
                <w:color w:val="0000FF"/>
              </w:rPr>
            </w:pPr>
            <w:r>
              <w:rPr>
                <w:color w:val="0000FF"/>
              </w:rPr>
              <w:t>3#</w:t>
            </w:r>
          </w:p>
        </w:tc>
        <w:tc>
          <w:tcPr>
            <w:tcW w:w="3131" w:type="dxa"/>
            <w:gridSpan w:val="2"/>
            <w:vAlign w:val="center"/>
          </w:tcPr>
          <w:p>
            <w:pPr>
              <w:pStyle w:val="22"/>
              <w:bidi w:val="0"/>
              <w:jc w:val="center"/>
              <w:rPr>
                <w:color w:val="0000FF"/>
              </w:rPr>
            </w:pPr>
            <w:r>
              <w:rPr>
                <w:rFonts w:hint="eastAsia" w:ascii="Times New Roman" w:hAnsi="Times New Roman" w:cs="Times New Roman"/>
                <w:color w:val="0000FF"/>
                <w:kern w:val="0"/>
                <w:szCs w:val="21"/>
                <w:lang w:val="en-US" w:eastAsia="zh-CN" w:bidi="ar"/>
              </w:rPr>
              <w:t>厂界</w:t>
            </w:r>
            <w:r>
              <w:rPr>
                <w:rFonts w:hint="eastAsia" w:cs="Times New Roman"/>
                <w:color w:val="0000FF"/>
                <w:kern w:val="0"/>
                <w:szCs w:val="21"/>
                <w:lang w:val="en-US" w:eastAsia="zh-CN" w:bidi="ar"/>
              </w:rPr>
              <w:t>西侧外1m</w:t>
            </w:r>
          </w:p>
        </w:tc>
        <w:tc>
          <w:tcPr>
            <w:tcW w:w="3007" w:type="dxa"/>
            <w:gridSpan w:val="2"/>
            <w:vAlign w:val="center"/>
          </w:tcPr>
          <w:p>
            <w:pPr>
              <w:pStyle w:val="22"/>
              <w:bidi w:val="0"/>
              <w:jc w:val="center"/>
              <w:rPr>
                <w:color w:val="0000FF"/>
              </w:rPr>
            </w:pPr>
            <w:r>
              <w:rPr>
                <w:color w:val="0000FF"/>
              </w:rPr>
              <w:t>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2385" w:type="dxa"/>
            <w:gridSpan w:val="2"/>
            <w:vAlign w:val="center"/>
          </w:tcPr>
          <w:p>
            <w:pPr>
              <w:pStyle w:val="22"/>
              <w:bidi w:val="0"/>
              <w:jc w:val="center"/>
              <w:rPr>
                <w:color w:val="0000FF"/>
              </w:rPr>
            </w:pPr>
            <w:r>
              <w:rPr>
                <w:color w:val="0000FF"/>
              </w:rPr>
              <w:t>4#</w:t>
            </w:r>
          </w:p>
        </w:tc>
        <w:tc>
          <w:tcPr>
            <w:tcW w:w="3131" w:type="dxa"/>
            <w:gridSpan w:val="2"/>
            <w:vAlign w:val="center"/>
          </w:tcPr>
          <w:p>
            <w:pPr>
              <w:pStyle w:val="22"/>
              <w:bidi w:val="0"/>
              <w:jc w:val="center"/>
              <w:rPr>
                <w:color w:val="0000FF"/>
              </w:rPr>
            </w:pPr>
            <w:r>
              <w:rPr>
                <w:rFonts w:hint="eastAsia" w:ascii="Times New Roman" w:hAnsi="Times New Roman" w:cs="Times New Roman"/>
                <w:color w:val="0000FF"/>
                <w:kern w:val="0"/>
                <w:szCs w:val="21"/>
                <w:lang w:val="en-US" w:eastAsia="zh-CN" w:bidi="ar"/>
              </w:rPr>
              <w:t>厂界</w:t>
            </w:r>
            <w:r>
              <w:rPr>
                <w:rFonts w:hint="eastAsia" w:cs="Times New Roman"/>
                <w:color w:val="0000FF"/>
                <w:kern w:val="0"/>
                <w:szCs w:val="21"/>
                <w:lang w:val="en-US" w:eastAsia="zh-CN" w:bidi="ar"/>
              </w:rPr>
              <w:t>北侧外1m</w:t>
            </w:r>
          </w:p>
        </w:tc>
        <w:tc>
          <w:tcPr>
            <w:tcW w:w="3004" w:type="dxa"/>
            <w:vAlign w:val="center"/>
          </w:tcPr>
          <w:p>
            <w:pPr>
              <w:pStyle w:val="22"/>
              <w:bidi w:val="0"/>
              <w:jc w:val="center"/>
              <w:rPr>
                <w:color w:val="0000FF"/>
              </w:rPr>
            </w:pPr>
            <w:r>
              <w:rPr>
                <w:color w:val="0000FF"/>
              </w:rPr>
              <w:t>厂界</w:t>
            </w:r>
          </w:p>
        </w:tc>
      </w:tr>
    </w:tbl>
    <w:p>
      <w:pPr>
        <w:bidi w:val="0"/>
        <w:rPr>
          <w:color w:val="0000FF"/>
        </w:rPr>
      </w:pPr>
      <w:r>
        <w:rPr>
          <w:rFonts w:hint="eastAsia"/>
          <w:color w:val="0000FF"/>
          <w:lang w:eastAsia="zh-CN"/>
        </w:rPr>
        <w:t>（</w:t>
      </w:r>
      <w:r>
        <w:rPr>
          <w:rFonts w:hint="eastAsia"/>
          <w:color w:val="0000FF"/>
          <w:lang w:val="en-US" w:eastAsia="zh-CN"/>
        </w:rPr>
        <w:t>2</w:t>
      </w:r>
      <w:r>
        <w:rPr>
          <w:rFonts w:hint="eastAsia"/>
          <w:color w:val="0000FF"/>
          <w:lang w:eastAsia="zh-CN"/>
        </w:rPr>
        <w:t>）</w:t>
      </w:r>
      <w:r>
        <w:rPr>
          <w:color w:val="0000FF"/>
        </w:rPr>
        <w:t>监测时间及监测频率</w:t>
      </w:r>
    </w:p>
    <w:p>
      <w:pPr>
        <w:bidi w:val="0"/>
        <w:rPr>
          <w:color w:val="0000FF"/>
        </w:rPr>
      </w:pPr>
      <w:r>
        <w:rPr>
          <w:color w:val="0000FF"/>
        </w:rPr>
        <w:t>监测1天，昼夜各监测一次。</w:t>
      </w:r>
      <w:r>
        <w:rPr>
          <w:rFonts w:hint="eastAsia"/>
          <w:color w:val="0000FF"/>
          <w:lang w:val="en-US" w:eastAsia="zh-CN"/>
        </w:rPr>
        <w:t>新疆锡水金山环境科技有限公司</w:t>
      </w:r>
      <w:r>
        <w:rPr>
          <w:color w:val="0000FF"/>
        </w:rPr>
        <w:t>于202</w:t>
      </w:r>
      <w:r>
        <w:rPr>
          <w:rFonts w:hint="eastAsia"/>
          <w:color w:val="0000FF"/>
          <w:lang w:val="en-US" w:eastAsia="zh-CN"/>
        </w:rPr>
        <w:t>2</w:t>
      </w:r>
      <w:r>
        <w:rPr>
          <w:color w:val="0000FF"/>
        </w:rPr>
        <w:t>年</w:t>
      </w:r>
      <w:r>
        <w:rPr>
          <w:rFonts w:hint="eastAsia"/>
          <w:color w:val="0000FF"/>
          <w:lang w:val="en-US" w:eastAsia="zh-CN"/>
        </w:rPr>
        <w:t>3</w:t>
      </w:r>
      <w:r>
        <w:rPr>
          <w:color w:val="0000FF"/>
        </w:rPr>
        <w:t>月</w:t>
      </w:r>
      <w:r>
        <w:rPr>
          <w:rFonts w:hint="eastAsia"/>
          <w:color w:val="0000FF"/>
          <w:lang w:val="en-US" w:eastAsia="zh-CN"/>
        </w:rPr>
        <w:t>3</w:t>
      </w:r>
      <w:r>
        <w:rPr>
          <w:color w:val="0000FF"/>
        </w:rPr>
        <w:t>日对声环境质量现状监测点位进行了监测。</w:t>
      </w:r>
    </w:p>
    <w:p>
      <w:pPr>
        <w:bidi w:val="0"/>
        <w:rPr>
          <w:color w:val="0000FF"/>
        </w:rPr>
      </w:pPr>
      <w:r>
        <w:rPr>
          <w:rFonts w:hint="eastAsia"/>
          <w:color w:val="0000FF"/>
          <w:lang w:eastAsia="zh-CN"/>
        </w:rPr>
        <w:t>（</w:t>
      </w:r>
      <w:r>
        <w:rPr>
          <w:rFonts w:hint="eastAsia"/>
          <w:color w:val="0000FF"/>
          <w:lang w:val="en-US" w:eastAsia="zh-CN"/>
        </w:rPr>
        <w:t>3</w:t>
      </w:r>
      <w:r>
        <w:rPr>
          <w:rFonts w:hint="eastAsia"/>
          <w:color w:val="0000FF"/>
          <w:lang w:eastAsia="zh-CN"/>
        </w:rPr>
        <w:t>）</w:t>
      </w:r>
      <w:r>
        <w:rPr>
          <w:color w:val="0000FF"/>
        </w:rPr>
        <w:t>评价方法</w:t>
      </w:r>
    </w:p>
    <w:p>
      <w:pPr>
        <w:bidi w:val="0"/>
        <w:rPr>
          <w:color w:val="0000FF"/>
        </w:rPr>
      </w:pPr>
      <w:r>
        <w:rPr>
          <w:color w:val="0000FF"/>
        </w:rPr>
        <w:t>根据声环境现状监测结果，采用等效声级法，结合噪声评价标准，对场址声环境质量现状进行评价。</w:t>
      </w:r>
    </w:p>
    <w:p>
      <w:pPr>
        <w:bidi w:val="0"/>
        <w:rPr>
          <w:color w:val="0000FF"/>
        </w:rPr>
      </w:pPr>
      <w:r>
        <w:rPr>
          <w:rFonts w:hint="eastAsia"/>
          <w:color w:val="0000FF"/>
          <w:lang w:eastAsia="zh-CN"/>
        </w:rPr>
        <w:t>（</w:t>
      </w:r>
      <w:r>
        <w:rPr>
          <w:rFonts w:hint="eastAsia"/>
          <w:color w:val="0000FF"/>
          <w:lang w:val="en-US" w:eastAsia="zh-CN"/>
        </w:rPr>
        <w:t>4</w:t>
      </w:r>
      <w:r>
        <w:rPr>
          <w:rFonts w:hint="eastAsia"/>
          <w:color w:val="0000FF"/>
          <w:lang w:eastAsia="zh-CN"/>
        </w:rPr>
        <w:t>）</w:t>
      </w:r>
      <w:r>
        <w:rPr>
          <w:color w:val="0000FF"/>
        </w:rPr>
        <w:t>评价标准</w:t>
      </w:r>
    </w:p>
    <w:p>
      <w:pPr>
        <w:bidi w:val="0"/>
        <w:rPr>
          <w:color w:val="0000FF"/>
        </w:rPr>
      </w:pPr>
      <w:r>
        <w:rPr>
          <w:color w:val="0000FF"/>
        </w:rPr>
        <w:t>本次声环境质量现状评价执行《声环境质量标准》（GB3096-2008）1类标准要求，本次声环境质量评价标准见表4</w:t>
      </w:r>
      <w:r>
        <w:rPr>
          <w:rFonts w:hint="eastAsia"/>
          <w:color w:val="0000FF"/>
          <w:lang w:val="en-US" w:eastAsia="zh-CN"/>
        </w:rPr>
        <w:t>.2-7</w:t>
      </w:r>
      <w:r>
        <w:rPr>
          <w:color w:val="0000FF"/>
        </w:rPr>
        <w:t>。</w:t>
      </w:r>
    </w:p>
    <w:p>
      <w:pPr>
        <w:pStyle w:val="22"/>
        <w:bidi w:val="0"/>
        <w:rPr>
          <w:b/>
          <w:bCs/>
          <w:color w:val="0000FF"/>
        </w:rPr>
      </w:pPr>
      <w:r>
        <w:rPr>
          <w:b/>
          <w:bCs/>
          <w:color w:val="0000FF"/>
        </w:rPr>
        <w:t>表4</w:t>
      </w:r>
      <w:r>
        <w:rPr>
          <w:rFonts w:hint="eastAsia"/>
          <w:b/>
          <w:bCs/>
          <w:color w:val="0000FF"/>
          <w:lang w:val="en-US" w:eastAsia="zh-CN"/>
        </w:rPr>
        <w:t>.2-7</w:t>
      </w:r>
      <w:r>
        <w:rPr>
          <w:b/>
          <w:bCs/>
          <w:color w:val="0000FF"/>
        </w:rPr>
        <w:t>声环境质量评价标准</w:t>
      </w:r>
    </w:p>
    <w:p>
      <w:pPr>
        <w:spacing w:line="34" w:lineRule="exact"/>
        <w:rPr>
          <w:color w:val="0000FF"/>
        </w:rPr>
      </w:pPr>
    </w:p>
    <w:tbl>
      <w:tblPr>
        <w:tblStyle w:val="23"/>
        <w:tblW w:w="8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891"/>
        <w:gridCol w:w="28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2744" w:type="dxa"/>
            <w:vAlign w:val="center"/>
          </w:tcPr>
          <w:p>
            <w:pPr>
              <w:pStyle w:val="22"/>
              <w:bidi w:val="0"/>
              <w:jc w:val="center"/>
              <w:rPr>
                <w:color w:val="0000FF"/>
              </w:rPr>
            </w:pPr>
            <w:r>
              <w:rPr>
                <w:color w:val="0000FF"/>
              </w:rPr>
              <w:t>声环境功能区类别</w:t>
            </w:r>
          </w:p>
        </w:tc>
        <w:tc>
          <w:tcPr>
            <w:tcW w:w="2891" w:type="dxa"/>
            <w:vAlign w:val="center"/>
          </w:tcPr>
          <w:p>
            <w:pPr>
              <w:pStyle w:val="22"/>
              <w:bidi w:val="0"/>
              <w:jc w:val="center"/>
              <w:rPr>
                <w:color w:val="0000FF"/>
              </w:rPr>
            </w:pPr>
            <w:r>
              <w:rPr>
                <w:color w:val="0000FF"/>
              </w:rPr>
              <w:t>昼间[dB(A)]</w:t>
            </w:r>
          </w:p>
        </w:tc>
        <w:tc>
          <w:tcPr>
            <w:tcW w:w="2897" w:type="dxa"/>
            <w:vAlign w:val="center"/>
          </w:tcPr>
          <w:p>
            <w:pPr>
              <w:pStyle w:val="22"/>
              <w:bidi w:val="0"/>
              <w:jc w:val="center"/>
              <w:rPr>
                <w:color w:val="0000FF"/>
              </w:rPr>
            </w:pPr>
            <w:r>
              <w:rPr>
                <w:color w:val="0000FF"/>
              </w:rPr>
              <w:t>夜间[dB(A)]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2744" w:type="dxa"/>
            <w:vAlign w:val="center"/>
          </w:tcPr>
          <w:p>
            <w:pPr>
              <w:pStyle w:val="22"/>
              <w:bidi w:val="0"/>
              <w:jc w:val="center"/>
              <w:rPr>
                <w:color w:val="0000FF"/>
              </w:rPr>
            </w:pPr>
            <w:r>
              <w:rPr>
                <w:color w:val="0000FF"/>
              </w:rPr>
              <w:t>1类</w:t>
            </w:r>
          </w:p>
        </w:tc>
        <w:tc>
          <w:tcPr>
            <w:tcW w:w="2891" w:type="dxa"/>
            <w:vAlign w:val="center"/>
          </w:tcPr>
          <w:p>
            <w:pPr>
              <w:pStyle w:val="22"/>
              <w:bidi w:val="0"/>
              <w:jc w:val="center"/>
              <w:rPr>
                <w:color w:val="0000FF"/>
              </w:rPr>
            </w:pPr>
            <w:r>
              <w:rPr>
                <w:color w:val="0000FF"/>
              </w:rPr>
              <w:t>55</w:t>
            </w:r>
          </w:p>
        </w:tc>
        <w:tc>
          <w:tcPr>
            <w:tcW w:w="2897" w:type="dxa"/>
            <w:vAlign w:val="center"/>
          </w:tcPr>
          <w:p>
            <w:pPr>
              <w:pStyle w:val="22"/>
              <w:bidi w:val="0"/>
              <w:jc w:val="center"/>
              <w:rPr>
                <w:color w:val="0000FF"/>
              </w:rPr>
            </w:pPr>
            <w:r>
              <w:rPr>
                <w:color w:val="0000FF"/>
              </w:rPr>
              <w:t>45</w:t>
            </w:r>
          </w:p>
        </w:tc>
      </w:tr>
    </w:tbl>
    <w:p>
      <w:pPr>
        <w:bidi w:val="0"/>
        <w:rPr>
          <w:color w:val="0000FF"/>
        </w:rPr>
      </w:pPr>
      <w:r>
        <w:rPr>
          <w:rFonts w:hint="eastAsia"/>
          <w:color w:val="0000FF"/>
          <w:lang w:eastAsia="zh-CN"/>
        </w:rPr>
        <w:t>（</w:t>
      </w:r>
      <w:r>
        <w:rPr>
          <w:rFonts w:hint="eastAsia"/>
          <w:color w:val="0000FF"/>
          <w:lang w:val="en-US" w:eastAsia="zh-CN"/>
        </w:rPr>
        <w:t>5</w:t>
      </w:r>
      <w:r>
        <w:rPr>
          <w:rFonts w:hint="eastAsia"/>
          <w:color w:val="0000FF"/>
          <w:lang w:eastAsia="zh-CN"/>
        </w:rPr>
        <w:t>）</w:t>
      </w:r>
      <w:r>
        <w:rPr>
          <w:color w:val="0000FF"/>
        </w:rPr>
        <w:t>监测结果统计及评价</w:t>
      </w:r>
    </w:p>
    <w:p>
      <w:pPr>
        <w:bidi w:val="0"/>
        <w:rPr>
          <w:color w:val="0000FF"/>
        </w:rPr>
      </w:pPr>
      <w:r>
        <w:rPr>
          <w:color w:val="0000FF"/>
        </w:rPr>
        <w:t>本次声环境质量现状监测数据统计分析结果见表</w:t>
      </w:r>
      <w:r>
        <w:rPr>
          <w:rFonts w:hint="eastAsia"/>
          <w:color w:val="0000FF"/>
          <w:lang w:val="en-US" w:eastAsia="zh-CN"/>
        </w:rPr>
        <w:t>4.2-8</w:t>
      </w:r>
      <w:r>
        <w:rPr>
          <w:color w:val="0000FF"/>
        </w:rPr>
        <w:t>。</w:t>
      </w:r>
    </w:p>
    <w:p>
      <w:pPr>
        <w:pStyle w:val="22"/>
        <w:bidi w:val="0"/>
        <w:rPr>
          <w:b/>
          <w:bCs/>
          <w:color w:val="0000FF"/>
        </w:rPr>
      </w:pPr>
    </w:p>
    <w:p>
      <w:pPr>
        <w:pStyle w:val="22"/>
        <w:bidi w:val="0"/>
        <w:rPr>
          <w:b/>
          <w:bCs/>
          <w:color w:val="0000FF"/>
        </w:rPr>
      </w:pPr>
      <w:r>
        <w:rPr>
          <w:b/>
          <w:bCs/>
          <w:color w:val="0000FF"/>
        </w:rPr>
        <w:t>表4</w:t>
      </w:r>
      <w:r>
        <w:rPr>
          <w:rFonts w:hint="eastAsia"/>
          <w:b/>
          <w:bCs/>
          <w:color w:val="0000FF"/>
          <w:lang w:val="en-US" w:eastAsia="zh-CN"/>
        </w:rPr>
        <w:t>.2-8</w:t>
      </w:r>
      <w:r>
        <w:rPr>
          <w:b/>
          <w:bCs/>
          <w:color w:val="0000FF"/>
        </w:rPr>
        <w:t>声环境质量现状监测结果统计一览表</w:t>
      </w:r>
    </w:p>
    <w:p>
      <w:pPr>
        <w:spacing w:line="36" w:lineRule="exact"/>
        <w:rPr>
          <w:color w:val="0000FF"/>
        </w:rPr>
      </w:pPr>
    </w:p>
    <w:tbl>
      <w:tblPr>
        <w:tblStyle w:val="23"/>
        <w:tblW w:w="85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
        <w:gridCol w:w="2661"/>
        <w:gridCol w:w="1275"/>
        <w:gridCol w:w="1416"/>
        <w:gridCol w:w="1426"/>
        <w:gridCol w:w="1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2666" w:type="dxa"/>
            <w:gridSpan w:val="2"/>
            <w:tcBorders>
              <w:tl2br w:val="nil"/>
              <w:tr2bl w:val="nil"/>
            </w:tcBorders>
            <w:vAlign w:val="center"/>
          </w:tcPr>
          <w:p>
            <w:pPr>
              <w:pStyle w:val="22"/>
              <w:bidi w:val="0"/>
              <w:rPr>
                <w:color w:val="0000FF"/>
              </w:rPr>
            </w:pPr>
            <w:r>
              <w:rPr>
                <w:color w:val="0000FF"/>
              </w:rPr>
              <w:t>监测位置</w:t>
            </w:r>
          </w:p>
        </w:tc>
        <w:tc>
          <w:tcPr>
            <w:tcW w:w="1275" w:type="dxa"/>
            <w:tcBorders>
              <w:tl2br w:val="nil"/>
              <w:tr2bl w:val="nil"/>
            </w:tcBorders>
            <w:vAlign w:val="center"/>
          </w:tcPr>
          <w:p>
            <w:pPr>
              <w:pStyle w:val="22"/>
              <w:bidi w:val="0"/>
              <w:rPr>
                <w:color w:val="0000FF"/>
              </w:rPr>
            </w:pPr>
            <w:r>
              <w:rPr>
                <w:color w:val="0000FF"/>
              </w:rPr>
              <w:t>监测时间</w:t>
            </w:r>
          </w:p>
        </w:tc>
        <w:tc>
          <w:tcPr>
            <w:tcW w:w="1416" w:type="dxa"/>
            <w:tcBorders>
              <w:tl2br w:val="nil"/>
              <w:tr2bl w:val="nil"/>
            </w:tcBorders>
            <w:vAlign w:val="center"/>
          </w:tcPr>
          <w:p>
            <w:pPr>
              <w:pStyle w:val="22"/>
              <w:bidi w:val="0"/>
              <w:rPr>
                <w:color w:val="0000FF"/>
              </w:rPr>
            </w:pPr>
            <w:r>
              <w:rPr>
                <w:color w:val="0000FF"/>
              </w:rPr>
              <w:t>昼间[dB(A)]</w:t>
            </w:r>
          </w:p>
        </w:tc>
        <w:tc>
          <w:tcPr>
            <w:tcW w:w="1426" w:type="dxa"/>
            <w:tcBorders>
              <w:tl2br w:val="nil"/>
              <w:tr2bl w:val="nil"/>
            </w:tcBorders>
            <w:vAlign w:val="center"/>
          </w:tcPr>
          <w:p>
            <w:pPr>
              <w:pStyle w:val="22"/>
              <w:bidi w:val="0"/>
              <w:rPr>
                <w:color w:val="0000FF"/>
              </w:rPr>
            </w:pPr>
            <w:r>
              <w:rPr>
                <w:color w:val="0000FF"/>
              </w:rPr>
              <w:t>夜间[dB(A)]</w:t>
            </w:r>
          </w:p>
        </w:tc>
        <w:tc>
          <w:tcPr>
            <w:tcW w:w="1749" w:type="dxa"/>
            <w:tcBorders>
              <w:tl2br w:val="nil"/>
              <w:tr2bl w:val="nil"/>
            </w:tcBorders>
            <w:vAlign w:val="center"/>
          </w:tcPr>
          <w:p>
            <w:pPr>
              <w:pStyle w:val="22"/>
              <w:bidi w:val="0"/>
              <w:rPr>
                <w:color w:val="0000FF"/>
              </w:rPr>
            </w:pPr>
            <w:r>
              <w:rPr>
                <w:color w:val="0000FF"/>
              </w:rPr>
              <w:t>标准限值[dB(A)]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gridSpan w:val="2"/>
            <w:tcBorders>
              <w:tl2br w:val="nil"/>
              <w:tr2bl w:val="nil"/>
            </w:tcBorders>
            <w:vAlign w:val="center"/>
          </w:tcPr>
          <w:p>
            <w:pPr>
              <w:pStyle w:val="22"/>
              <w:bidi w:val="0"/>
              <w:rPr>
                <w:color w:val="0000FF"/>
              </w:rPr>
            </w:pPr>
            <w:r>
              <w:rPr>
                <w:rFonts w:hint="eastAsia"/>
                <w:color w:val="0000FF"/>
                <w:lang w:val="en-US" w:eastAsia="zh-CN"/>
              </w:rPr>
              <w:t>厂界东侧外1m</w:t>
            </w:r>
          </w:p>
        </w:tc>
        <w:tc>
          <w:tcPr>
            <w:tcW w:w="1275" w:type="dxa"/>
            <w:vMerge w:val="restart"/>
            <w:tcBorders>
              <w:tl2br w:val="nil"/>
              <w:tr2bl w:val="nil"/>
            </w:tcBorders>
            <w:vAlign w:val="center"/>
          </w:tcPr>
          <w:p>
            <w:pPr>
              <w:pStyle w:val="22"/>
              <w:bidi w:val="0"/>
              <w:rPr>
                <w:rFonts w:hint="eastAsia"/>
                <w:color w:val="0000FF"/>
                <w:lang w:eastAsia="zh-CN"/>
              </w:rPr>
            </w:pPr>
            <w:r>
              <w:rPr>
                <w:color w:val="0000FF"/>
              </w:rPr>
              <w:t>202</w:t>
            </w:r>
            <w:r>
              <w:rPr>
                <w:rFonts w:hint="eastAsia"/>
                <w:color w:val="0000FF"/>
                <w:lang w:val="en-US" w:eastAsia="zh-CN"/>
              </w:rPr>
              <w:t>2</w:t>
            </w:r>
            <w:r>
              <w:rPr>
                <w:color w:val="0000FF"/>
              </w:rPr>
              <w:t>.</w:t>
            </w:r>
            <w:r>
              <w:rPr>
                <w:rFonts w:hint="eastAsia"/>
                <w:color w:val="0000FF"/>
                <w:lang w:val="en-US" w:eastAsia="zh-CN"/>
              </w:rPr>
              <w:t>3</w:t>
            </w:r>
            <w:r>
              <w:rPr>
                <w:color w:val="0000FF"/>
              </w:rPr>
              <w:t>.</w:t>
            </w:r>
            <w:r>
              <w:rPr>
                <w:rFonts w:hint="eastAsia"/>
                <w:color w:val="0000FF"/>
                <w:lang w:val="en-US" w:eastAsia="zh-CN"/>
              </w:rPr>
              <w:t>3</w:t>
            </w:r>
          </w:p>
        </w:tc>
        <w:tc>
          <w:tcPr>
            <w:tcW w:w="1416" w:type="dxa"/>
            <w:tcBorders>
              <w:tl2br w:val="nil"/>
              <w:tr2bl w:val="nil"/>
            </w:tcBorders>
            <w:vAlign w:val="center"/>
          </w:tcPr>
          <w:p>
            <w:pPr>
              <w:pStyle w:val="22"/>
              <w:bidi w:val="0"/>
              <w:rPr>
                <w:color w:val="0000FF"/>
              </w:rPr>
            </w:pPr>
            <w:r>
              <w:rPr>
                <w:rFonts w:hint="eastAsia"/>
                <w:color w:val="0000FF"/>
                <w:lang w:val="en-US" w:eastAsia="zh-CN"/>
              </w:rPr>
              <w:t>42</w:t>
            </w:r>
          </w:p>
        </w:tc>
        <w:tc>
          <w:tcPr>
            <w:tcW w:w="1426" w:type="dxa"/>
            <w:tcBorders>
              <w:tl2br w:val="nil"/>
              <w:tr2bl w:val="nil"/>
            </w:tcBorders>
            <w:vAlign w:val="center"/>
          </w:tcPr>
          <w:p>
            <w:pPr>
              <w:pStyle w:val="22"/>
              <w:bidi w:val="0"/>
              <w:rPr>
                <w:color w:val="0000FF"/>
              </w:rPr>
            </w:pPr>
            <w:r>
              <w:rPr>
                <w:rFonts w:hint="eastAsia"/>
                <w:color w:val="0000FF"/>
                <w:lang w:val="en-US" w:eastAsia="zh-CN"/>
              </w:rPr>
              <w:t>38</w:t>
            </w:r>
          </w:p>
        </w:tc>
        <w:tc>
          <w:tcPr>
            <w:tcW w:w="1749" w:type="dxa"/>
            <w:vMerge w:val="restart"/>
            <w:tcBorders>
              <w:tl2br w:val="nil"/>
              <w:tr2bl w:val="nil"/>
            </w:tcBorders>
            <w:vAlign w:val="center"/>
          </w:tcPr>
          <w:p>
            <w:pPr>
              <w:pStyle w:val="22"/>
              <w:bidi w:val="0"/>
              <w:rPr>
                <w:color w:val="0000FF"/>
              </w:rPr>
            </w:pPr>
            <w:r>
              <w:rPr>
                <w:color w:val="0000FF"/>
              </w:rPr>
              <w:t>昼间：55</w:t>
            </w:r>
          </w:p>
          <w:p>
            <w:pPr>
              <w:pStyle w:val="22"/>
              <w:bidi w:val="0"/>
              <w:rPr>
                <w:color w:val="0000FF"/>
              </w:rPr>
            </w:pPr>
            <w:r>
              <w:rPr>
                <w:color w:val="0000FF"/>
              </w:rPr>
              <w:t>夜间：45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gridSpan w:val="2"/>
            <w:tcBorders>
              <w:tl2br w:val="nil"/>
              <w:tr2bl w:val="nil"/>
            </w:tcBorders>
            <w:vAlign w:val="center"/>
          </w:tcPr>
          <w:p>
            <w:pPr>
              <w:pStyle w:val="22"/>
              <w:bidi w:val="0"/>
              <w:rPr>
                <w:color w:val="0000FF"/>
              </w:rPr>
            </w:pPr>
            <w:r>
              <w:rPr>
                <w:rFonts w:hint="eastAsia"/>
                <w:color w:val="0000FF"/>
                <w:lang w:val="en-US" w:eastAsia="zh-CN"/>
              </w:rPr>
              <w:t>厂界南侧外1m</w:t>
            </w:r>
          </w:p>
        </w:tc>
        <w:tc>
          <w:tcPr>
            <w:tcW w:w="1275" w:type="dxa"/>
            <w:vMerge w:val="continue"/>
            <w:tcBorders>
              <w:tl2br w:val="nil"/>
              <w:tr2bl w:val="nil"/>
            </w:tcBorders>
            <w:vAlign w:val="center"/>
          </w:tcPr>
          <w:p>
            <w:pPr>
              <w:pStyle w:val="22"/>
              <w:bidi w:val="0"/>
              <w:rPr>
                <w:color w:val="0000FF"/>
              </w:rPr>
            </w:pPr>
          </w:p>
        </w:tc>
        <w:tc>
          <w:tcPr>
            <w:tcW w:w="1416" w:type="dxa"/>
            <w:tcBorders>
              <w:tl2br w:val="nil"/>
              <w:tr2bl w:val="nil"/>
            </w:tcBorders>
            <w:vAlign w:val="center"/>
          </w:tcPr>
          <w:p>
            <w:pPr>
              <w:pStyle w:val="22"/>
              <w:bidi w:val="0"/>
              <w:rPr>
                <w:color w:val="0000FF"/>
              </w:rPr>
            </w:pPr>
            <w:r>
              <w:rPr>
                <w:rFonts w:hint="eastAsia"/>
                <w:color w:val="0000FF"/>
                <w:lang w:val="en-US" w:eastAsia="zh-CN"/>
              </w:rPr>
              <w:t>41</w:t>
            </w:r>
          </w:p>
        </w:tc>
        <w:tc>
          <w:tcPr>
            <w:tcW w:w="1426" w:type="dxa"/>
            <w:tcBorders>
              <w:tl2br w:val="nil"/>
              <w:tr2bl w:val="nil"/>
            </w:tcBorders>
            <w:vAlign w:val="center"/>
          </w:tcPr>
          <w:p>
            <w:pPr>
              <w:pStyle w:val="22"/>
              <w:bidi w:val="0"/>
              <w:rPr>
                <w:color w:val="0000FF"/>
              </w:rPr>
            </w:pPr>
            <w:r>
              <w:rPr>
                <w:rFonts w:hint="eastAsia"/>
                <w:color w:val="0000FF"/>
                <w:lang w:val="en-US" w:eastAsia="zh-CN"/>
              </w:rPr>
              <w:t>37</w:t>
            </w:r>
          </w:p>
        </w:tc>
        <w:tc>
          <w:tcPr>
            <w:tcW w:w="1749" w:type="dxa"/>
            <w:vMerge w:val="continue"/>
            <w:tcBorders>
              <w:tl2br w:val="nil"/>
              <w:tr2bl w:val="nil"/>
            </w:tcBorders>
            <w:vAlign w:val="center"/>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gridSpan w:val="2"/>
            <w:tcBorders>
              <w:tl2br w:val="nil"/>
              <w:tr2bl w:val="nil"/>
            </w:tcBorders>
            <w:vAlign w:val="center"/>
          </w:tcPr>
          <w:p>
            <w:pPr>
              <w:pStyle w:val="22"/>
              <w:bidi w:val="0"/>
              <w:rPr>
                <w:color w:val="0000FF"/>
              </w:rPr>
            </w:pPr>
            <w:r>
              <w:rPr>
                <w:rFonts w:hint="eastAsia"/>
                <w:color w:val="0000FF"/>
                <w:lang w:val="en-US" w:eastAsia="zh-CN"/>
              </w:rPr>
              <w:t>厂界西侧外1m</w:t>
            </w:r>
          </w:p>
        </w:tc>
        <w:tc>
          <w:tcPr>
            <w:tcW w:w="1275" w:type="dxa"/>
            <w:vMerge w:val="continue"/>
            <w:tcBorders>
              <w:tl2br w:val="nil"/>
              <w:tr2bl w:val="nil"/>
            </w:tcBorders>
            <w:vAlign w:val="center"/>
          </w:tcPr>
          <w:p>
            <w:pPr>
              <w:pStyle w:val="22"/>
              <w:bidi w:val="0"/>
              <w:rPr>
                <w:color w:val="0000FF"/>
              </w:rPr>
            </w:pPr>
          </w:p>
        </w:tc>
        <w:tc>
          <w:tcPr>
            <w:tcW w:w="1416" w:type="dxa"/>
            <w:tcBorders>
              <w:tl2br w:val="nil"/>
              <w:tr2bl w:val="nil"/>
            </w:tcBorders>
            <w:vAlign w:val="center"/>
          </w:tcPr>
          <w:p>
            <w:pPr>
              <w:pStyle w:val="22"/>
              <w:bidi w:val="0"/>
              <w:rPr>
                <w:color w:val="0000FF"/>
              </w:rPr>
            </w:pPr>
            <w:r>
              <w:rPr>
                <w:rFonts w:hint="eastAsia"/>
                <w:color w:val="0000FF"/>
                <w:lang w:val="en-US" w:eastAsia="zh-CN"/>
              </w:rPr>
              <w:t>42</w:t>
            </w:r>
          </w:p>
        </w:tc>
        <w:tc>
          <w:tcPr>
            <w:tcW w:w="1426" w:type="dxa"/>
            <w:tcBorders>
              <w:tl2br w:val="nil"/>
              <w:tr2bl w:val="nil"/>
            </w:tcBorders>
            <w:vAlign w:val="center"/>
          </w:tcPr>
          <w:p>
            <w:pPr>
              <w:pStyle w:val="22"/>
              <w:bidi w:val="0"/>
              <w:rPr>
                <w:color w:val="0000FF"/>
              </w:rPr>
            </w:pPr>
            <w:r>
              <w:rPr>
                <w:rFonts w:hint="eastAsia"/>
                <w:color w:val="0000FF"/>
                <w:lang w:val="en-US" w:eastAsia="zh-CN"/>
              </w:rPr>
              <w:t>38</w:t>
            </w:r>
          </w:p>
        </w:tc>
        <w:tc>
          <w:tcPr>
            <w:tcW w:w="1749" w:type="dxa"/>
            <w:vMerge w:val="continue"/>
            <w:tcBorders>
              <w:tl2br w:val="nil"/>
              <w:tr2bl w:val="nil"/>
            </w:tcBorders>
            <w:vAlign w:val="center"/>
          </w:tcPr>
          <w:p>
            <w:pPr>
              <w:pStyle w:val="22"/>
              <w:bidi w:val="0"/>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0" w:type="auto"/>
            <w:tcBorders>
              <w:tl2br w:val="nil"/>
              <w:tr2bl w:val="nil"/>
            </w:tcBorders>
            <w:vAlign w:val="center"/>
          </w:tcPr>
          <w:p>
            <w:pPr>
              <w:pStyle w:val="22"/>
              <w:bidi w:val="0"/>
              <w:rPr>
                <w:color w:val="0000FF"/>
              </w:rPr>
            </w:pPr>
          </w:p>
        </w:tc>
        <w:tc>
          <w:tcPr>
            <w:tcW w:w="2661" w:type="dxa"/>
            <w:tcBorders>
              <w:tl2br w:val="nil"/>
              <w:tr2bl w:val="nil"/>
            </w:tcBorders>
            <w:vAlign w:val="center"/>
          </w:tcPr>
          <w:p>
            <w:pPr>
              <w:pStyle w:val="22"/>
              <w:bidi w:val="0"/>
              <w:rPr>
                <w:color w:val="0000FF"/>
              </w:rPr>
            </w:pPr>
            <w:r>
              <w:rPr>
                <w:rFonts w:hint="eastAsia"/>
                <w:color w:val="0000FF"/>
                <w:lang w:val="en-US" w:eastAsia="zh-CN"/>
              </w:rPr>
              <w:t>厂界北侧外1m</w:t>
            </w:r>
          </w:p>
        </w:tc>
        <w:tc>
          <w:tcPr>
            <w:tcW w:w="1275" w:type="dxa"/>
            <w:vMerge w:val="continue"/>
            <w:tcBorders>
              <w:tl2br w:val="nil"/>
              <w:tr2bl w:val="nil"/>
            </w:tcBorders>
            <w:vAlign w:val="center"/>
          </w:tcPr>
          <w:p>
            <w:pPr>
              <w:pStyle w:val="22"/>
              <w:bidi w:val="0"/>
              <w:rPr>
                <w:color w:val="0000FF"/>
              </w:rPr>
            </w:pPr>
          </w:p>
        </w:tc>
        <w:tc>
          <w:tcPr>
            <w:tcW w:w="1416" w:type="dxa"/>
            <w:tcBorders>
              <w:tl2br w:val="nil"/>
              <w:tr2bl w:val="nil"/>
            </w:tcBorders>
            <w:vAlign w:val="center"/>
          </w:tcPr>
          <w:p>
            <w:pPr>
              <w:pStyle w:val="22"/>
              <w:bidi w:val="0"/>
              <w:rPr>
                <w:color w:val="0000FF"/>
              </w:rPr>
            </w:pPr>
            <w:r>
              <w:rPr>
                <w:rFonts w:hint="eastAsia"/>
                <w:color w:val="0000FF"/>
                <w:lang w:val="en-US" w:eastAsia="zh-CN"/>
              </w:rPr>
              <w:t>41</w:t>
            </w:r>
          </w:p>
        </w:tc>
        <w:tc>
          <w:tcPr>
            <w:tcW w:w="1426" w:type="dxa"/>
            <w:tcBorders>
              <w:tl2br w:val="nil"/>
              <w:tr2bl w:val="nil"/>
            </w:tcBorders>
            <w:vAlign w:val="center"/>
          </w:tcPr>
          <w:p>
            <w:pPr>
              <w:pStyle w:val="22"/>
              <w:bidi w:val="0"/>
              <w:rPr>
                <w:color w:val="0000FF"/>
              </w:rPr>
            </w:pPr>
            <w:r>
              <w:rPr>
                <w:rFonts w:hint="eastAsia"/>
                <w:color w:val="0000FF"/>
                <w:lang w:val="en-US" w:eastAsia="zh-CN"/>
              </w:rPr>
              <w:t>38</w:t>
            </w:r>
          </w:p>
        </w:tc>
        <w:tc>
          <w:tcPr>
            <w:tcW w:w="1749" w:type="dxa"/>
            <w:vMerge w:val="continue"/>
            <w:tcBorders>
              <w:tl2br w:val="nil"/>
              <w:tr2bl w:val="nil"/>
            </w:tcBorders>
            <w:vAlign w:val="center"/>
          </w:tcPr>
          <w:p>
            <w:pPr>
              <w:pStyle w:val="22"/>
              <w:bidi w:val="0"/>
              <w:rPr>
                <w:color w:val="0000FF"/>
              </w:rPr>
            </w:pPr>
          </w:p>
        </w:tc>
      </w:tr>
    </w:tbl>
    <w:p>
      <w:pPr>
        <w:bidi w:val="0"/>
        <w:rPr>
          <w:color w:val="0000FF"/>
        </w:rPr>
      </w:pPr>
      <w:r>
        <w:rPr>
          <w:color w:val="0000FF"/>
        </w:rPr>
        <w:t>由上表可以看出，各监测点位声环境质量现状昼、夜监测结果均能够满足《声环境质量标准》（GB3096-2008）1类标准要求。</w:t>
      </w:r>
    </w:p>
    <w:p>
      <w:pPr>
        <w:pStyle w:val="6"/>
        <w:bidi w:val="0"/>
        <w:rPr>
          <w:color w:val="0000FF"/>
        </w:rPr>
      </w:pPr>
      <w:bookmarkStart w:id="83" w:name="_Toc10889"/>
      <w:r>
        <w:rPr>
          <w:color w:val="0000FF"/>
        </w:rPr>
        <w:t>4.2.5土壤环境质量现状调查与评价</w:t>
      </w:r>
      <w:bookmarkEnd w:id="83"/>
    </w:p>
    <w:p>
      <w:pPr>
        <w:bidi w:val="0"/>
        <w:rPr>
          <w:color w:val="0000FF"/>
        </w:rPr>
      </w:pPr>
      <w:r>
        <w:rPr>
          <w:color w:val="0000FF"/>
        </w:rPr>
        <w:t>按照《环境影响评价技术导则</w:t>
      </w:r>
      <w:r>
        <w:rPr>
          <w:rFonts w:hint="eastAsia"/>
          <w:color w:val="0000FF"/>
          <w:lang w:val="en-US" w:eastAsia="zh-CN"/>
        </w:rPr>
        <w:t xml:space="preserve"> </w:t>
      </w:r>
      <w:r>
        <w:rPr>
          <w:color w:val="0000FF"/>
        </w:rPr>
        <w:t>土壤环境》（HJ964-2018）中内容。本项目是医疗机构项目，属于导则中附录A中社会事业与服务业中的其他类，为Ⅳ类项目。按照《环境影响评价技术导则</w:t>
      </w:r>
      <w:r>
        <w:rPr>
          <w:rFonts w:hint="eastAsia"/>
          <w:color w:val="0000FF"/>
          <w:lang w:val="en-US" w:eastAsia="zh-CN"/>
        </w:rPr>
        <w:t xml:space="preserve"> </w:t>
      </w:r>
      <w:r>
        <w:rPr>
          <w:color w:val="0000FF"/>
        </w:rPr>
        <w:t>土壤环境》（HJ964-2018）中4.2.2内容：其中Ⅳ类建设项目可不开展土壤环境影响评价。</w:t>
      </w:r>
    </w:p>
    <w:p>
      <w:pPr>
        <w:pStyle w:val="6"/>
        <w:bidi w:val="0"/>
        <w:rPr>
          <w:rFonts w:hint="eastAsia"/>
          <w:color w:val="0000FF"/>
          <w:lang w:val="en-US" w:eastAsia="zh-CN"/>
        </w:rPr>
      </w:pPr>
      <w:bookmarkStart w:id="84" w:name="_Toc28282"/>
      <w:r>
        <w:rPr>
          <w:rFonts w:hint="eastAsia"/>
          <w:color w:val="0000FF"/>
          <w:lang w:val="en-US" w:eastAsia="zh-CN"/>
        </w:rPr>
        <w:t>4.2.6生态环境</w:t>
      </w:r>
      <w:bookmarkEnd w:id="84"/>
    </w:p>
    <w:p>
      <w:pPr>
        <w:pStyle w:val="7"/>
        <w:bidi w:val="0"/>
        <w:rPr>
          <w:rFonts w:hint="default"/>
          <w:color w:val="0000FF"/>
        </w:rPr>
      </w:pPr>
      <w:r>
        <w:rPr>
          <w:rFonts w:hint="eastAsia"/>
          <w:color w:val="0000FF"/>
          <w:lang w:val="en-US" w:eastAsia="zh-CN"/>
        </w:rPr>
        <w:t>4.2.6.1本项目在生态功能区划中的位置</w:t>
      </w:r>
    </w:p>
    <w:p>
      <w:pPr>
        <w:bidi w:val="0"/>
        <w:rPr>
          <w:rFonts w:hint="eastAsia"/>
          <w:color w:val="0000FF"/>
          <w:lang w:val="en-US" w:eastAsia="zh-CN"/>
        </w:rPr>
      </w:pPr>
      <w:r>
        <w:rPr>
          <w:rFonts w:hint="eastAsia"/>
          <w:color w:val="0000FF"/>
          <w:lang w:val="en-US" w:eastAsia="zh-CN"/>
        </w:rPr>
        <w:t>根据《新疆生产建设兵团生态功能区划》，本项目所在地十四师225团未进行划分，本次依据《新疆生态功能区划》中同一功能区于田县进行划定，用地区域属于塔里木盆地暖温荒漠及绿洲农业生态区，塔里木盆地南部和东部沙漠、戈壁及绿洲农业生态亚区，皮山—和田—民丰绿洲沙漠化敏感生态功能区。</w:t>
      </w:r>
    </w:p>
    <w:p>
      <w:pPr>
        <w:pStyle w:val="22"/>
        <w:bidi w:val="0"/>
        <w:rPr>
          <w:rFonts w:hint="default"/>
          <w:b/>
          <w:bCs/>
          <w:color w:val="0000FF"/>
          <w:lang w:val="en-US" w:eastAsia="zh-CN"/>
        </w:rPr>
      </w:pPr>
      <w:r>
        <w:rPr>
          <w:b/>
          <w:bCs/>
          <w:color w:val="0000FF"/>
          <w:lang w:val="en-US" w:eastAsia="zh-CN"/>
        </w:rPr>
        <mc:AlternateContent>
          <mc:Choice Requires="wps">
            <w:drawing>
              <wp:anchor distT="0" distB="0" distL="114300" distR="114300" simplePos="0" relativeHeight="251661312" behindDoc="0" locked="0" layoutInCell="1" allowOverlap="1">
                <wp:simplePos x="0" y="0"/>
                <wp:positionH relativeFrom="column">
                  <wp:posOffset>3433445</wp:posOffset>
                </wp:positionH>
                <wp:positionV relativeFrom="paragraph">
                  <wp:posOffset>1125220</wp:posOffset>
                </wp:positionV>
                <wp:extent cx="1000760" cy="368935"/>
                <wp:effectExtent l="230505" t="5080" r="6985" b="483235"/>
                <wp:wrapNone/>
                <wp:docPr id="3" name="矩形标注 3"/>
                <wp:cNvGraphicFramePr/>
                <a:graphic xmlns:a="http://schemas.openxmlformats.org/drawingml/2006/main">
                  <a:graphicData uri="http://schemas.microsoft.com/office/word/2010/wordprocessingShape">
                    <wps:wsp>
                      <wps:cNvSpPr/>
                      <wps:spPr>
                        <a:xfrm>
                          <a:off x="0" y="0"/>
                          <a:ext cx="1000760" cy="368935"/>
                        </a:xfrm>
                        <a:prstGeom prst="wedgeRectCallout">
                          <a:avLst>
                            <a:gd name="adj1" fmla="val -70301"/>
                            <a:gd name="adj2" fmla="val 169968"/>
                          </a:avLst>
                        </a:prstGeom>
                        <a:solidFill>
                          <a:srgbClr val="F79646"/>
                        </a:solidFill>
                        <a:ln w="9525" cap="flat" cmpd="sng">
                          <a:solidFill>
                            <a:srgbClr val="000000"/>
                          </a:solidFill>
                          <a:prstDash val="solid"/>
                          <a:miter/>
                          <a:headEnd type="none" w="med" len="med"/>
                          <a:tailEnd type="none" w="med" len="med"/>
                        </a:ln>
                        <a:effectLst/>
                      </wps:spPr>
                      <wps:txbx>
                        <w:txbxContent>
                          <w:p>
                            <w:pPr>
                              <w:ind w:left="0" w:leftChars="0" w:firstLine="0" w:firstLineChars="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项目所在地</w:t>
                            </w:r>
                          </w:p>
                        </w:txbxContent>
                      </wps:txbx>
                      <wps:bodyPr upright="1"/>
                    </wps:wsp>
                  </a:graphicData>
                </a:graphic>
              </wp:anchor>
            </w:drawing>
          </mc:Choice>
          <mc:Fallback>
            <w:pict>
              <v:shape id="_x0000_s1026" o:spid="_x0000_s1026" o:spt="61" type="#_x0000_t61" style="position:absolute;left:0pt;margin-left:270.35pt;margin-top:88.6pt;height:29.05pt;width:78.8pt;z-index:251661312;mso-width-relative:page;mso-height-relative:page;" fillcolor="#F79646" filled="t" stroked="t" coordsize="21600,21600" o:gfxdata="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5nTqDYAAAACwEAAA8AAAAAAAAAAQAgAAAA&#10;IgAAAGRycy9kb3ducmV2LnhtbFBLAQIUABQAAAAIAIdO4kDHt1C9RAIAAJwEAAAOAAAAAAAAAAEA&#10;IAAAACcBAABkcnMvZTJvRG9jLnhtbFBLBQYAAAAABgAGAFkBAADdBQAAAAA=&#10;" adj="-4385,47513">
                <v:fill on="t" focussize="0,0"/>
                <v:stroke color="#000000" joinstyle="miter"/>
                <v:imagedata o:title=""/>
                <o:lock v:ext="edit" aspectratio="f"/>
                <v:textbox>
                  <w:txbxContent>
                    <w:p>
                      <w:pPr>
                        <w:ind w:left="0" w:leftChars="0" w:firstLine="0" w:firstLineChars="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项目所在地</w:t>
                      </w:r>
                    </w:p>
                  </w:txbxContent>
                </v:textbox>
              </v:shape>
            </w:pict>
          </mc:Fallback>
        </mc:AlternateContent>
      </w:r>
      <w:r>
        <w:rPr>
          <w:b/>
          <w:bCs/>
          <w:color w:val="0000FF"/>
          <w:lang w:val="en-US" w:eastAsia="zh-CN"/>
        </w:rPr>
        <mc:AlternateContent>
          <mc:Choice Requires="wps">
            <w:drawing>
              <wp:anchor distT="0" distB="0" distL="114300" distR="114300" simplePos="0" relativeHeight="251662336" behindDoc="0" locked="0" layoutInCell="1" allowOverlap="1">
                <wp:simplePos x="0" y="0"/>
                <wp:positionH relativeFrom="column">
                  <wp:posOffset>3121025</wp:posOffset>
                </wp:positionH>
                <wp:positionV relativeFrom="paragraph">
                  <wp:posOffset>1886585</wp:posOffset>
                </wp:positionV>
                <wp:extent cx="160655" cy="143510"/>
                <wp:effectExtent l="15240" t="14605" r="33655" b="13335"/>
                <wp:wrapNone/>
                <wp:docPr id="8" name="五角星 8"/>
                <wp:cNvGraphicFramePr/>
                <a:graphic xmlns:a="http://schemas.openxmlformats.org/drawingml/2006/main">
                  <a:graphicData uri="http://schemas.microsoft.com/office/word/2010/wordprocessingShape">
                    <wps:wsp>
                      <wps:cNvSpPr/>
                      <wps:spPr>
                        <a:xfrm>
                          <a:off x="0" y="0"/>
                          <a:ext cx="160655" cy="143510"/>
                        </a:xfrm>
                        <a:prstGeom prst="star5">
                          <a:avLst/>
                        </a:prstGeom>
                        <a:solidFill>
                          <a:srgbClr val="FF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style="position:absolute;left:0pt;margin-left:245.75pt;margin-top:148.55pt;height:11.3pt;width:12.65pt;z-index:251662336;mso-width-relative:page;mso-height-relative:page;" fillcolor="#FF0000" filled="t" stroked="t" coordsize="160655,143510" o:gfxdata="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6SpwNoAAAALAQAADwAAAAAAAAABACAAAAAi&#10;AAAAZHJzL2Rvd25yZXYueG1sUEsBAhQAFAAAAAgAh07iQFjOOsQIAgAALwQAAA4AAAAAAAAAAQAg&#10;AAAAKQEAAGRycy9lMm9Eb2MueG1sUEsFBgAAAAAGAAYAWQEAAKMFAAAAAA==&#10;" path="m0,54815l61365,54816,80327,0,99289,54816,160654,54815,111009,88693,129972,143509,80327,109631,30682,143509,49645,88693xe">
                <v:path o:connectlocs="80327,0;0,54815;30682,143509;129972,143509;160654,54815" o:connectangles="247,164,82,82,0"/>
                <v:fill on="t" focussize="0,0"/>
                <v:stroke color="#000000" joinstyle="miter"/>
                <v:imagedata o:title=""/>
                <o:lock v:ext="edit" aspectratio="f"/>
              </v:shape>
            </w:pict>
          </mc:Fallback>
        </mc:AlternateContent>
      </w:r>
      <w:r>
        <w:rPr>
          <w:color w:val="0000FF"/>
        </w:rPr>
        <w:drawing>
          <wp:inline distT="0" distB="0" distL="114300" distR="114300">
            <wp:extent cx="5264150" cy="2985770"/>
            <wp:effectExtent l="0" t="0" r="1270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tretch>
                      <a:fillRect/>
                    </a:stretch>
                  </pic:blipFill>
                  <pic:spPr>
                    <a:xfrm>
                      <a:off x="0" y="0"/>
                      <a:ext cx="5264150" cy="2985770"/>
                    </a:xfrm>
                    <a:prstGeom prst="rect">
                      <a:avLst/>
                    </a:prstGeom>
                    <a:noFill/>
                    <a:ln>
                      <a:noFill/>
                    </a:ln>
                  </pic:spPr>
                </pic:pic>
              </a:graphicData>
            </a:graphic>
          </wp:inline>
        </w:drawing>
      </w:r>
      <w:r>
        <w:rPr>
          <w:rFonts w:hint="eastAsia"/>
          <w:b/>
          <w:bCs/>
          <w:color w:val="0000FF"/>
          <w:lang w:val="en-US" w:eastAsia="zh-CN"/>
        </w:rPr>
        <w:t>图4.2-1新疆生态功能区划（截选）</w:t>
      </w:r>
    </w:p>
    <w:p>
      <w:pPr>
        <w:pStyle w:val="22"/>
        <w:bidi w:val="0"/>
        <w:rPr>
          <w:rFonts w:hint="eastAsia"/>
          <w:b/>
          <w:bCs/>
          <w:color w:val="0000FF"/>
          <w:lang w:val="en-US" w:eastAsia="zh-CN"/>
        </w:rPr>
      </w:pPr>
    </w:p>
    <w:p>
      <w:pPr>
        <w:pStyle w:val="22"/>
        <w:bidi w:val="0"/>
        <w:rPr>
          <w:rFonts w:hint="default"/>
          <w:b/>
          <w:bCs/>
          <w:color w:val="0000FF"/>
        </w:rPr>
      </w:pPr>
      <w:r>
        <w:rPr>
          <w:rFonts w:hint="eastAsia"/>
          <w:b/>
          <w:bCs/>
          <w:color w:val="0000FF"/>
          <w:lang w:val="en-US" w:eastAsia="zh-CN"/>
        </w:rPr>
        <w:t>表4.2-9项目区生态功能区划</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420"/>
        <w:gridCol w:w="6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restar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生态功能分区单元</w:t>
            </w:r>
          </w:p>
        </w:tc>
        <w:tc>
          <w:tcPr>
            <w:tcW w:w="833"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生态区</w:t>
            </w:r>
          </w:p>
        </w:tc>
        <w:tc>
          <w:tcPr>
            <w:tcW w:w="3580"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塔里木盆地暖温荒漠及绿洲农业生态区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noWrap w:val="0"/>
            <w:vAlign w:val="center"/>
          </w:tcPr>
          <w:p>
            <w:pPr>
              <w:pStyle w:val="22"/>
              <w:bidi w:val="0"/>
              <w:jc w:val="center"/>
              <w:rPr>
                <w:rFonts w:hint="default"/>
                <w:color w:val="0000FF"/>
              </w:rPr>
            </w:pPr>
          </w:p>
        </w:tc>
        <w:tc>
          <w:tcPr>
            <w:tcW w:w="833"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生态亚区</w:t>
            </w:r>
          </w:p>
        </w:tc>
        <w:tc>
          <w:tcPr>
            <w:tcW w:w="3580" w:type="pct"/>
            <w:tcBorders>
              <w:tl2br w:val="nil"/>
              <w:tr2bl w:val="nil"/>
            </w:tcBorders>
            <w:noWrap w:val="0"/>
            <w:vAlign w:val="center"/>
          </w:tcPr>
          <w:p>
            <w:pPr>
              <w:pStyle w:val="22"/>
              <w:bidi w:val="0"/>
              <w:jc w:val="center"/>
              <w:rPr>
                <w:rFonts w:hint="default"/>
                <w:color w:val="0000FF"/>
                <w:lang w:val="en-US" w:eastAsia="zh-CN"/>
              </w:rPr>
            </w:pPr>
            <w:r>
              <w:rPr>
                <w:rFonts w:hint="default"/>
                <w:color w:val="0000FF"/>
                <w:lang w:val="en-US" w:eastAsia="zh-CN"/>
              </w:rPr>
              <w:t>塔里木盆地暖温荒漠及绿洲农业生态区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noWrap w:val="0"/>
            <w:vAlign w:val="center"/>
          </w:tcPr>
          <w:p>
            <w:pPr>
              <w:pStyle w:val="22"/>
              <w:bidi w:val="0"/>
              <w:jc w:val="center"/>
              <w:rPr>
                <w:rFonts w:hint="default"/>
                <w:color w:val="0000FF"/>
              </w:rPr>
            </w:pPr>
          </w:p>
        </w:tc>
        <w:tc>
          <w:tcPr>
            <w:tcW w:w="833"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生态功能区</w:t>
            </w:r>
          </w:p>
        </w:tc>
        <w:tc>
          <w:tcPr>
            <w:tcW w:w="3580"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皮山—和田—民丰绿洲沙漠化敏感生态功能区区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color w:val="0000FF"/>
              </w:rPr>
            </w:pPr>
            <w:r>
              <w:rPr>
                <w:rFonts w:hint="default"/>
                <w:color w:val="0000FF"/>
                <w:lang w:val="en-US" w:eastAsia="zh-CN"/>
              </w:rPr>
              <w:t>主要生态服务功能</w:t>
            </w:r>
          </w:p>
        </w:tc>
        <w:tc>
          <w:tcPr>
            <w:tcW w:w="3580"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农产品生产、沙漠化控制、土壤保持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color w:val="0000FF"/>
              </w:rPr>
            </w:pPr>
            <w:r>
              <w:rPr>
                <w:rFonts w:hint="default"/>
                <w:color w:val="0000FF"/>
                <w:lang w:val="en-US" w:eastAsia="zh-CN"/>
              </w:rPr>
              <w:t>主要生态环境问题</w:t>
            </w:r>
          </w:p>
        </w:tc>
        <w:tc>
          <w:tcPr>
            <w:tcW w:w="3580"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沙漠化威胁、风沙危害、土壤质量下降和土壤盐渍化、能源短缺、荒漠植被破坏、浮尘和沙尘暴天气多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color w:val="0000FF"/>
              </w:rPr>
            </w:pPr>
            <w:r>
              <w:rPr>
                <w:rFonts w:hint="default"/>
                <w:color w:val="0000FF"/>
                <w:lang w:val="en-US" w:eastAsia="zh-CN"/>
              </w:rPr>
              <w:t>主要生态敏感因子、</w:t>
            </w:r>
          </w:p>
          <w:p>
            <w:pPr>
              <w:pStyle w:val="22"/>
              <w:bidi w:val="0"/>
              <w:jc w:val="center"/>
              <w:rPr>
                <w:rFonts w:hint="default"/>
                <w:color w:val="0000FF"/>
              </w:rPr>
            </w:pPr>
            <w:r>
              <w:rPr>
                <w:rFonts w:hint="default"/>
                <w:color w:val="0000FF"/>
                <w:lang w:val="en-US" w:eastAsia="zh-CN"/>
              </w:rPr>
              <w:t>敏感程度</w:t>
            </w:r>
          </w:p>
        </w:tc>
        <w:tc>
          <w:tcPr>
            <w:tcW w:w="3580"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土壤侵蚀极度敏感，土地沙漠化轻度敏感，土壤盐渍化轻度敏感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color w:val="0000FF"/>
              </w:rPr>
            </w:pPr>
            <w:r>
              <w:rPr>
                <w:rFonts w:hint="default"/>
                <w:color w:val="0000FF"/>
                <w:lang w:val="en-US" w:eastAsia="zh-CN"/>
              </w:rPr>
              <w:t>主要保护目标</w:t>
            </w:r>
          </w:p>
        </w:tc>
        <w:tc>
          <w:tcPr>
            <w:tcW w:w="3580"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保护绿洲农田、保护荒漠植被、保护荒漠河岸林、保护饮用水源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color w:val="0000FF"/>
              </w:rPr>
            </w:pPr>
            <w:r>
              <w:rPr>
                <w:rFonts w:hint="default"/>
                <w:color w:val="0000FF"/>
                <w:lang w:val="en-US" w:eastAsia="zh-CN"/>
              </w:rPr>
              <w:t>主要保护措施</w:t>
            </w:r>
          </w:p>
        </w:tc>
        <w:tc>
          <w:tcPr>
            <w:tcW w:w="3580"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大力发展农田和生态防护林建设、完善水利工程设施、开发地下水、禁樵禁采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9" w:type="pct"/>
            <w:gridSpan w:val="2"/>
            <w:tcBorders>
              <w:tl2br w:val="nil"/>
              <w:tr2bl w:val="nil"/>
            </w:tcBorders>
            <w:noWrap w:val="0"/>
            <w:vAlign w:val="center"/>
          </w:tcPr>
          <w:p>
            <w:pPr>
              <w:pStyle w:val="22"/>
              <w:bidi w:val="0"/>
              <w:jc w:val="center"/>
              <w:rPr>
                <w:rFonts w:hint="default"/>
                <w:color w:val="0000FF"/>
              </w:rPr>
            </w:pPr>
            <w:r>
              <w:rPr>
                <w:rFonts w:hint="default"/>
                <w:color w:val="0000FF"/>
                <w:lang w:val="en-US" w:eastAsia="zh-CN"/>
              </w:rPr>
              <w:t>适宜发展方向</w:t>
            </w:r>
          </w:p>
        </w:tc>
        <w:tc>
          <w:tcPr>
            <w:tcW w:w="3580" w:type="pct"/>
            <w:tcBorders>
              <w:tl2br w:val="nil"/>
              <w:tr2bl w:val="nil"/>
            </w:tcBorders>
            <w:noWrap w:val="0"/>
            <w:vAlign w:val="center"/>
          </w:tcPr>
          <w:p>
            <w:pPr>
              <w:pStyle w:val="22"/>
              <w:bidi w:val="0"/>
              <w:jc w:val="center"/>
              <w:rPr>
                <w:rFonts w:hint="default"/>
                <w:color w:val="0000FF"/>
              </w:rPr>
            </w:pPr>
            <w:r>
              <w:rPr>
                <w:rFonts w:hint="default"/>
                <w:color w:val="0000FF"/>
                <w:lang w:val="en-US" w:eastAsia="zh-CN"/>
              </w:rPr>
              <w:t>改变能源结构，保证油气供给，发展特色林果业和农区畜牧业，促进丝绸、地毯、</w:t>
            </w:r>
            <w:r>
              <w:rPr>
                <w:rFonts w:hint="eastAsia"/>
                <w:color w:val="0000FF"/>
                <w:lang w:val="en-US" w:eastAsia="zh-CN"/>
              </w:rPr>
              <w:t>和田玉</w:t>
            </w:r>
            <w:r>
              <w:rPr>
                <w:rFonts w:hint="default"/>
                <w:color w:val="0000FF"/>
                <w:lang w:val="en-US" w:eastAsia="zh-CN"/>
              </w:rPr>
              <w:t>等民族手工工艺品加工及旅游业发展</w:t>
            </w:r>
          </w:p>
        </w:tc>
      </w:tr>
    </w:tbl>
    <w:p>
      <w:pPr>
        <w:pStyle w:val="7"/>
        <w:bidi w:val="0"/>
        <w:rPr>
          <w:rFonts w:hint="eastAsia"/>
          <w:color w:val="0000FF"/>
          <w:lang w:val="en-US" w:eastAsia="zh-CN"/>
        </w:rPr>
      </w:pPr>
      <w:r>
        <w:rPr>
          <w:rFonts w:hint="eastAsia"/>
          <w:color w:val="0000FF"/>
          <w:lang w:val="en-US" w:eastAsia="zh-CN"/>
        </w:rPr>
        <w:t>4.2.6.2植被环境现状调查及评价</w:t>
      </w:r>
    </w:p>
    <w:p>
      <w:pPr>
        <w:bidi w:val="0"/>
        <w:ind w:left="0" w:leftChars="0" w:firstLine="480" w:firstLineChars="200"/>
        <w:rPr>
          <w:rFonts w:hint="eastAsia" w:eastAsia="宋体"/>
          <w:color w:val="0000FF"/>
          <w:lang w:eastAsia="zh-CN"/>
        </w:rPr>
      </w:pPr>
      <w:r>
        <w:rPr>
          <w:rFonts w:hint="eastAsia"/>
          <w:color w:val="0000FF"/>
          <w:lang w:val="en-US" w:eastAsia="zh-CN"/>
        </w:rPr>
        <w:t>1、所在区域</w:t>
      </w:r>
      <w:r>
        <w:rPr>
          <w:rFonts w:hint="eastAsia"/>
          <w:color w:val="0000FF"/>
        </w:rPr>
        <w:t>植被现状概况</w:t>
      </w:r>
    </w:p>
    <w:p>
      <w:pPr>
        <w:bidi w:val="0"/>
        <w:rPr>
          <w:rFonts w:hint="eastAsia"/>
          <w:color w:val="0000FF"/>
          <w:lang w:val="en-US" w:eastAsia="zh-CN"/>
        </w:rPr>
      </w:pPr>
      <w:r>
        <w:rPr>
          <w:rFonts w:hint="eastAsia"/>
          <w:color w:val="0000FF"/>
          <w:lang w:val="en-US" w:eastAsia="zh-CN"/>
        </w:rPr>
        <w:t>该区位于南疆地区，属温性荒漠类，本地植物区系有明显的荒漠区系成分组成，根据调查和收集的文献资料统计。目前主要植被类型为灌溉绿洲、盐生草荒漠、无植被戈壁和多汁盐柴类荒漠。地表植被主要有农作物、琵琶柴、芨芨草、碱蓬、狗牙根、花花柴、芦苇等。</w:t>
      </w:r>
    </w:p>
    <w:p>
      <w:pPr>
        <w:bidi w:val="0"/>
        <w:rPr>
          <w:rFonts w:hint="eastAsia"/>
          <w:color w:val="0000FF"/>
          <w:lang w:val="en-US" w:eastAsia="zh-CN"/>
        </w:rPr>
      </w:pPr>
      <w:r>
        <w:rPr>
          <w:rFonts w:hint="eastAsia"/>
          <w:color w:val="0000FF"/>
          <w:lang w:val="en-US" w:eastAsia="zh-CN"/>
        </w:rPr>
        <w:t>由于本区域的气候土壤特殊性，决定了本区域荒漠植被种类贫乏、群落稀疏、植被类型简单，基本无利用价值。主要植物名录见表</w:t>
      </w:r>
      <w:r>
        <w:rPr>
          <w:rFonts w:hint="default"/>
          <w:color w:val="0000FF"/>
          <w:lang w:val="en-US" w:eastAsia="zh-CN"/>
        </w:rPr>
        <w:t>。</w:t>
      </w:r>
    </w:p>
    <w:p>
      <w:pPr>
        <w:pStyle w:val="22"/>
        <w:bidi w:val="0"/>
        <w:rPr>
          <w:rFonts w:hint="eastAsia"/>
          <w:b/>
          <w:bCs/>
          <w:color w:val="0000FF"/>
          <w:lang w:val="en-US" w:eastAsia="zh-CN"/>
        </w:rPr>
      </w:pPr>
      <w:r>
        <w:rPr>
          <w:rFonts w:hint="eastAsia"/>
          <w:b/>
          <w:bCs/>
          <w:color w:val="0000FF"/>
          <w:lang w:val="en-US" w:eastAsia="zh-CN"/>
        </w:rPr>
        <w:t>表4.2-10评价区主要植被名录</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114"/>
        <w:gridCol w:w="2825"/>
        <w:gridCol w:w="116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restar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序号</w:t>
            </w:r>
          </w:p>
        </w:tc>
        <w:tc>
          <w:tcPr>
            <w:tcW w:w="2899" w:type="pct"/>
            <w:gridSpan w:val="2"/>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种名</w:t>
            </w:r>
          </w:p>
        </w:tc>
        <w:tc>
          <w:tcPr>
            <w:tcW w:w="684" w:type="pct"/>
            <w:vMerge w:val="restar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科名</w:t>
            </w:r>
          </w:p>
        </w:tc>
        <w:tc>
          <w:tcPr>
            <w:tcW w:w="1008" w:type="pct"/>
            <w:vMerge w:val="restar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生活型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中名</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学名</w:t>
            </w:r>
          </w:p>
        </w:tc>
        <w:tc>
          <w:tcPr>
            <w:tcW w:w="684" w:type="pct"/>
            <w:vMerge w:val="continue"/>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p>
        </w:tc>
        <w:tc>
          <w:tcPr>
            <w:tcW w:w="1008" w:type="pct"/>
            <w:vMerge w:val="continue"/>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1</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花花柴</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Kareliniacaspica</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菊科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2</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芦苇</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Phragmitescommunis</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禾本科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3</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芨芨草</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Achnatherumsplendens</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禾本科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多年生密丛禾草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4</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default"/>
                <w:color w:val="0000FF"/>
                <w:lang w:val="en-US" w:eastAsia="zh-CN"/>
              </w:rPr>
              <w:t>拂子茅</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Calamagrostisepigeios</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禾本科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5</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default"/>
                <w:color w:val="0000FF"/>
                <w:lang w:val="en-US" w:eastAsia="zh-CN"/>
              </w:rPr>
              <w:t>琵琶柴</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Reaumureasoongorica</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柽柳科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小灌木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6</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驼绒藜</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Ceratoideslatens</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藜科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一、二年生草本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7</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盐爪爪</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Kalidiumfoliatum</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藜科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小灌木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8</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default"/>
                <w:color w:val="0000FF"/>
                <w:lang w:val="en-US" w:eastAsia="zh-CN"/>
              </w:rPr>
              <w:t>碱蓬</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0000FF"/>
                <w:lang w:val="en-US" w:eastAsia="zh-CN"/>
              </w:rPr>
            </w:pPr>
            <w:r>
              <w:rPr>
                <w:rFonts w:hint="default"/>
                <w:color w:val="0000FF"/>
                <w:lang w:val="en-US" w:eastAsia="zh-CN"/>
              </w:rPr>
              <w:t>Suaedaglauca(Bunge)Bunge</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藜科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0000FF"/>
                <w:lang w:val="en-US" w:eastAsia="zh-CN"/>
              </w:rPr>
            </w:pPr>
            <w:r>
              <w:rPr>
                <w:rFonts w:hint="eastAsia"/>
                <w:color w:val="0000FF"/>
                <w:lang w:val="en-US" w:eastAsia="zh-CN"/>
              </w:rPr>
              <w:t>一年生草本</w:t>
            </w:r>
          </w:p>
        </w:tc>
      </w:tr>
    </w:tbl>
    <w:p>
      <w:pPr>
        <w:pStyle w:val="7"/>
        <w:bidi w:val="0"/>
        <w:rPr>
          <w:rFonts w:hint="eastAsia"/>
          <w:color w:val="0000FF"/>
          <w:lang w:val="en-US" w:eastAsia="zh-CN"/>
        </w:rPr>
      </w:pPr>
      <w:r>
        <w:rPr>
          <w:rFonts w:hint="eastAsia"/>
          <w:color w:val="0000FF"/>
          <w:lang w:val="en-US" w:eastAsia="zh-CN"/>
        </w:rPr>
        <w:t>4.2.6.3陆生动物</w:t>
      </w:r>
    </w:p>
    <w:p>
      <w:pPr>
        <w:bidi w:val="0"/>
        <w:rPr>
          <w:rFonts w:hint="eastAsia"/>
          <w:color w:val="0000FF"/>
        </w:rPr>
      </w:pPr>
      <w:r>
        <w:rPr>
          <w:rFonts w:hint="eastAsia"/>
          <w:color w:val="0000FF"/>
        </w:rPr>
        <w:t>根据实地调查结果，项目区及影响范围内分布的野生动物主要为田鼠，麻雀、</w:t>
      </w:r>
      <w:r>
        <w:rPr>
          <w:rFonts w:hint="eastAsia"/>
          <w:color w:val="0000FF"/>
          <w:lang w:eastAsia="zh-CN"/>
        </w:rPr>
        <w:t>草兔</w:t>
      </w:r>
      <w:r>
        <w:rPr>
          <w:rFonts w:hint="eastAsia"/>
          <w:color w:val="0000FF"/>
        </w:rPr>
        <w:t>等。场址区域无自然保护区，也无国家级及自治区级保护野生动物。</w:t>
      </w:r>
    </w:p>
    <w:p>
      <w:pPr>
        <w:pStyle w:val="22"/>
        <w:bidi w:val="0"/>
        <w:rPr>
          <w:rFonts w:hint="eastAsia"/>
          <w:b/>
          <w:bCs/>
          <w:color w:val="0000FF"/>
          <w:lang w:val="en-US" w:eastAsia="zh-CN"/>
        </w:rPr>
      </w:pPr>
      <w:r>
        <w:rPr>
          <w:rFonts w:hint="eastAsia"/>
          <w:b/>
          <w:bCs/>
          <w:color w:val="0000FF"/>
          <w:lang w:val="en-US" w:eastAsia="zh-CN"/>
        </w:rPr>
        <w:t>表4.2-11区域主要脊椎动物名录及分布</w:t>
      </w:r>
    </w:p>
    <w:tbl>
      <w:tblPr>
        <w:tblStyle w:val="17"/>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084"/>
        <w:gridCol w:w="1865"/>
        <w:gridCol w:w="913"/>
        <w:gridCol w:w="3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4" w:type="dxa"/>
            <w:tcBorders>
              <w:tl2br w:val="nil"/>
              <w:tr2bl w:val="nil"/>
            </w:tcBorders>
            <w:noWrap/>
            <w:vAlign w:val="center"/>
          </w:tcPr>
          <w:p>
            <w:pPr>
              <w:pStyle w:val="22"/>
              <w:bidi w:val="0"/>
              <w:rPr>
                <w:rFonts w:hint="eastAsia"/>
                <w:color w:val="0000FF"/>
              </w:rPr>
            </w:pPr>
            <w:r>
              <w:rPr>
                <w:rFonts w:hint="eastAsia"/>
                <w:color w:val="0000FF"/>
                <w:lang w:val="en-US" w:eastAsia="zh-CN"/>
              </w:rPr>
              <w:t>序号</w:t>
            </w:r>
          </w:p>
        </w:tc>
        <w:tc>
          <w:tcPr>
            <w:tcW w:w="1084" w:type="dxa"/>
            <w:tcBorders>
              <w:tl2br w:val="nil"/>
              <w:tr2bl w:val="nil"/>
            </w:tcBorders>
            <w:noWrap/>
            <w:vAlign w:val="center"/>
          </w:tcPr>
          <w:p>
            <w:pPr>
              <w:pStyle w:val="22"/>
              <w:bidi w:val="0"/>
              <w:rPr>
                <w:rFonts w:hint="eastAsia"/>
                <w:color w:val="0000FF"/>
              </w:rPr>
            </w:pPr>
            <w:r>
              <w:rPr>
                <w:rFonts w:hint="eastAsia"/>
                <w:color w:val="0000FF"/>
                <w:lang w:val="en-US" w:eastAsia="zh-CN"/>
              </w:rPr>
              <w:t>中文名称</w:t>
            </w:r>
          </w:p>
        </w:tc>
        <w:tc>
          <w:tcPr>
            <w:tcW w:w="1865" w:type="dxa"/>
            <w:tcBorders>
              <w:tl2br w:val="nil"/>
              <w:tr2bl w:val="nil"/>
            </w:tcBorders>
            <w:noWrap/>
            <w:vAlign w:val="center"/>
          </w:tcPr>
          <w:p>
            <w:pPr>
              <w:pStyle w:val="22"/>
              <w:bidi w:val="0"/>
              <w:rPr>
                <w:rFonts w:hint="eastAsia"/>
                <w:color w:val="0000FF"/>
              </w:rPr>
            </w:pPr>
            <w:r>
              <w:rPr>
                <w:rFonts w:hint="eastAsia"/>
                <w:color w:val="0000FF"/>
                <w:lang w:val="en-US" w:eastAsia="zh-CN"/>
              </w:rPr>
              <w:t>学名</w:t>
            </w:r>
          </w:p>
        </w:tc>
        <w:tc>
          <w:tcPr>
            <w:tcW w:w="913" w:type="dxa"/>
            <w:tcBorders>
              <w:tl2br w:val="nil"/>
              <w:tr2bl w:val="nil"/>
            </w:tcBorders>
            <w:noWrap/>
            <w:vAlign w:val="center"/>
          </w:tcPr>
          <w:p>
            <w:pPr>
              <w:pStyle w:val="22"/>
              <w:bidi w:val="0"/>
              <w:rPr>
                <w:rFonts w:hint="eastAsia"/>
                <w:color w:val="0000FF"/>
              </w:rPr>
            </w:pPr>
            <w:r>
              <w:rPr>
                <w:rFonts w:hint="eastAsia"/>
                <w:color w:val="0000FF"/>
                <w:lang w:val="en-US" w:eastAsia="zh-CN"/>
              </w:rPr>
              <w:t>科名</w:t>
            </w:r>
          </w:p>
        </w:tc>
        <w:tc>
          <w:tcPr>
            <w:tcW w:w="3573" w:type="dxa"/>
            <w:tcBorders>
              <w:tl2br w:val="nil"/>
              <w:tr2bl w:val="nil"/>
            </w:tcBorders>
            <w:noWrap/>
            <w:vAlign w:val="center"/>
          </w:tcPr>
          <w:p>
            <w:pPr>
              <w:pStyle w:val="22"/>
              <w:bidi w:val="0"/>
              <w:rPr>
                <w:rFonts w:hint="eastAsia"/>
                <w:color w:val="0000FF"/>
              </w:rPr>
            </w:pPr>
            <w:r>
              <w:rPr>
                <w:rFonts w:hint="eastAsia"/>
                <w:color w:val="0000FF"/>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4" w:type="dxa"/>
            <w:tcBorders>
              <w:tl2br w:val="nil"/>
              <w:tr2bl w:val="nil"/>
            </w:tcBorders>
            <w:noWrap/>
            <w:vAlign w:val="center"/>
          </w:tcPr>
          <w:p>
            <w:pPr>
              <w:pStyle w:val="22"/>
              <w:bidi w:val="0"/>
              <w:rPr>
                <w:rFonts w:hint="eastAsia"/>
                <w:color w:val="0000FF"/>
                <w:lang w:val="en-US" w:eastAsia="zh-CN"/>
              </w:rPr>
            </w:pPr>
            <w:r>
              <w:rPr>
                <w:rFonts w:hint="eastAsia"/>
                <w:color w:val="0000FF"/>
                <w:lang w:val="en-US" w:eastAsia="zh-CN"/>
              </w:rPr>
              <w:t>1</w:t>
            </w:r>
          </w:p>
        </w:tc>
        <w:tc>
          <w:tcPr>
            <w:tcW w:w="1084" w:type="dxa"/>
            <w:tcBorders>
              <w:tl2br w:val="nil"/>
              <w:tr2bl w:val="nil"/>
            </w:tcBorders>
            <w:noWrap/>
            <w:vAlign w:val="center"/>
          </w:tcPr>
          <w:p>
            <w:pPr>
              <w:pStyle w:val="22"/>
              <w:bidi w:val="0"/>
              <w:rPr>
                <w:rFonts w:hint="eastAsia"/>
                <w:color w:val="0000FF"/>
              </w:rPr>
            </w:pPr>
            <w:r>
              <w:rPr>
                <w:rFonts w:hint="eastAsia"/>
                <w:color w:val="0000FF"/>
                <w:lang w:val="en-US" w:eastAsia="zh-CN"/>
              </w:rPr>
              <w:t>草兔</w:t>
            </w:r>
          </w:p>
        </w:tc>
        <w:tc>
          <w:tcPr>
            <w:tcW w:w="1865" w:type="dxa"/>
            <w:tcBorders>
              <w:tl2br w:val="nil"/>
              <w:tr2bl w:val="nil"/>
            </w:tcBorders>
            <w:noWrap/>
            <w:vAlign w:val="center"/>
          </w:tcPr>
          <w:p>
            <w:pPr>
              <w:pStyle w:val="22"/>
              <w:bidi w:val="0"/>
              <w:rPr>
                <w:rFonts w:hint="eastAsia"/>
                <w:color w:val="0000FF"/>
              </w:rPr>
            </w:pPr>
            <w:r>
              <w:rPr>
                <w:rFonts w:hint="eastAsia"/>
                <w:color w:val="0000FF"/>
                <w:lang w:val="en-US" w:eastAsia="zh-CN"/>
              </w:rPr>
              <w:t>Lepuscapensis</w:t>
            </w:r>
          </w:p>
        </w:tc>
        <w:tc>
          <w:tcPr>
            <w:tcW w:w="913" w:type="dxa"/>
            <w:tcBorders>
              <w:tl2br w:val="nil"/>
              <w:tr2bl w:val="nil"/>
            </w:tcBorders>
            <w:noWrap/>
            <w:vAlign w:val="center"/>
          </w:tcPr>
          <w:p>
            <w:pPr>
              <w:pStyle w:val="22"/>
              <w:bidi w:val="0"/>
              <w:rPr>
                <w:rFonts w:hint="eastAsia"/>
                <w:color w:val="0000FF"/>
                <w:lang w:eastAsia="zh-CN"/>
              </w:rPr>
            </w:pPr>
            <w:r>
              <w:rPr>
                <w:rFonts w:hint="eastAsia"/>
                <w:color w:val="0000FF"/>
                <w:lang w:eastAsia="zh-CN"/>
              </w:rPr>
              <w:t>兔科</w:t>
            </w:r>
          </w:p>
        </w:tc>
        <w:tc>
          <w:tcPr>
            <w:tcW w:w="3573" w:type="dxa"/>
            <w:tcBorders>
              <w:tl2br w:val="nil"/>
              <w:tr2bl w:val="nil"/>
            </w:tcBorders>
            <w:noWrap/>
            <w:vAlign w:val="center"/>
          </w:tcPr>
          <w:p>
            <w:pPr>
              <w:pStyle w:val="22"/>
              <w:bidi w:val="0"/>
              <w:rPr>
                <w:rFonts w:hint="eastAsia"/>
                <w:color w:val="0000FF"/>
                <w:lang w:eastAsia="zh-CN"/>
              </w:rPr>
            </w:pPr>
            <w:r>
              <w:rPr>
                <w:rFonts w:hint="eastAsia"/>
                <w:color w:val="0000FF"/>
                <w:lang w:eastAsia="zh-CN"/>
              </w:rPr>
              <w:t>适应力强，分布广泛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94" w:type="dxa"/>
            <w:tcBorders>
              <w:tl2br w:val="nil"/>
              <w:tr2bl w:val="nil"/>
            </w:tcBorders>
            <w:noWrap/>
            <w:vAlign w:val="center"/>
          </w:tcPr>
          <w:p>
            <w:pPr>
              <w:pStyle w:val="22"/>
              <w:bidi w:val="0"/>
              <w:rPr>
                <w:rFonts w:hint="eastAsia"/>
                <w:color w:val="0000FF"/>
                <w:lang w:val="en-US" w:eastAsia="zh-CN"/>
              </w:rPr>
            </w:pPr>
            <w:r>
              <w:rPr>
                <w:rFonts w:hint="eastAsia"/>
                <w:color w:val="0000FF"/>
                <w:lang w:val="en-US" w:eastAsia="zh-CN"/>
              </w:rPr>
              <w:t>2</w:t>
            </w:r>
          </w:p>
        </w:tc>
        <w:tc>
          <w:tcPr>
            <w:tcW w:w="1084" w:type="dxa"/>
            <w:tcBorders>
              <w:tl2br w:val="nil"/>
              <w:tr2bl w:val="nil"/>
            </w:tcBorders>
            <w:noWrap/>
            <w:vAlign w:val="center"/>
          </w:tcPr>
          <w:p>
            <w:pPr>
              <w:pStyle w:val="22"/>
              <w:bidi w:val="0"/>
              <w:rPr>
                <w:rFonts w:hint="eastAsia"/>
                <w:color w:val="0000FF"/>
              </w:rPr>
            </w:pPr>
            <w:r>
              <w:rPr>
                <w:rFonts w:hint="eastAsia"/>
                <w:color w:val="0000FF"/>
                <w:lang w:val="en-US" w:eastAsia="zh-CN"/>
              </w:rPr>
              <w:t>荒漠麻蜥</w:t>
            </w:r>
          </w:p>
        </w:tc>
        <w:tc>
          <w:tcPr>
            <w:tcW w:w="1865" w:type="dxa"/>
            <w:tcBorders>
              <w:tl2br w:val="nil"/>
              <w:tr2bl w:val="nil"/>
            </w:tcBorders>
            <w:noWrap/>
            <w:vAlign w:val="center"/>
          </w:tcPr>
          <w:p>
            <w:pPr>
              <w:pStyle w:val="22"/>
              <w:bidi w:val="0"/>
              <w:rPr>
                <w:rFonts w:hint="eastAsia"/>
                <w:color w:val="0000FF"/>
              </w:rPr>
            </w:pPr>
            <w:r>
              <w:rPr>
                <w:rFonts w:hint="eastAsia"/>
                <w:color w:val="0000FF"/>
                <w:lang w:val="en-US" w:eastAsia="zh-CN"/>
              </w:rPr>
              <w:t>Eremiasprzewalski</w:t>
            </w:r>
          </w:p>
        </w:tc>
        <w:tc>
          <w:tcPr>
            <w:tcW w:w="913" w:type="dxa"/>
            <w:tcBorders>
              <w:tl2br w:val="nil"/>
              <w:tr2bl w:val="nil"/>
            </w:tcBorders>
            <w:noWrap/>
            <w:vAlign w:val="center"/>
          </w:tcPr>
          <w:p>
            <w:pPr>
              <w:pStyle w:val="22"/>
              <w:bidi w:val="0"/>
              <w:rPr>
                <w:rFonts w:hint="eastAsia"/>
                <w:color w:val="0000FF"/>
                <w:lang w:eastAsia="zh-CN"/>
              </w:rPr>
            </w:pPr>
            <w:r>
              <w:rPr>
                <w:rFonts w:hint="eastAsia"/>
                <w:color w:val="0000FF"/>
                <w:lang w:eastAsia="zh-CN"/>
              </w:rPr>
              <w:t>蜥蜴科</w:t>
            </w:r>
          </w:p>
        </w:tc>
        <w:tc>
          <w:tcPr>
            <w:tcW w:w="3573" w:type="dxa"/>
            <w:tcBorders>
              <w:tl2br w:val="nil"/>
              <w:tr2bl w:val="nil"/>
            </w:tcBorders>
            <w:noWrap/>
            <w:vAlign w:val="center"/>
          </w:tcPr>
          <w:p>
            <w:pPr>
              <w:pStyle w:val="22"/>
              <w:bidi w:val="0"/>
              <w:rPr>
                <w:rFonts w:hint="eastAsia"/>
                <w:color w:val="0000FF"/>
                <w:lang w:eastAsia="zh-CN"/>
              </w:rPr>
            </w:pPr>
            <w:r>
              <w:rPr>
                <w:rFonts w:hint="eastAsia"/>
                <w:color w:val="0000FF"/>
                <w:lang w:eastAsia="zh-CN"/>
              </w:rPr>
              <w:t>体粗壮，体背为黄褐色，有蓝黑色虫纹斑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4" w:type="dxa"/>
            <w:tcBorders>
              <w:tl2br w:val="nil"/>
              <w:tr2bl w:val="nil"/>
            </w:tcBorders>
            <w:noWrap/>
            <w:vAlign w:val="center"/>
          </w:tcPr>
          <w:p>
            <w:pPr>
              <w:pStyle w:val="22"/>
              <w:bidi w:val="0"/>
              <w:rPr>
                <w:rFonts w:hint="eastAsia"/>
                <w:color w:val="0000FF"/>
                <w:lang w:val="en-US" w:eastAsia="zh-CN"/>
              </w:rPr>
            </w:pPr>
            <w:r>
              <w:rPr>
                <w:rFonts w:hint="eastAsia"/>
                <w:color w:val="0000FF"/>
                <w:lang w:val="en-US" w:eastAsia="zh-CN"/>
              </w:rPr>
              <w:t>3</w:t>
            </w:r>
          </w:p>
        </w:tc>
        <w:tc>
          <w:tcPr>
            <w:tcW w:w="1084" w:type="dxa"/>
            <w:tcBorders>
              <w:tl2br w:val="nil"/>
              <w:tr2bl w:val="nil"/>
            </w:tcBorders>
            <w:noWrap/>
            <w:vAlign w:val="center"/>
          </w:tcPr>
          <w:p>
            <w:pPr>
              <w:pStyle w:val="22"/>
              <w:bidi w:val="0"/>
              <w:rPr>
                <w:rFonts w:hint="eastAsia"/>
                <w:color w:val="0000FF"/>
              </w:rPr>
            </w:pPr>
            <w:r>
              <w:rPr>
                <w:rFonts w:hint="eastAsia"/>
                <w:color w:val="0000FF"/>
                <w:lang w:val="en-US" w:eastAsia="zh-CN"/>
              </w:rPr>
              <w:t>麻雀</w:t>
            </w:r>
          </w:p>
        </w:tc>
        <w:tc>
          <w:tcPr>
            <w:tcW w:w="1865" w:type="dxa"/>
            <w:tcBorders>
              <w:tl2br w:val="nil"/>
              <w:tr2bl w:val="nil"/>
            </w:tcBorders>
            <w:noWrap/>
            <w:vAlign w:val="center"/>
          </w:tcPr>
          <w:p>
            <w:pPr>
              <w:pStyle w:val="22"/>
              <w:bidi w:val="0"/>
              <w:rPr>
                <w:rFonts w:hint="eastAsia"/>
                <w:color w:val="0000FF"/>
              </w:rPr>
            </w:pPr>
            <w:r>
              <w:rPr>
                <w:rFonts w:hint="eastAsia"/>
                <w:color w:val="0000FF"/>
              </w:rPr>
              <w:t>Passermontanus</w:t>
            </w:r>
          </w:p>
        </w:tc>
        <w:tc>
          <w:tcPr>
            <w:tcW w:w="913" w:type="dxa"/>
            <w:tcBorders>
              <w:tl2br w:val="nil"/>
              <w:tr2bl w:val="nil"/>
            </w:tcBorders>
            <w:noWrap/>
            <w:vAlign w:val="center"/>
          </w:tcPr>
          <w:p>
            <w:pPr>
              <w:pStyle w:val="22"/>
              <w:bidi w:val="0"/>
              <w:rPr>
                <w:rFonts w:hint="eastAsia"/>
                <w:color w:val="0000FF"/>
                <w:lang w:val="en-US" w:eastAsia="zh-CN"/>
              </w:rPr>
            </w:pPr>
            <w:r>
              <w:rPr>
                <w:rFonts w:hint="eastAsia"/>
                <w:color w:val="0000FF"/>
                <w:lang w:val="en-US" w:eastAsia="zh-CN"/>
              </w:rPr>
              <w:t>雀科</w:t>
            </w:r>
          </w:p>
        </w:tc>
        <w:tc>
          <w:tcPr>
            <w:tcW w:w="3573" w:type="dxa"/>
            <w:tcBorders>
              <w:tl2br w:val="nil"/>
              <w:tr2bl w:val="nil"/>
            </w:tcBorders>
            <w:noWrap/>
            <w:vAlign w:val="center"/>
          </w:tcPr>
          <w:p>
            <w:pPr>
              <w:pStyle w:val="22"/>
              <w:bidi w:val="0"/>
              <w:rPr>
                <w:rFonts w:hint="eastAsia"/>
                <w:color w:val="0000FF"/>
              </w:rPr>
            </w:pPr>
            <w:r>
              <w:rPr>
                <w:rFonts w:hint="eastAsia"/>
                <w:color w:val="0000FF"/>
                <w:lang w:eastAsia="zh-CN"/>
              </w:rPr>
              <w:t>适应力强，分布相当广泛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94" w:type="dxa"/>
            <w:tcBorders>
              <w:tl2br w:val="nil"/>
              <w:tr2bl w:val="nil"/>
            </w:tcBorders>
            <w:noWrap/>
            <w:vAlign w:val="center"/>
          </w:tcPr>
          <w:p>
            <w:pPr>
              <w:pStyle w:val="22"/>
              <w:bidi w:val="0"/>
              <w:rPr>
                <w:rFonts w:hint="eastAsia"/>
                <w:color w:val="0000FF"/>
                <w:lang w:val="en-US" w:eastAsia="zh-CN"/>
              </w:rPr>
            </w:pPr>
            <w:r>
              <w:rPr>
                <w:rFonts w:hint="eastAsia"/>
                <w:color w:val="0000FF"/>
                <w:lang w:val="en-US" w:eastAsia="zh-CN"/>
              </w:rPr>
              <w:t>4</w:t>
            </w:r>
          </w:p>
        </w:tc>
        <w:tc>
          <w:tcPr>
            <w:tcW w:w="1084" w:type="dxa"/>
            <w:tcBorders>
              <w:tl2br w:val="nil"/>
              <w:tr2bl w:val="nil"/>
            </w:tcBorders>
            <w:noWrap/>
            <w:vAlign w:val="center"/>
          </w:tcPr>
          <w:p>
            <w:pPr>
              <w:pStyle w:val="22"/>
              <w:bidi w:val="0"/>
              <w:rPr>
                <w:rFonts w:hint="eastAsia"/>
                <w:color w:val="0000FF"/>
              </w:rPr>
            </w:pPr>
            <w:r>
              <w:rPr>
                <w:rFonts w:hint="eastAsia"/>
                <w:color w:val="0000FF"/>
                <w:lang w:val="en-US" w:eastAsia="zh-CN"/>
              </w:rPr>
              <w:t>田鼠</w:t>
            </w:r>
          </w:p>
        </w:tc>
        <w:tc>
          <w:tcPr>
            <w:tcW w:w="1865" w:type="dxa"/>
            <w:tcBorders>
              <w:tl2br w:val="nil"/>
              <w:tr2bl w:val="nil"/>
            </w:tcBorders>
            <w:noWrap/>
            <w:vAlign w:val="center"/>
          </w:tcPr>
          <w:p>
            <w:pPr>
              <w:pStyle w:val="22"/>
              <w:bidi w:val="0"/>
              <w:rPr>
                <w:rFonts w:hint="eastAsia"/>
                <w:color w:val="0000FF"/>
              </w:rPr>
            </w:pPr>
            <w:r>
              <w:rPr>
                <w:rFonts w:hint="eastAsia"/>
                <w:color w:val="0000FF"/>
              </w:rPr>
              <w:t>Microtinae</w:t>
            </w:r>
          </w:p>
        </w:tc>
        <w:tc>
          <w:tcPr>
            <w:tcW w:w="913" w:type="dxa"/>
            <w:tcBorders>
              <w:tl2br w:val="nil"/>
              <w:tr2bl w:val="nil"/>
            </w:tcBorders>
            <w:noWrap/>
            <w:vAlign w:val="center"/>
          </w:tcPr>
          <w:p>
            <w:pPr>
              <w:pStyle w:val="22"/>
              <w:bidi w:val="0"/>
              <w:rPr>
                <w:rFonts w:hint="eastAsia"/>
                <w:color w:val="0000FF"/>
                <w:lang w:eastAsia="zh-CN"/>
              </w:rPr>
            </w:pPr>
            <w:r>
              <w:rPr>
                <w:rFonts w:hint="eastAsia"/>
                <w:color w:val="0000FF"/>
                <w:lang w:eastAsia="zh-CN"/>
              </w:rPr>
              <w:t>仓鼠科</w:t>
            </w:r>
          </w:p>
        </w:tc>
        <w:tc>
          <w:tcPr>
            <w:tcW w:w="3573" w:type="dxa"/>
            <w:tcBorders>
              <w:tl2br w:val="nil"/>
              <w:tr2bl w:val="nil"/>
            </w:tcBorders>
            <w:noWrap/>
            <w:vAlign w:val="center"/>
          </w:tcPr>
          <w:p>
            <w:pPr>
              <w:pStyle w:val="22"/>
              <w:bidi w:val="0"/>
              <w:rPr>
                <w:rFonts w:hint="eastAsia"/>
                <w:color w:val="0000FF"/>
              </w:rPr>
            </w:pPr>
            <w:r>
              <w:rPr>
                <w:rFonts w:hint="eastAsia"/>
                <w:color w:val="0000FF"/>
                <w:lang w:eastAsia="zh-CN"/>
              </w:rPr>
              <w:t>适应力强，分布相当广泛</w:t>
            </w:r>
          </w:p>
        </w:tc>
      </w:tr>
    </w:tbl>
    <w:p>
      <w:pPr>
        <w:bidi w:val="0"/>
        <w:rPr>
          <w:color w:val="0000FF"/>
        </w:rPr>
      </w:pPr>
      <w:r>
        <w:rPr>
          <w:rFonts w:hint="eastAsia"/>
          <w:color w:val="0000FF"/>
        </w:rPr>
        <w:t>项目所在区域附近动物种类较为简单，无大型野生动物活动</w:t>
      </w:r>
      <w:r>
        <w:rPr>
          <w:rFonts w:hint="eastAsia"/>
          <w:color w:val="0000FF"/>
          <w:lang w:eastAsia="zh-CN"/>
        </w:rPr>
        <w:t>，</w:t>
      </w:r>
      <w:r>
        <w:rPr>
          <w:rFonts w:hint="eastAsia"/>
          <w:color w:val="0000FF"/>
        </w:rPr>
        <w:t>无国家及自治区级重要野生保护动物，无国家及自治区保护的珍稀、濒危物种分布。</w:t>
      </w:r>
      <w:r>
        <w:rPr>
          <w:color w:val="0000FF"/>
        </w:rPr>
        <w:t>总的来看，评价区动物种类并不丰富，动物多样性水平不高。</w:t>
      </w:r>
    </w:p>
    <w:p>
      <w:pPr>
        <w:rPr>
          <w:color w:val="0000FF"/>
        </w:rPr>
      </w:pPr>
      <w:r>
        <w:rPr>
          <w:color w:val="0000FF"/>
        </w:rPr>
        <w:br w:type="page"/>
      </w:r>
    </w:p>
    <w:p>
      <w:pPr>
        <w:pStyle w:val="4"/>
        <w:bidi w:val="0"/>
        <w:rPr>
          <w:color w:val="0000FF"/>
        </w:rPr>
      </w:pPr>
      <w:bookmarkStart w:id="85" w:name="_Toc18148"/>
      <w:r>
        <w:rPr>
          <w:color w:val="0000FF"/>
        </w:rPr>
        <w:t>5环境影响预测与评价</w:t>
      </w:r>
      <w:bookmarkEnd w:id="85"/>
    </w:p>
    <w:p>
      <w:pPr>
        <w:pStyle w:val="5"/>
        <w:bidi w:val="0"/>
        <w:rPr>
          <w:color w:val="0000FF"/>
        </w:rPr>
      </w:pPr>
      <w:bookmarkStart w:id="86" w:name="_Toc1252"/>
      <w:r>
        <w:rPr>
          <w:color w:val="0000FF"/>
        </w:rPr>
        <w:t>5.1施工期影响分析</w:t>
      </w:r>
      <w:bookmarkEnd w:id="86"/>
    </w:p>
    <w:p>
      <w:pPr>
        <w:bidi w:val="0"/>
        <w:rPr>
          <w:color w:val="0000FF"/>
        </w:rPr>
      </w:pPr>
      <w:r>
        <w:rPr>
          <w:rFonts w:hint="eastAsia"/>
          <w:color w:val="0000FF"/>
          <w:lang w:val="en-US" w:eastAsia="zh-CN"/>
        </w:rPr>
        <w:t>由于本项目现已施工完毕，故施工期环境影响分析以回顾性评价为主。本项目施工期经现场调查无环保遗留问题。</w:t>
      </w:r>
    </w:p>
    <w:p>
      <w:pPr>
        <w:pStyle w:val="6"/>
        <w:bidi w:val="0"/>
        <w:rPr>
          <w:color w:val="0000FF"/>
        </w:rPr>
      </w:pPr>
      <w:bookmarkStart w:id="87" w:name="_Toc6498"/>
      <w:r>
        <w:rPr>
          <w:color w:val="0000FF"/>
        </w:rPr>
        <w:t>5.1.1施工大气影响分析</w:t>
      </w:r>
      <w:bookmarkEnd w:id="87"/>
    </w:p>
    <w:p>
      <w:pPr>
        <w:bidi w:val="0"/>
        <w:rPr>
          <w:rFonts w:hint="eastAsia"/>
          <w:color w:val="0000FF"/>
          <w:lang w:val="en-US" w:eastAsia="zh-CN"/>
        </w:rPr>
      </w:pPr>
      <w:r>
        <w:rPr>
          <w:rFonts w:hint="eastAsia"/>
          <w:color w:val="0000FF"/>
          <w:lang w:val="en-US" w:eastAsia="zh-CN"/>
        </w:rPr>
        <w:t>工程施工对环境空气质量的影响主要为土方开挖和填筑、建筑材料运输等产生的粉尘与扬尘，以及施工机械和运输车辆燃油排放的废气等，其主要污染物为悬浮颗粒物。但是施工区域地形开阔，大气污染物扩散条件良好，因此施工产生的粉尘及扬尘对区域环境空气质量产生的影响不大，不会改变沿线区域的环境空气质量。</w:t>
      </w:r>
    </w:p>
    <w:p>
      <w:pPr>
        <w:bidi w:val="0"/>
        <w:rPr>
          <w:rFonts w:hint="default"/>
          <w:color w:val="0000FF"/>
          <w:lang w:val="zh-CN" w:eastAsia="zh-CN"/>
        </w:rPr>
      </w:pPr>
      <w:r>
        <w:rPr>
          <w:rFonts w:hint="default"/>
          <w:color w:val="0000FF"/>
          <w:lang w:val="zh-CN" w:eastAsia="zh-CN"/>
        </w:rPr>
        <w:t>①土方开挖、回填扬尘</w:t>
      </w:r>
    </w:p>
    <w:p>
      <w:pPr>
        <w:bidi w:val="0"/>
        <w:rPr>
          <w:rFonts w:hint="default"/>
          <w:color w:val="0000FF"/>
          <w:lang w:val="zh-CN" w:eastAsia="zh-CN"/>
        </w:rPr>
      </w:pPr>
      <w:r>
        <w:rPr>
          <w:rFonts w:hint="eastAsia"/>
          <w:color w:val="0000FF"/>
          <w:lang w:val="en-US" w:eastAsia="zh-CN"/>
        </w:rPr>
        <w:t>通过调查，施工时已</w:t>
      </w:r>
      <w:r>
        <w:rPr>
          <w:rFonts w:hint="default"/>
          <w:color w:val="0000FF"/>
          <w:lang w:val="zh-CN" w:eastAsia="zh-CN"/>
        </w:rPr>
        <w:t>设置清洁有效的施工围挡</w:t>
      </w:r>
      <w:r>
        <w:rPr>
          <w:rFonts w:hint="eastAsia"/>
          <w:color w:val="0000FF"/>
          <w:lang w:val="zh-CN" w:eastAsia="zh-CN"/>
        </w:rPr>
        <w:t>、</w:t>
      </w:r>
      <w:r>
        <w:rPr>
          <w:rFonts w:hint="eastAsia"/>
          <w:color w:val="0000FF"/>
          <w:lang w:val="en-US" w:eastAsia="zh-CN"/>
        </w:rPr>
        <w:t>防尘网苫盖</w:t>
      </w:r>
      <w:r>
        <w:rPr>
          <w:rFonts w:hint="default"/>
          <w:color w:val="0000FF"/>
          <w:lang w:val="zh-CN" w:eastAsia="zh-CN"/>
        </w:rPr>
        <w:t>，同时对施工现场定时洒水抑尘。采取以上措施后，施工扬尘对周围环境空气质量影响较小。</w:t>
      </w:r>
    </w:p>
    <w:p>
      <w:pPr>
        <w:bidi w:val="0"/>
        <w:rPr>
          <w:rFonts w:hint="default"/>
          <w:color w:val="0000FF"/>
          <w:lang w:val="en-US" w:eastAsia="zh-CN"/>
        </w:rPr>
      </w:pPr>
      <w:r>
        <w:rPr>
          <w:rFonts w:hint="default"/>
          <w:color w:val="0000FF"/>
          <w:lang w:val="en-US" w:eastAsia="zh-CN"/>
        </w:rPr>
        <w:t>②堆场扬尘</w:t>
      </w:r>
    </w:p>
    <w:p>
      <w:pPr>
        <w:bidi w:val="0"/>
        <w:rPr>
          <w:rFonts w:hint="default"/>
          <w:color w:val="0000FF"/>
          <w:lang w:val="en-US" w:eastAsia="zh-CN"/>
        </w:rPr>
      </w:pPr>
      <w:r>
        <w:rPr>
          <w:rFonts w:hint="default"/>
          <w:color w:val="0000FF"/>
          <w:lang w:val="en-US" w:eastAsia="zh-CN"/>
        </w:rPr>
        <w:t>本项目建筑材料及土方开挖等物料暂存于工程区范围内，砂石粉料、土方及裸露的地表</w:t>
      </w:r>
      <w:r>
        <w:rPr>
          <w:rFonts w:hint="eastAsia"/>
          <w:color w:val="0000FF"/>
          <w:lang w:val="en-US" w:eastAsia="zh-CN"/>
        </w:rPr>
        <w:t>在</w:t>
      </w:r>
      <w:r>
        <w:rPr>
          <w:rFonts w:hint="default"/>
          <w:color w:val="0000FF"/>
          <w:lang w:val="en-US" w:eastAsia="zh-CN"/>
        </w:rPr>
        <w:t>气候干燥且有风的情况下，会产生大量的扬尘</w:t>
      </w:r>
      <w:r>
        <w:rPr>
          <w:rFonts w:hint="eastAsia"/>
          <w:color w:val="0000FF"/>
          <w:lang w:val="en-US" w:eastAsia="zh-CN"/>
        </w:rPr>
        <w:t>，</w:t>
      </w:r>
      <w:r>
        <w:rPr>
          <w:rFonts w:hint="default"/>
          <w:color w:val="0000FF"/>
          <w:lang w:val="en-US" w:eastAsia="zh-CN"/>
        </w:rPr>
        <w:t>施工期</w:t>
      </w:r>
      <w:r>
        <w:rPr>
          <w:rFonts w:hint="eastAsia"/>
          <w:color w:val="0000FF"/>
          <w:lang w:val="en-US" w:eastAsia="zh-CN"/>
        </w:rPr>
        <w:t>间</w:t>
      </w:r>
      <w:r>
        <w:rPr>
          <w:rFonts w:hint="default"/>
          <w:color w:val="0000FF"/>
          <w:lang w:val="en-US" w:eastAsia="zh-CN"/>
        </w:rPr>
        <w:t>对堆存物料采用</w:t>
      </w:r>
      <w:r>
        <w:rPr>
          <w:rFonts w:hint="eastAsia"/>
          <w:color w:val="0000FF"/>
          <w:lang w:val="en-US" w:eastAsia="zh-CN"/>
        </w:rPr>
        <w:t>防尘网苫盖并</w:t>
      </w:r>
      <w:r>
        <w:rPr>
          <w:rFonts w:hint="default"/>
          <w:color w:val="0000FF"/>
          <w:lang w:val="en-US" w:eastAsia="zh-CN"/>
        </w:rPr>
        <w:t>对易产尘物料定时洒水</w:t>
      </w:r>
      <w:r>
        <w:rPr>
          <w:rFonts w:hint="eastAsia"/>
          <w:color w:val="0000FF"/>
          <w:lang w:val="en-US" w:eastAsia="zh-CN"/>
        </w:rPr>
        <w:t>等措施</w:t>
      </w:r>
      <w:r>
        <w:rPr>
          <w:rFonts w:hint="default"/>
          <w:color w:val="0000FF"/>
          <w:lang w:val="en-US" w:eastAsia="zh-CN"/>
        </w:rPr>
        <w:t>。</w:t>
      </w:r>
    </w:p>
    <w:p>
      <w:pPr>
        <w:bidi w:val="0"/>
        <w:rPr>
          <w:rFonts w:hint="default"/>
          <w:color w:val="0000FF"/>
          <w:lang w:val="en-US" w:eastAsia="zh-CN"/>
        </w:rPr>
      </w:pPr>
      <w:r>
        <w:rPr>
          <w:rFonts w:hint="eastAsia"/>
          <w:color w:val="0000FF"/>
          <w:lang w:val="en-US" w:eastAsia="zh-CN"/>
        </w:rPr>
        <w:t>③</w:t>
      </w:r>
      <w:r>
        <w:rPr>
          <w:rFonts w:hint="default"/>
          <w:color w:val="0000FF"/>
          <w:lang w:val="en-US" w:eastAsia="zh-CN"/>
        </w:rPr>
        <w:t>车辆运输扬尘</w:t>
      </w:r>
    </w:p>
    <w:p>
      <w:pPr>
        <w:bidi w:val="0"/>
        <w:rPr>
          <w:rFonts w:hint="default"/>
          <w:color w:val="0000FF"/>
          <w:lang w:val="en-US" w:eastAsia="zh-CN"/>
        </w:rPr>
      </w:pPr>
      <w:r>
        <w:rPr>
          <w:rFonts w:hint="eastAsia"/>
          <w:color w:val="0000FF"/>
          <w:lang w:val="en-US" w:eastAsia="zh-CN"/>
        </w:rPr>
        <w:t>通过调查，</w:t>
      </w:r>
      <w:r>
        <w:rPr>
          <w:rFonts w:hint="default"/>
          <w:color w:val="0000FF"/>
          <w:lang w:val="en-US" w:eastAsia="zh-CN"/>
        </w:rPr>
        <w:t>在施工过程中</w:t>
      </w:r>
      <w:r>
        <w:rPr>
          <w:rFonts w:hint="eastAsia"/>
          <w:color w:val="0000FF"/>
          <w:lang w:val="en-US" w:eastAsia="zh-CN"/>
        </w:rPr>
        <w:t>已采取</w:t>
      </w:r>
      <w:r>
        <w:rPr>
          <w:rFonts w:hint="default"/>
          <w:color w:val="0000FF"/>
          <w:lang w:val="en-US" w:eastAsia="zh-CN"/>
        </w:rPr>
        <w:t>限制车辆行驶速度及路面洒水</w:t>
      </w:r>
      <w:r>
        <w:rPr>
          <w:rFonts w:hint="eastAsia"/>
          <w:color w:val="0000FF"/>
          <w:lang w:val="en-US" w:eastAsia="zh-CN"/>
        </w:rPr>
        <w:t>降尘等措施</w:t>
      </w:r>
      <w:r>
        <w:rPr>
          <w:rFonts w:hint="default"/>
          <w:color w:val="0000FF"/>
          <w:lang w:val="en-US" w:eastAsia="zh-CN"/>
        </w:rPr>
        <w:t>。</w:t>
      </w:r>
    </w:p>
    <w:p>
      <w:pPr>
        <w:bidi w:val="0"/>
        <w:rPr>
          <w:rFonts w:hint="default"/>
          <w:color w:val="0000FF"/>
          <w:lang w:val="en-US" w:eastAsia="zh-CN"/>
        </w:rPr>
      </w:pPr>
      <w:r>
        <w:rPr>
          <w:rFonts w:hint="eastAsia"/>
          <w:color w:val="0000FF"/>
          <w:lang w:val="en-US" w:eastAsia="zh-CN"/>
        </w:rPr>
        <w:t>④</w:t>
      </w:r>
      <w:r>
        <w:rPr>
          <w:rFonts w:hint="default"/>
          <w:color w:val="0000FF"/>
          <w:lang w:val="en-US" w:eastAsia="zh-CN"/>
        </w:rPr>
        <w:t>燃油机械废气及车辆尾气</w:t>
      </w:r>
    </w:p>
    <w:p>
      <w:pPr>
        <w:bidi w:val="0"/>
        <w:rPr>
          <w:rFonts w:hint="default"/>
          <w:color w:val="0000FF"/>
          <w:lang w:val="en-US" w:eastAsia="zh-CN"/>
        </w:rPr>
      </w:pPr>
      <w:r>
        <w:rPr>
          <w:rFonts w:hint="default"/>
          <w:color w:val="0000FF"/>
          <w:lang w:val="en-US" w:eastAsia="zh-CN"/>
        </w:rPr>
        <w:t>工程施工期间燃油废气主要是施工机械、运输车辆排放废气以及柴油发电机发电产生的燃油废气，产生的污染物主要为SO</w:t>
      </w:r>
      <w:r>
        <w:rPr>
          <w:rFonts w:hint="default"/>
          <w:color w:val="0000FF"/>
          <w:vertAlign w:val="subscript"/>
          <w:lang w:val="en-US" w:eastAsia="zh-CN"/>
        </w:rPr>
        <w:t>2</w:t>
      </w:r>
      <w:r>
        <w:rPr>
          <w:rFonts w:hint="default"/>
          <w:color w:val="0000FF"/>
          <w:lang w:val="en-US" w:eastAsia="zh-CN"/>
        </w:rPr>
        <w:t>、NOx、CO、TSP。</w:t>
      </w:r>
    </w:p>
    <w:p>
      <w:pPr>
        <w:bidi w:val="0"/>
        <w:rPr>
          <w:rFonts w:hint="default"/>
          <w:color w:val="0000FF"/>
          <w:lang w:val="en-US" w:eastAsia="zh-CN"/>
        </w:rPr>
      </w:pPr>
      <w:r>
        <w:rPr>
          <w:rFonts w:hint="default"/>
          <w:color w:val="0000FF"/>
          <w:lang w:val="en-US" w:eastAsia="zh-CN"/>
        </w:rPr>
        <w:t>根据现场调查，工程施工期间使用机械主要为自卸汽车、挖掘机、推土机、载重汽车等，其中运输车辆主要集中于施工道路沿线，其他施工机械主要布置于各施工场地。</w:t>
      </w:r>
    </w:p>
    <w:p>
      <w:pPr>
        <w:bidi w:val="0"/>
        <w:rPr>
          <w:rFonts w:hint="default"/>
          <w:color w:val="0000FF"/>
          <w:lang w:val="en-US" w:eastAsia="zh-CN"/>
        </w:rPr>
      </w:pPr>
      <w:r>
        <w:rPr>
          <w:rFonts w:hint="default"/>
          <w:color w:val="0000FF"/>
          <w:lang w:val="en-US" w:eastAsia="zh-CN"/>
        </w:rPr>
        <w:t>由于本工程总体呈线性，施工线长，施工场地较小且布置分散，施工期油料使用量较少，燃油废气污染强度不大，且SO</w:t>
      </w:r>
      <w:r>
        <w:rPr>
          <w:rFonts w:hint="default"/>
          <w:color w:val="0000FF"/>
          <w:vertAlign w:val="subscript"/>
          <w:lang w:val="en-US" w:eastAsia="zh-CN"/>
        </w:rPr>
        <w:t>2</w:t>
      </w:r>
      <w:r>
        <w:rPr>
          <w:rFonts w:hint="default"/>
          <w:color w:val="0000FF"/>
          <w:lang w:val="en-US" w:eastAsia="zh-CN"/>
        </w:rPr>
        <w:t>、NOx、CO、TSP等污染物多为流动的、扩散的、间歇性排放，因此燃油废气排放影响十分有限。</w:t>
      </w:r>
    </w:p>
    <w:p>
      <w:pPr>
        <w:bidi w:val="0"/>
        <w:rPr>
          <w:rFonts w:hint="default"/>
          <w:color w:val="0000FF"/>
          <w:lang w:val="en-US" w:eastAsia="zh-CN"/>
        </w:rPr>
      </w:pPr>
      <w:r>
        <w:rPr>
          <w:rFonts w:hint="default"/>
          <w:color w:val="0000FF"/>
          <w:lang w:val="en-US" w:eastAsia="zh-CN"/>
        </w:rPr>
        <w:t>因此，施工车辆和机械作业中燃油排放的废气，没有引起工程区域环境空气质量明显降低。</w:t>
      </w:r>
    </w:p>
    <w:p>
      <w:pPr>
        <w:pStyle w:val="6"/>
        <w:rPr>
          <w:rFonts w:hint="eastAsia"/>
          <w:color w:val="0000FF"/>
          <w:lang w:val="en-US" w:eastAsia="zh-CN"/>
        </w:rPr>
      </w:pPr>
      <w:bookmarkStart w:id="88" w:name="_Toc17373"/>
      <w:r>
        <w:rPr>
          <w:rFonts w:hint="eastAsia"/>
          <w:color w:val="0000FF"/>
          <w:lang w:val="en-US" w:eastAsia="zh-CN"/>
        </w:rPr>
        <w:t>5.1.2施工废水影响分析</w:t>
      </w:r>
      <w:bookmarkEnd w:id="88"/>
    </w:p>
    <w:p>
      <w:pPr>
        <w:bidi w:val="0"/>
        <w:rPr>
          <w:rFonts w:hint="eastAsia"/>
          <w:color w:val="0000FF"/>
        </w:rPr>
      </w:pPr>
      <w:r>
        <w:rPr>
          <w:rFonts w:hint="eastAsia"/>
          <w:color w:val="0000FF"/>
        </w:rPr>
        <w:t>施工期的水污染主要有施工废水、施工人员生活废水。</w:t>
      </w:r>
    </w:p>
    <w:p>
      <w:pPr>
        <w:bidi w:val="0"/>
        <w:rPr>
          <w:rFonts w:hint="eastAsia"/>
          <w:color w:val="0000FF"/>
        </w:rPr>
      </w:pPr>
      <w:r>
        <w:rPr>
          <w:rFonts w:hint="eastAsia"/>
          <w:color w:val="0000FF"/>
          <w:lang w:eastAsia="zh-CN"/>
        </w:rPr>
        <w:t>（</w:t>
      </w:r>
      <w:r>
        <w:rPr>
          <w:rFonts w:hint="eastAsia"/>
          <w:color w:val="0000FF"/>
          <w:lang w:val="en-US" w:eastAsia="zh-CN"/>
        </w:rPr>
        <w:t>1</w:t>
      </w:r>
      <w:r>
        <w:rPr>
          <w:rFonts w:hint="eastAsia"/>
          <w:color w:val="0000FF"/>
          <w:lang w:eastAsia="zh-CN"/>
        </w:rPr>
        <w:t>）</w:t>
      </w:r>
      <w:r>
        <w:rPr>
          <w:rFonts w:hint="eastAsia"/>
          <w:color w:val="0000FF"/>
        </w:rPr>
        <w:t>施工废水</w:t>
      </w:r>
    </w:p>
    <w:p>
      <w:pPr>
        <w:bidi w:val="0"/>
        <w:rPr>
          <w:color w:val="0000FF"/>
        </w:rPr>
      </w:pPr>
      <w:r>
        <w:rPr>
          <w:color w:val="0000FF"/>
        </w:rPr>
        <w:t>施工场地废水主要为砂石料冲洗水、混凝土拌合废水及车辆机械冲洗水等。</w:t>
      </w:r>
    </w:p>
    <w:p>
      <w:pPr>
        <w:bidi w:val="0"/>
        <w:rPr>
          <w:color w:val="0000FF"/>
        </w:rPr>
      </w:pPr>
      <w:r>
        <w:rPr>
          <w:color w:val="0000FF"/>
        </w:rPr>
        <w:t>本项目</w:t>
      </w:r>
      <w:r>
        <w:rPr>
          <w:rFonts w:hint="eastAsia"/>
          <w:color w:val="0000FF"/>
          <w:lang w:val="en-US" w:eastAsia="zh-CN"/>
        </w:rPr>
        <w:t>已</w:t>
      </w:r>
      <w:r>
        <w:rPr>
          <w:color w:val="0000FF"/>
        </w:rPr>
        <w:t>在施工场地内</w:t>
      </w:r>
      <w:r>
        <w:rPr>
          <w:rFonts w:hint="eastAsia"/>
          <w:color w:val="0000FF"/>
          <w:lang w:eastAsia="zh-CN"/>
        </w:rPr>
        <w:t>设置</w:t>
      </w:r>
      <w:r>
        <w:rPr>
          <w:color w:val="0000FF"/>
        </w:rPr>
        <w:t>隔油沉淀池，废水由沉淀池收集，经沉淀除渣等处理后回用做降尘用水，</w:t>
      </w:r>
      <w:r>
        <w:rPr>
          <w:rFonts w:hint="eastAsia"/>
          <w:color w:val="0000FF"/>
          <w:lang w:val="en-US" w:eastAsia="zh-CN"/>
        </w:rPr>
        <w:t>未对周边地表水环境造成影响</w:t>
      </w:r>
      <w:r>
        <w:rPr>
          <w:color w:val="0000FF"/>
        </w:rPr>
        <w:t>。</w:t>
      </w:r>
    </w:p>
    <w:p>
      <w:pPr>
        <w:bidi w:val="0"/>
        <w:rPr>
          <w:rFonts w:hint="eastAsia"/>
          <w:color w:val="0000FF"/>
          <w:lang w:val="en-US" w:eastAsia="zh-CN"/>
        </w:rPr>
      </w:pPr>
      <w:r>
        <w:rPr>
          <w:rFonts w:hint="eastAsia"/>
          <w:color w:val="0000FF"/>
          <w:lang w:val="en-US" w:eastAsia="zh-CN"/>
        </w:rPr>
        <w:t>（2）生活污水</w:t>
      </w:r>
    </w:p>
    <w:p>
      <w:pPr>
        <w:rPr>
          <w:color w:val="0000FF"/>
        </w:rPr>
      </w:pPr>
      <w:r>
        <w:rPr>
          <w:rFonts w:hint="default"/>
          <w:color w:val="0000FF"/>
          <w:lang w:val="en-US" w:eastAsia="zh-CN"/>
        </w:rPr>
        <w:t>本项目</w:t>
      </w:r>
      <w:r>
        <w:rPr>
          <w:rFonts w:hint="eastAsia"/>
          <w:color w:val="0000FF"/>
          <w:lang w:val="en-US" w:eastAsia="zh-CN"/>
        </w:rPr>
        <w:t>设置一处临时生产生活区</w:t>
      </w:r>
      <w:r>
        <w:rPr>
          <w:rFonts w:hint="default"/>
          <w:color w:val="0000FF"/>
          <w:lang w:val="en-US" w:eastAsia="zh-CN"/>
        </w:rPr>
        <w:t>，</w:t>
      </w:r>
      <w:r>
        <w:rPr>
          <w:rFonts w:hint="eastAsia"/>
          <w:color w:val="0000FF"/>
          <w:lang w:val="en-US" w:eastAsia="zh-CN"/>
        </w:rPr>
        <w:t>施工方生活废水排入</w:t>
      </w:r>
      <w:r>
        <w:rPr>
          <w:rFonts w:ascii="宋体" w:hAnsi="宋体" w:eastAsia="宋体" w:cs="宋体"/>
          <w:color w:val="0000FF"/>
          <w:spacing w:val="-1"/>
          <w:sz w:val="24"/>
          <w:szCs w:val="24"/>
        </w:rPr>
        <w:t>市政下水管网，</w:t>
      </w:r>
      <w:r>
        <w:rPr>
          <w:rFonts w:hint="eastAsia"/>
          <w:color w:val="0000FF"/>
          <w:lang w:val="en-US" w:eastAsia="zh-CN"/>
        </w:rPr>
        <w:t>未对周边地表水环境造成影响</w:t>
      </w:r>
      <w:r>
        <w:rPr>
          <w:color w:val="0000FF"/>
        </w:rPr>
        <w:t>。</w:t>
      </w:r>
    </w:p>
    <w:p>
      <w:pPr>
        <w:pStyle w:val="6"/>
        <w:bidi w:val="0"/>
        <w:rPr>
          <w:rFonts w:hint="eastAsia"/>
          <w:color w:val="0000FF"/>
          <w:lang w:val="en-US" w:eastAsia="zh-CN"/>
        </w:rPr>
      </w:pPr>
      <w:bookmarkStart w:id="89" w:name="_Toc21051"/>
      <w:r>
        <w:rPr>
          <w:rFonts w:hint="eastAsia"/>
          <w:color w:val="0000FF"/>
          <w:lang w:val="en-US" w:eastAsia="zh-CN"/>
        </w:rPr>
        <w:t>5.1.3施工期噪声影响分析</w:t>
      </w:r>
      <w:bookmarkEnd w:id="89"/>
    </w:p>
    <w:p>
      <w:pPr>
        <w:bidi w:val="0"/>
        <w:rPr>
          <w:rFonts w:hint="default"/>
          <w:color w:val="0000FF"/>
        </w:rPr>
      </w:pPr>
      <w:r>
        <w:rPr>
          <w:rFonts w:hint="default"/>
          <w:color w:val="0000FF"/>
        </w:rPr>
        <w:t>施工期噪声来源于</w:t>
      </w:r>
      <w:r>
        <w:rPr>
          <w:rFonts w:hint="default"/>
          <w:color w:val="0000FF"/>
          <w:lang w:val="en-US" w:eastAsia="zh-CN"/>
        </w:rPr>
        <w:t>装载机</w:t>
      </w:r>
      <w:r>
        <w:rPr>
          <w:rFonts w:hint="default"/>
          <w:color w:val="0000FF"/>
        </w:rPr>
        <w:t>、</w:t>
      </w:r>
      <w:r>
        <w:rPr>
          <w:rFonts w:hint="default"/>
          <w:color w:val="0000FF"/>
          <w:lang w:val="en-US" w:eastAsia="zh-CN"/>
        </w:rPr>
        <w:t>挖掘机</w:t>
      </w:r>
      <w:r>
        <w:rPr>
          <w:rFonts w:hint="default"/>
          <w:color w:val="0000FF"/>
        </w:rPr>
        <w:t>、</w:t>
      </w:r>
      <w:r>
        <w:rPr>
          <w:rFonts w:hint="default"/>
          <w:color w:val="0000FF"/>
          <w:lang w:val="en-US" w:eastAsia="zh-CN"/>
        </w:rPr>
        <w:t>推土机</w:t>
      </w:r>
      <w:r>
        <w:rPr>
          <w:rFonts w:hint="default"/>
          <w:color w:val="0000FF"/>
        </w:rPr>
        <w:t>等</w:t>
      </w:r>
      <w:r>
        <w:rPr>
          <w:rFonts w:hint="eastAsia"/>
          <w:color w:val="0000FF"/>
          <w:lang w:val="en-US" w:eastAsia="zh-CN"/>
        </w:rPr>
        <w:t>施工机械噪声</w:t>
      </w:r>
      <w:r>
        <w:rPr>
          <w:rFonts w:hint="default"/>
          <w:color w:val="0000FF"/>
        </w:rPr>
        <w:t>，贯穿于整个施工过程，待施工结束后影响将消失。</w:t>
      </w:r>
    </w:p>
    <w:p>
      <w:pPr>
        <w:bidi w:val="0"/>
        <w:rPr>
          <w:rFonts w:hint="default"/>
          <w:color w:val="0000FF"/>
          <w:lang w:eastAsia="zh-CN"/>
        </w:rPr>
      </w:pPr>
      <w:r>
        <w:rPr>
          <w:rFonts w:hint="default"/>
          <w:color w:val="0000FF"/>
        </w:rPr>
        <w:t>现场踏勘表明，项目</w:t>
      </w:r>
      <w:r>
        <w:rPr>
          <w:rFonts w:hint="eastAsia"/>
          <w:color w:val="0000FF"/>
          <w:lang w:val="en-US" w:eastAsia="zh-CN"/>
        </w:rPr>
        <w:t>区</w:t>
      </w:r>
      <w:r>
        <w:rPr>
          <w:rFonts w:hint="default"/>
          <w:color w:val="0000FF"/>
          <w:lang w:eastAsia="zh-CN"/>
        </w:rPr>
        <w:t>周边</w:t>
      </w:r>
      <w:r>
        <w:rPr>
          <w:rFonts w:hint="eastAsia"/>
          <w:color w:val="0000FF"/>
          <w:lang w:val="en-US" w:eastAsia="zh-CN"/>
        </w:rPr>
        <w:t>200</w:t>
      </w:r>
      <w:r>
        <w:rPr>
          <w:rFonts w:hint="default"/>
          <w:color w:val="0000FF"/>
          <w:lang w:val="en-US" w:eastAsia="zh-CN"/>
        </w:rPr>
        <w:t>m范围内</w:t>
      </w:r>
      <w:r>
        <w:rPr>
          <w:rFonts w:hint="default"/>
          <w:color w:val="0000FF"/>
          <w:lang w:eastAsia="zh-CN"/>
        </w:rPr>
        <w:t>无居民区等敏感点，产生的噪声不会对外环境造成不利影响。</w:t>
      </w:r>
    </w:p>
    <w:p>
      <w:pPr>
        <w:pStyle w:val="6"/>
        <w:bidi w:val="0"/>
        <w:rPr>
          <w:rFonts w:hint="eastAsia"/>
          <w:color w:val="0000FF"/>
          <w:lang w:val="en-US" w:eastAsia="zh-CN"/>
        </w:rPr>
      </w:pPr>
      <w:bookmarkStart w:id="90" w:name="_Toc27811"/>
      <w:r>
        <w:rPr>
          <w:rFonts w:hint="eastAsia"/>
          <w:color w:val="0000FF"/>
          <w:lang w:val="en-US" w:eastAsia="zh-CN"/>
        </w:rPr>
        <w:t>5.1.4</w:t>
      </w:r>
      <w:r>
        <w:rPr>
          <w:rFonts w:hint="default"/>
          <w:color w:val="0000FF"/>
          <w:lang w:val="en-US" w:eastAsia="zh-CN"/>
        </w:rPr>
        <w:t>施工期固体废物环境影响分析</w:t>
      </w:r>
      <w:bookmarkEnd w:id="90"/>
    </w:p>
    <w:p>
      <w:pPr>
        <w:bidi w:val="0"/>
        <w:rPr>
          <w:rFonts w:hint="default"/>
          <w:color w:val="0000FF"/>
        </w:rPr>
      </w:pPr>
      <w:r>
        <w:rPr>
          <w:rFonts w:hint="default"/>
          <w:color w:val="0000FF"/>
        </w:rPr>
        <w:t>本项目施工期产生的固体废物主要包括：工程产生的弃土、施工人员产生的生活垃圾。</w:t>
      </w:r>
    </w:p>
    <w:p>
      <w:pPr>
        <w:bidi w:val="0"/>
        <w:rPr>
          <w:rFonts w:hint="default"/>
          <w:color w:val="0000FF"/>
        </w:rPr>
      </w:pPr>
      <w:bookmarkStart w:id="91" w:name="_Toc8561"/>
      <w:r>
        <w:rPr>
          <w:rFonts w:hint="default"/>
          <w:color w:val="0000FF"/>
          <w:lang w:val="en-US" w:eastAsia="zh-CN"/>
        </w:rPr>
        <w:t>（1）生活垃圾</w:t>
      </w:r>
    </w:p>
    <w:p>
      <w:pPr>
        <w:bidi w:val="0"/>
        <w:rPr>
          <w:rFonts w:hint="default"/>
          <w:color w:val="0000FF"/>
        </w:rPr>
      </w:pPr>
      <w:r>
        <w:rPr>
          <w:rFonts w:hint="default"/>
          <w:color w:val="0000FF"/>
          <w:lang w:val="en-US" w:eastAsia="zh-CN"/>
        </w:rPr>
        <w:t>施工期间产生的生活垃圾已按照规定</w:t>
      </w:r>
      <w:r>
        <w:rPr>
          <w:rFonts w:hint="eastAsia"/>
          <w:color w:val="0000FF"/>
          <w:lang w:val="en-US" w:eastAsia="zh-CN"/>
        </w:rPr>
        <w:t>经垃圾桶收集后</w:t>
      </w:r>
      <w:r>
        <w:rPr>
          <w:rFonts w:hint="default"/>
          <w:color w:val="0000FF"/>
          <w:lang w:val="en-US" w:eastAsia="zh-CN"/>
        </w:rPr>
        <w:t>集中清运至</w:t>
      </w:r>
      <w:r>
        <w:rPr>
          <w:color w:val="0000FF"/>
        </w:rPr>
        <w:t>225团指定垃圾场填埋</w:t>
      </w:r>
      <w:r>
        <w:rPr>
          <w:rFonts w:hint="default"/>
          <w:color w:val="0000FF"/>
          <w:lang w:val="en-US" w:eastAsia="zh-CN"/>
        </w:rPr>
        <w:t>。</w:t>
      </w:r>
    </w:p>
    <w:p>
      <w:pPr>
        <w:bidi w:val="0"/>
        <w:rPr>
          <w:rFonts w:hint="default"/>
          <w:color w:val="0000FF"/>
        </w:rPr>
      </w:pPr>
      <w:r>
        <w:rPr>
          <w:rFonts w:hint="default"/>
          <w:color w:val="0000FF"/>
          <w:lang w:val="en-US" w:eastAsia="zh-CN"/>
        </w:rPr>
        <w:t>（2）弃</w:t>
      </w:r>
      <w:r>
        <w:rPr>
          <w:rFonts w:hint="eastAsia"/>
          <w:color w:val="0000FF"/>
          <w:lang w:val="en-US" w:eastAsia="zh-CN"/>
        </w:rPr>
        <w:t>土</w:t>
      </w:r>
    </w:p>
    <w:p>
      <w:pPr>
        <w:bidi w:val="0"/>
        <w:rPr>
          <w:rFonts w:hint="eastAsia"/>
          <w:color w:val="0000FF"/>
          <w:lang w:val="en-US" w:eastAsia="zh-CN"/>
        </w:rPr>
      </w:pPr>
      <w:r>
        <w:rPr>
          <w:rFonts w:hint="default"/>
          <w:color w:val="0000FF"/>
          <w:lang w:val="en-US" w:eastAsia="zh-CN"/>
        </w:rPr>
        <w:t>本项目施工期间，</w:t>
      </w:r>
      <w:r>
        <w:rPr>
          <w:rFonts w:hint="eastAsia" w:ascii="宋体" w:hAnsi="宋体" w:eastAsia="宋体" w:cs="宋体"/>
          <w:color w:val="0000FF"/>
          <w:sz w:val="24"/>
          <w:szCs w:val="24"/>
          <w:lang w:val="en-US" w:eastAsia="zh-CN"/>
        </w:rPr>
        <w:t>弃</w:t>
      </w:r>
      <w:r>
        <w:rPr>
          <w:rFonts w:ascii="宋体" w:hAnsi="宋体" w:eastAsia="宋体" w:cs="宋体"/>
          <w:color w:val="0000FF"/>
          <w:sz w:val="24"/>
          <w:szCs w:val="24"/>
        </w:rPr>
        <w:t>土</w:t>
      </w:r>
      <w:r>
        <w:rPr>
          <w:rFonts w:hint="eastAsia"/>
          <w:color w:val="0000FF"/>
          <w:lang w:val="en-US" w:eastAsia="zh-CN"/>
        </w:rPr>
        <w:t>作为道路及低矮地面的回填土，</w:t>
      </w:r>
      <w:r>
        <w:rPr>
          <w:rFonts w:ascii="宋体" w:hAnsi="宋体" w:eastAsia="宋体" w:cs="宋体"/>
          <w:color w:val="0000FF"/>
          <w:spacing w:val="-1"/>
          <w:sz w:val="24"/>
          <w:szCs w:val="24"/>
        </w:rPr>
        <w:t>无弃方外排，土石方平衡。</w:t>
      </w:r>
    </w:p>
    <w:p>
      <w:pPr>
        <w:bidi w:val="0"/>
        <w:rPr>
          <w:rFonts w:hint="default"/>
          <w:color w:val="0000FF"/>
        </w:rPr>
      </w:pPr>
      <w:r>
        <w:rPr>
          <w:rFonts w:hint="default"/>
          <w:color w:val="0000FF"/>
          <w:lang w:val="en-US" w:eastAsia="zh-CN"/>
        </w:rPr>
        <w:t>（3）隔油池废油及废渣</w:t>
      </w:r>
    </w:p>
    <w:p>
      <w:pPr>
        <w:bidi w:val="0"/>
        <w:rPr>
          <w:rFonts w:hint="default"/>
          <w:color w:val="0000FF"/>
          <w:lang w:val="en-US" w:eastAsia="zh-CN"/>
        </w:rPr>
      </w:pPr>
      <w:r>
        <w:rPr>
          <w:rFonts w:hint="default"/>
          <w:color w:val="0000FF"/>
          <w:lang w:val="en-US" w:eastAsia="zh-CN"/>
        </w:rPr>
        <w:t>污水处理设备隔油池收集的废油及废渣，主要为设备冲洗废水中的废油及隔油池底部废渣，为一般固废，本项目隔油池处理效率以70%计，废油产量约为0.0</w:t>
      </w:r>
      <w:r>
        <w:rPr>
          <w:rFonts w:hint="eastAsia"/>
          <w:color w:val="0000FF"/>
          <w:lang w:val="en-US" w:eastAsia="zh-CN"/>
        </w:rPr>
        <w:t>826</w:t>
      </w:r>
      <w:r>
        <w:rPr>
          <w:rFonts w:hint="default"/>
          <w:color w:val="0000FF"/>
          <w:lang w:val="en-US" w:eastAsia="zh-CN"/>
        </w:rPr>
        <w:t>t/a，废渣产量约为0.000</w:t>
      </w:r>
      <w:r>
        <w:rPr>
          <w:rFonts w:hint="eastAsia"/>
          <w:color w:val="0000FF"/>
          <w:lang w:val="en-US" w:eastAsia="zh-CN"/>
        </w:rPr>
        <w:t>72</w:t>
      </w:r>
      <w:r>
        <w:rPr>
          <w:rFonts w:hint="default"/>
          <w:color w:val="0000FF"/>
          <w:lang w:val="en-US" w:eastAsia="zh-CN"/>
        </w:rPr>
        <w:t>t/a，施工期结束后已交由资质单位处置。</w:t>
      </w:r>
    </w:p>
    <w:p>
      <w:pPr>
        <w:bidi w:val="0"/>
        <w:rPr>
          <w:rFonts w:hint="default"/>
          <w:color w:val="0000FF"/>
          <w:lang w:val="en-US" w:eastAsia="zh-CN"/>
        </w:rPr>
      </w:pPr>
      <w:r>
        <w:rPr>
          <w:rFonts w:hint="eastAsia"/>
          <w:color w:val="0000FF"/>
          <w:lang w:val="en-US" w:eastAsia="zh-CN"/>
        </w:rPr>
        <w:t>（4）建筑垃圾</w:t>
      </w:r>
    </w:p>
    <w:p>
      <w:pPr>
        <w:bidi w:val="0"/>
        <w:rPr>
          <w:rFonts w:hint="eastAsia"/>
          <w:color w:val="0000FF"/>
          <w:lang w:val="en-US" w:eastAsia="zh-CN"/>
        </w:rPr>
      </w:pPr>
      <w:r>
        <w:rPr>
          <w:rFonts w:hint="eastAsia"/>
          <w:color w:val="0000FF"/>
          <w:lang w:val="en-US" w:eastAsia="zh-CN"/>
        </w:rPr>
        <w:t>施工场地的建筑垃圾主要是指剩余的建筑材料，包括砂、石灰、钢材、木料、预制构件等。此类建筑垃圾集中堆放并加篷布遮盖，由施工方拉运至当地建筑垃圾场处理。</w:t>
      </w:r>
    </w:p>
    <w:bookmarkEnd w:id="91"/>
    <w:p>
      <w:pPr>
        <w:pStyle w:val="6"/>
        <w:bidi w:val="0"/>
        <w:rPr>
          <w:color w:val="0000FF"/>
        </w:rPr>
      </w:pPr>
      <w:bookmarkStart w:id="92" w:name="_Toc16403"/>
      <w:r>
        <w:rPr>
          <w:rFonts w:hint="eastAsia"/>
          <w:color w:val="0000FF"/>
          <w:lang w:val="en-US" w:eastAsia="zh-CN"/>
        </w:rPr>
        <w:t>5.1.5</w:t>
      </w:r>
      <w:r>
        <w:rPr>
          <w:color w:val="0000FF"/>
        </w:rPr>
        <w:t>施工期生态环境影响分析</w:t>
      </w:r>
      <w:bookmarkEnd w:id="92"/>
    </w:p>
    <w:p>
      <w:pPr>
        <w:bidi w:val="0"/>
        <w:rPr>
          <w:color w:val="0000FF"/>
        </w:rPr>
      </w:pPr>
      <w:r>
        <w:rPr>
          <w:color w:val="0000FF"/>
        </w:rPr>
        <w:t>工程施工期对生态的影响主要是施工清除现场、平整等施工活动，破坏了工程区域原有地貌和植被，造成一定植被的损失；扰动了表土结构，土壤抗蚀能力降低，还可能损坏原有的水土保持设施，导致地表裸露。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FF"/>
          <w:sz w:val="24"/>
          <w:szCs w:val="24"/>
          <w:lang w:val="en-US" w:eastAsia="zh-CN"/>
        </w:rPr>
      </w:pPr>
      <w:r>
        <w:rPr>
          <w:rFonts w:hint="eastAsia" w:cs="Times New Roman"/>
          <w:color w:val="0000FF"/>
          <w:sz w:val="24"/>
          <w:szCs w:val="24"/>
          <w:lang w:val="en-US" w:eastAsia="zh-CN"/>
        </w:rPr>
        <w:t>经现场调查，</w:t>
      </w:r>
      <w:r>
        <w:rPr>
          <w:rFonts w:hint="default" w:ascii="Times New Roman" w:hAnsi="Times New Roman" w:cs="Times New Roman"/>
          <w:color w:val="0000FF"/>
          <w:sz w:val="24"/>
          <w:szCs w:val="24"/>
          <w:lang w:val="en-US" w:eastAsia="zh-CN"/>
        </w:rPr>
        <w:t>施工期结束后</w:t>
      </w:r>
      <w:r>
        <w:rPr>
          <w:rFonts w:hint="eastAsia" w:cs="Times New Roman"/>
          <w:color w:val="0000FF"/>
          <w:sz w:val="24"/>
          <w:szCs w:val="24"/>
          <w:lang w:val="en-US" w:eastAsia="zh-CN"/>
        </w:rPr>
        <w:t>已</w:t>
      </w:r>
      <w:r>
        <w:rPr>
          <w:rFonts w:hint="default" w:ascii="Times New Roman" w:hAnsi="Times New Roman" w:cs="Times New Roman"/>
          <w:color w:val="0000FF"/>
          <w:sz w:val="24"/>
          <w:szCs w:val="24"/>
          <w:lang w:val="en-US" w:eastAsia="zh-CN"/>
        </w:rPr>
        <w:t>对临时防渗化粪池</w:t>
      </w:r>
      <w:r>
        <w:rPr>
          <w:rFonts w:hint="eastAsia" w:cs="Times New Roman"/>
          <w:color w:val="0000FF"/>
          <w:sz w:val="24"/>
          <w:szCs w:val="24"/>
          <w:lang w:val="en-US" w:eastAsia="zh-CN"/>
        </w:rPr>
        <w:t>、</w:t>
      </w:r>
      <w:r>
        <w:rPr>
          <w:rFonts w:hint="default" w:ascii="Times New Roman" w:hAnsi="Times New Roman" w:cs="Times New Roman"/>
          <w:color w:val="0000FF"/>
          <w:sz w:val="24"/>
          <w:szCs w:val="24"/>
          <w:lang w:eastAsia="zh-CN"/>
        </w:rPr>
        <w:t>设备用房</w:t>
      </w:r>
      <w:r>
        <w:rPr>
          <w:rFonts w:hint="default" w:ascii="Times New Roman" w:hAnsi="Times New Roman" w:cs="Times New Roman"/>
          <w:color w:val="0000FF"/>
          <w:sz w:val="24"/>
          <w:szCs w:val="24"/>
          <w:lang w:val="en-US" w:eastAsia="zh-CN"/>
        </w:rPr>
        <w:t>进行拆除</w:t>
      </w:r>
      <w:r>
        <w:rPr>
          <w:rFonts w:hint="eastAsia" w:cs="Times New Roman"/>
          <w:color w:val="0000FF"/>
          <w:sz w:val="24"/>
          <w:szCs w:val="24"/>
          <w:lang w:val="en-US" w:eastAsia="zh-CN"/>
        </w:rPr>
        <w:t>，临时堆场进行土地平整。平整后的临时占地均</w:t>
      </w:r>
      <w:r>
        <w:rPr>
          <w:rFonts w:hint="default" w:ascii="Times New Roman" w:hAnsi="Times New Roman" w:cs="Times New Roman"/>
          <w:color w:val="0000FF"/>
          <w:sz w:val="24"/>
          <w:szCs w:val="24"/>
          <w:lang w:val="en-US" w:eastAsia="zh-CN"/>
        </w:rPr>
        <w:t>撒播草籽进行生态恢复。</w:t>
      </w:r>
    </w:p>
    <w:p>
      <w:pPr>
        <w:pStyle w:val="6"/>
        <w:bidi w:val="0"/>
        <w:rPr>
          <w:rFonts w:hint="eastAsia"/>
          <w:color w:val="0000FF"/>
          <w:lang w:val="en-US" w:eastAsia="zh-CN"/>
        </w:rPr>
      </w:pPr>
      <w:bookmarkStart w:id="93" w:name="_Toc17469"/>
      <w:r>
        <w:rPr>
          <w:rFonts w:hint="eastAsia"/>
          <w:color w:val="0000FF"/>
          <w:lang w:val="en-US" w:eastAsia="zh-CN"/>
        </w:rPr>
        <w:t>5.1.6防沙治沙</w:t>
      </w:r>
      <w:bookmarkEnd w:id="93"/>
    </w:p>
    <w:p>
      <w:pPr>
        <w:bidi w:val="0"/>
        <w:rPr>
          <w:rFonts w:hint="eastAsia"/>
          <w:color w:val="0000FF"/>
          <w:lang w:val="en-US" w:eastAsia="zh-CN"/>
        </w:rPr>
      </w:pPr>
      <w:r>
        <w:rPr>
          <w:rFonts w:hint="eastAsia"/>
          <w:color w:val="0000FF"/>
          <w:lang w:val="en-US" w:eastAsia="zh-CN"/>
        </w:rPr>
        <w:t>本项目为疾控中心建设项目，项目区占地为225团规划医疗保健用地，地表植被均为新疆常见树种，本项目的建设占地面积较小，原有土地地表植被覆盖度极低，根据规划，项目所在医疗保健用地</w:t>
      </w:r>
      <w:r>
        <w:rPr>
          <w:color w:val="0000FF"/>
        </w:rPr>
        <w:t>沿道路的两边为主要绿化带，在绿化广场。树种采用乔木与灌木、长绿与落叶搭配，各种四季花草巧点缀的原则，选择适合该团生长的树种，医院功能分区均用道路和绿化分开，室外广种树木、花卉、草坪，绿化率达40%以上，以保证小环境的文明整洁。</w:t>
      </w:r>
      <w:r>
        <w:rPr>
          <w:rFonts w:hint="eastAsia"/>
          <w:color w:val="0000FF"/>
          <w:lang w:val="en-US" w:eastAsia="zh-CN"/>
        </w:rPr>
        <w:t>有利于项目区防沙治沙。建设方在建设及运营过程中，应根据《中华人民共和国防沙治沙法》严格执行防沙治沙生态措施。结合项目实际情况，建设单位在施工及运营阶段，采取如下防沙治沙生态措施：</w:t>
      </w:r>
    </w:p>
    <w:p>
      <w:pPr>
        <w:bidi w:val="0"/>
        <w:rPr>
          <w:rFonts w:hint="eastAsia"/>
          <w:color w:val="0000FF"/>
          <w:lang w:val="en-US" w:eastAsia="zh-CN"/>
        </w:rPr>
      </w:pPr>
      <w:r>
        <w:rPr>
          <w:rFonts w:hint="eastAsia"/>
          <w:color w:val="0000FF"/>
          <w:lang w:val="en-US" w:eastAsia="zh-CN"/>
        </w:rPr>
        <w:t>（1）项目建设过程中，应根据项目实际情况制定符合相关防沙治沙规划的《治理方案》，治理方案应当包含∶①治理范围界限；②分阶段治理目标和治理期限；③主要治理措施；④经当地水行政主管部门同意的用水来源和用水量指标；⑤治理后的土地用途和植被管护措施；⑥其他需要载明的事项。</w:t>
      </w:r>
    </w:p>
    <w:p>
      <w:pPr>
        <w:bidi w:val="0"/>
        <w:rPr>
          <w:rFonts w:hint="eastAsia"/>
          <w:color w:val="0000FF"/>
          <w:lang w:val="en-US" w:eastAsia="zh-CN"/>
        </w:rPr>
      </w:pPr>
      <w:r>
        <w:rPr>
          <w:rFonts w:hint="eastAsia"/>
          <w:color w:val="0000FF"/>
          <w:lang w:val="en-US" w:eastAsia="zh-CN"/>
        </w:rPr>
        <w:t>（2）项目在施工期间，设置专人进行监管，防止施工人员随意破坏项目区周边现有的植被。</w:t>
      </w:r>
    </w:p>
    <w:p>
      <w:pPr>
        <w:bidi w:val="0"/>
        <w:rPr>
          <w:rFonts w:hint="eastAsia"/>
          <w:color w:val="0000FF"/>
          <w:lang w:val="en-US" w:eastAsia="zh-CN"/>
        </w:rPr>
      </w:pPr>
      <w:r>
        <w:rPr>
          <w:rFonts w:hint="eastAsia"/>
          <w:color w:val="0000FF"/>
          <w:lang w:val="en-US" w:eastAsia="zh-CN"/>
        </w:rPr>
        <w:t>（3）本项目施工期的进出入车辆应在规定的现有简易道路及施工便道内行驶，不得驶出道路规定范围，造成项目区周边植被破坏，如发生意外情况，需对破坏的植被进行补偿。</w:t>
      </w:r>
    </w:p>
    <w:p>
      <w:pPr>
        <w:bidi w:val="0"/>
        <w:rPr>
          <w:rFonts w:hint="eastAsia"/>
          <w:color w:val="0000FF"/>
          <w:lang w:val="en-US" w:eastAsia="zh-CN"/>
        </w:rPr>
      </w:pPr>
      <w:r>
        <w:rPr>
          <w:rFonts w:hint="eastAsia"/>
          <w:color w:val="0000FF"/>
          <w:lang w:val="en-US" w:eastAsia="zh-CN"/>
        </w:rPr>
        <w:t>（4）建设单位履行社会责任，积极参与政府组织的各类防沙治沙活动。</w:t>
      </w:r>
    </w:p>
    <w:p>
      <w:pPr>
        <w:bidi w:val="0"/>
        <w:rPr>
          <w:rFonts w:hint="eastAsia"/>
          <w:color w:val="0000FF"/>
          <w:lang w:val="en-US" w:eastAsia="zh-CN"/>
        </w:rPr>
      </w:pPr>
      <w:r>
        <w:rPr>
          <w:rFonts w:hint="eastAsia"/>
          <w:color w:val="0000FF"/>
          <w:lang w:val="en-US" w:eastAsia="zh-CN"/>
        </w:rPr>
        <w:t>在采取以上措施后，本项目的建设和运营对项目区生态环境会产生一定的正面效应，不会加剧项目区土地的沙化。</w:t>
      </w:r>
    </w:p>
    <w:p>
      <w:pPr>
        <w:pStyle w:val="5"/>
        <w:bidi w:val="0"/>
        <w:rPr>
          <w:color w:val="0000FF"/>
        </w:rPr>
      </w:pPr>
      <w:bookmarkStart w:id="94" w:name="_Toc18686"/>
      <w:r>
        <w:rPr>
          <w:rFonts w:hint="eastAsia"/>
          <w:color w:val="0000FF"/>
          <w:lang w:val="en-US" w:eastAsia="zh-CN"/>
        </w:rPr>
        <w:t>5.2</w:t>
      </w:r>
      <w:r>
        <w:rPr>
          <w:color w:val="0000FF"/>
        </w:rPr>
        <w:t>运营期环境影响分析</w:t>
      </w:r>
      <w:bookmarkEnd w:id="94"/>
    </w:p>
    <w:p>
      <w:pPr>
        <w:pStyle w:val="6"/>
        <w:bidi w:val="0"/>
        <w:rPr>
          <w:color w:val="0000FF"/>
        </w:rPr>
      </w:pPr>
      <w:bookmarkStart w:id="95" w:name="_Toc8432"/>
      <w:r>
        <w:rPr>
          <w:color w:val="0000FF"/>
        </w:rPr>
        <w:t>5.2.</w:t>
      </w:r>
      <w:r>
        <w:rPr>
          <w:rFonts w:hint="eastAsia"/>
          <w:color w:val="0000FF"/>
          <w:lang w:val="en-US" w:eastAsia="zh-CN"/>
        </w:rPr>
        <w:t>1</w:t>
      </w:r>
      <w:r>
        <w:rPr>
          <w:color w:val="0000FF"/>
        </w:rPr>
        <w:t>大气环境影响分析</w:t>
      </w:r>
      <w:bookmarkEnd w:id="95"/>
    </w:p>
    <w:p>
      <w:pPr>
        <w:pStyle w:val="7"/>
        <w:bidi w:val="0"/>
        <w:rPr>
          <w:color w:val="0000FF"/>
        </w:rPr>
      </w:pPr>
      <w:r>
        <w:rPr>
          <w:color w:val="0000FF"/>
        </w:rPr>
        <w:t>5.2.1</w:t>
      </w:r>
      <w:r>
        <w:rPr>
          <w:rFonts w:hint="eastAsia"/>
          <w:color w:val="0000FF"/>
          <w:lang w:val="en-US" w:eastAsia="zh-CN"/>
        </w:rPr>
        <w:t>.1</w:t>
      </w:r>
      <w:r>
        <w:rPr>
          <w:color w:val="0000FF"/>
        </w:rPr>
        <w:t>气象资料调查</w:t>
      </w:r>
    </w:p>
    <w:p>
      <w:pPr>
        <w:bidi w:val="0"/>
        <w:rPr>
          <w:color w:val="0000FF"/>
        </w:rPr>
      </w:pPr>
      <w:r>
        <w:rPr>
          <w:color w:val="0000FF"/>
        </w:rPr>
        <w:t>于田县属于暖温带大陆性干旱沙漠气候，光热量资源丰富。本项目气象资料主要参考于田气象站资料。于田气象站（51931）位于新疆维吾尔自治区，地理坐标为东经81.6433°，北纬36.8553°，海拔高度1422.0m，是距项目最近的国家气象站。于田气象站近20年统计气象数据见表</w:t>
      </w:r>
      <w:r>
        <w:rPr>
          <w:rFonts w:hint="eastAsia"/>
          <w:color w:val="0000FF"/>
          <w:lang w:val="en-US" w:eastAsia="zh-CN"/>
        </w:rPr>
        <w:t>5</w:t>
      </w:r>
      <w:r>
        <w:rPr>
          <w:color w:val="0000FF"/>
        </w:rPr>
        <w:t>.2-1。</w:t>
      </w:r>
    </w:p>
    <w:p>
      <w:pPr>
        <w:pStyle w:val="22"/>
        <w:bidi w:val="0"/>
        <w:rPr>
          <w:b/>
          <w:bCs/>
          <w:color w:val="0000FF"/>
        </w:rPr>
      </w:pPr>
      <w:r>
        <w:rPr>
          <w:b/>
          <w:bCs/>
          <w:color w:val="0000FF"/>
        </w:rPr>
        <w:t>表</w:t>
      </w:r>
      <w:r>
        <w:rPr>
          <w:rFonts w:hint="eastAsia"/>
          <w:b/>
          <w:bCs/>
          <w:color w:val="0000FF"/>
          <w:lang w:val="en-US" w:eastAsia="zh-CN"/>
        </w:rPr>
        <w:t>5</w:t>
      </w:r>
      <w:r>
        <w:rPr>
          <w:b/>
          <w:bCs/>
          <w:color w:val="0000FF"/>
        </w:rPr>
        <w:t>.2-1气象数据一览表</w:t>
      </w:r>
    </w:p>
    <w:p>
      <w:pPr>
        <w:spacing w:line="35" w:lineRule="exact"/>
        <w:rPr>
          <w:color w:val="0000FF"/>
        </w:rPr>
      </w:pPr>
    </w:p>
    <w:tbl>
      <w:tblPr>
        <w:tblStyle w:val="23"/>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2922"/>
        <w:gridCol w:w="1439"/>
        <w:gridCol w:w="1701"/>
        <w:gridCol w:w="17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3634" w:type="dxa"/>
            <w:gridSpan w:val="2"/>
            <w:vAlign w:val="center"/>
          </w:tcPr>
          <w:p>
            <w:pPr>
              <w:pStyle w:val="22"/>
              <w:bidi w:val="0"/>
              <w:jc w:val="center"/>
              <w:rPr>
                <w:color w:val="0000FF"/>
              </w:rPr>
            </w:pPr>
            <w:r>
              <w:rPr>
                <w:color w:val="0000FF"/>
              </w:rPr>
              <w:t>统计项目</w:t>
            </w:r>
          </w:p>
        </w:tc>
        <w:tc>
          <w:tcPr>
            <w:tcW w:w="1439" w:type="dxa"/>
            <w:vAlign w:val="center"/>
          </w:tcPr>
          <w:p>
            <w:pPr>
              <w:pStyle w:val="22"/>
              <w:bidi w:val="0"/>
              <w:jc w:val="center"/>
              <w:rPr>
                <w:color w:val="0000FF"/>
              </w:rPr>
            </w:pPr>
            <w:r>
              <w:rPr>
                <w:color w:val="0000FF"/>
              </w:rPr>
              <w:t>*统计值</w:t>
            </w:r>
          </w:p>
        </w:tc>
        <w:tc>
          <w:tcPr>
            <w:tcW w:w="1701" w:type="dxa"/>
            <w:vAlign w:val="center"/>
          </w:tcPr>
          <w:p>
            <w:pPr>
              <w:pStyle w:val="22"/>
              <w:bidi w:val="0"/>
              <w:jc w:val="center"/>
              <w:rPr>
                <w:color w:val="0000FF"/>
              </w:rPr>
            </w:pPr>
            <w:r>
              <w:rPr>
                <w:color w:val="0000FF"/>
              </w:rPr>
              <w:t>极值出现时间</w:t>
            </w:r>
          </w:p>
        </w:tc>
        <w:tc>
          <w:tcPr>
            <w:tcW w:w="1754" w:type="dxa"/>
            <w:vAlign w:val="center"/>
          </w:tcPr>
          <w:p>
            <w:pPr>
              <w:pStyle w:val="22"/>
              <w:bidi w:val="0"/>
              <w:jc w:val="center"/>
              <w:rPr>
                <w:color w:val="0000FF"/>
              </w:rPr>
            </w:pPr>
            <w:r>
              <w:rPr>
                <w:color w:val="0000FF"/>
              </w:rPr>
              <w:t>**极值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jc w:val="center"/>
        </w:trPr>
        <w:tc>
          <w:tcPr>
            <w:tcW w:w="3634" w:type="dxa"/>
            <w:gridSpan w:val="2"/>
            <w:vAlign w:val="center"/>
          </w:tcPr>
          <w:p>
            <w:pPr>
              <w:pStyle w:val="22"/>
              <w:bidi w:val="0"/>
              <w:jc w:val="center"/>
              <w:rPr>
                <w:color w:val="0000FF"/>
              </w:rPr>
            </w:pPr>
            <w:r>
              <w:rPr>
                <w:color w:val="0000FF"/>
              </w:rPr>
              <w:t>多年平均气温（℃）</w:t>
            </w:r>
          </w:p>
        </w:tc>
        <w:tc>
          <w:tcPr>
            <w:tcW w:w="1439" w:type="dxa"/>
            <w:vAlign w:val="center"/>
          </w:tcPr>
          <w:p>
            <w:pPr>
              <w:pStyle w:val="22"/>
              <w:bidi w:val="0"/>
              <w:jc w:val="center"/>
              <w:rPr>
                <w:color w:val="0000FF"/>
              </w:rPr>
            </w:pPr>
            <w:r>
              <w:rPr>
                <w:color w:val="0000FF"/>
              </w:rPr>
              <w:t>12.4</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634" w:type="dxa"/>
            <w:gridSpan w:val="2"/>
            <w:vAlign w:val="center"/>
          </w:tcPr>
          <w:p>
            <w:pPr>
              <w:pStyle w:val="22"/>
              <w:bidi w:val="0"/>
              <w:jc w:val="center"/>
              <w:rPr>
                <w:color w:val="0000FF"/>
              </w:rPr>
            </w:pPr>
            <w:r>
              <w:rPr>
                <w:color w:val="0000FF"/>
              </w:rPr>
              <w:t>累年极端最高气温（℃）</w:t>
            </w:r>
          </w:p>
        </w:tc>
        <w:tc>
          <w:tcPr>
            <w:tcW w:w="1439" w:type="dxa"/>
            <w:vAlign w:val="center"/>
          </w:tcPr>
          <w:p>
            <w:pPr>
              <w:pStyle w:val="22"/>
              <w:bidi w:val="0"/>
              <w:jc w:val="center"/>
              <w:rPr>
                <w:color w:val="0000FF"/>
              </w:rPr>
            </w:pPr>
            <w:r>
              <w:rPr>
                <w:color w:val="0000FF"/>
              </w:rPr>
              <w:t>38.6</w:t>
            </w:r>
          </w:p>
        </w:tc>
        <w:tc>
          <w:tcPr>
            <w:tcW w:w="1701" w:type="dxa"/>
            <w:vAlign w:val="center"/>
          </w:tcPr>
          <w:p>
            <w:pPr>
              <w:pStyle w:val="22"/>
              <w:bidi w:val="0"/>
              <w:jc w:val="center"/>
              <w:rPr>
                <w:color w:val="0000FF"/>
              </w:rPr>
            </w:pPr>
            <w:r>
              <w:rPr>
                <w:color w:val="0000FF"/>
              </w:rPr>
              <w:t>2013-08-01</w:t>
            </w:r>
          </w:p>
        </w:tc>
        <w:tc>
          <w:tcPr>
            <w:tcW w:w="1754" w:type="dxa"/>
            <w:vAlign w:val="center"/>
          </w:tcPr>
          <w:p>
            <w:pPr>
              <w:pStyle w:val="22"/>
              <w:bidi w:val="0"/>
              <w:jc w:val="center"/>
              <w:rPr>
                <w:color w:val="0000FF"/>
              </w:rPr>
            </w:pPr>
            <w:r>
              <w:rPr>
                <w:color w:val="0000FF"/>
              </w:rPr>
              <w:t>40.6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634" w:type="dxa"/>
            <w:gridSpan w:val="2"/>
            <w:vAlign w:val="center"/>
          </w:tcPr>
          <w:p>
            <w:pPr>
              <w:pStyle w:val="22"/>
              <w:bidi w:val="0"/>
              <w:jc w:val="center"/>
              <w:rPr>
                <w:color w:val="0000FF"/>
              </w:rPr>
            </w:pPr>
            <w:r>
              <w:rPr>
                <w:color w:val="0000FF"/>
              </w:rPr>
              <w:t>累年极端最低气温（℃）</w:t>
            </w:r>
          </w:p>
        </w:tc>
        <w:tc>
          <w:tcPr>
            <w:tcW w:w="1439" w:type="dxa"/>
            <w:vAlign w:val="center"/>
          </w:tcPr>
          <w:p>
            <w:pPr>
              <w:pStyle w:val="22"/>
              <w:bidi w:val="0"/>
              <w:jc w:val="center"/>
              <w:rPr>
                <w:color w:val="0000FF"/>
              </w:rPr>
            </w:pPr>
            <w:r>
              <w:rPr>
                <w:color w:val="0000FF"/>
              </w:rPr>
              <w:t>-15.7</w:t>
            </w:r>
          </w:p>
        </w:tc>
        <w:tc>
          <w:tcPr>
            <w:tcW w:w="1701" w:type="dxa"/>
            <w:vAlign w:val="center"/>
          </w:tcPr>
          <w:p>
            <w:pPr>
              <w:pStyle w:val="22"/>
              <w:bidi w:val="0"/>
              <w:jc w:val="center"/>
              <w:rPr>
                <w:color w:val="0000FF"/>
              </w:rPr>
            </w:pPr>
            <w:r>
              <w:rPr>
                <w:color w:val="0000FF"/>
              </w:rPr>
              <w:t>2008-02-01</w:t>
            </w:r>
          </w:p>
        </w:tc>
        <w:tc>
          <w:tcPr>
            <w:tcW w:w="1754" w:type="dxa"/>
            <w:vAlign w:val="center"/>
          </w:tcPr>
          <w:p>
            <w:pPr>
              <w:pStyle w:val="22"/>
              <w:bidi w:val="0"/>
              <w:jc w:val="center"/>
              <w:rPr>
                <w:color w:val="0000FF"/>
              </w:rPr>
            </w:pPr>
            <w:r>
              <w:rPr>
                <w:color w:val="0000FF"/>
              </w:rPr>
              <w:t>-22.8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634" w:type="dxa"/>
            <w:gridSpan w:val="2"/>
            <w:vAlign w:val="center"/>
          </w:tcPr>
          <w:p>
            <w:pPr>
              <w:pStyle w:val="22"/>
              <w:bidi w:val="0"/>
              <w:jc w:val="center"/>
              <w:rPr>
                <w:color w:val="0000FF"/>
              </w:rPr>
            </w:pPr>
            <w:r>
              <w:rPr>
                <w:color w:val="0000FF"/>
              </w:rPr>
              <w:t>多年平均气压（hPa）</w:t>
            </w:r>
          </w:p>
        </w:tc>
        <w:tc>
          <w:tcPr>
            <w:tcW w:w="1439" w:type="dxa"/>
            <w:vAlign w:val="center"/>
          </w:tcPr>
          <w:p>
            <w:pPr>
              <w:pStyle w:val="22"/>
              <w:bidi w:val="0"/>
              <w:jc w:val="center"/>
              <w:rPr>
                <w:color w:val="0000FF"/>
              </w:rPr>
            </w:pPr>
            <w:r>
              <w:rPr>
                <w:color w:val="0000FF"/>
              </w:rPr>
              <w:t>857.1</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634" w:type="dxa"/>
            <w:gridSpan w:val="2"/>
            <w:vAlign w:val="center"/>
          </w:tcPr>
          <w:p>
            <w:pPr>
              <w:pStyle w:val="22"/>
              <w:bidi w:val="0"/>
              <w:jc w:val="center"/>
              <w:rPr>
                <w:color w:val="0000FF"/>
              </w:rPr>
            </w:pPr>
            <w:r>
              <w:rPr>
                <w:color w:val="0000FF"/>
              </w:rPr>
              <w:t>多年平均水汽压（hPa）</w:t>
            </w:r>
          </w:p>
        </w:tc>
        <w:tc>
          <w:tcPr>
            <w:tcW w:w="1439" w:type="dxa"/>
            <w:vAlign w:val="center"/>
          </w:tcPr>
          <w:p>
            <w:pPr>
              <w:pStyle w:val="22"/>
              <w:bidi w:val="0"/>
              <w:jc w:val="center"/>
              <w:rPr>
                <w:color w:val="0000FF"/>
              </w:rPr>
            </w:pPr>
            <w:r>
              <w:rPr>
                <w:color w:val="0000FF"/>
              </w:rPr>
              <w:t>7.1</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634" w:type="dxa"/>
            <w:gridSpan w:val="2"/>
            <w:vAlign w:val="center"/>
          </w:tcPr>
          <w:p>
            <w:pPr>
              <w:pStyle w:val="22"/>
              <w:bidi w:val="0"/>
              <w:jc w:val="center"/>
              <w:rPr>
                <w:color w:val="0000FF"/>
              </w:rPr>
            </w:pPr>
            <w:r>
              <w:rPr>
                <w:color w:val="0000FF"/>
              </w:rPr>
              <w:t>多年平均相对湿度（%）</w:t>
            </w:r>
          </w:p>
        </w:tc>
        <w:tc>
          <w:tcPr>
            <w:tcW w:w="1439" w:type="dxa"/>
            <w:vAlign w:val="center"/>
          </w:tcPr>
          <w:p>
            <w:pPr>
              <w:pStyle w:val="22"/>
              <w:bidi w:val="0"/>
              <w:jc w:val="center"/>
              <w:rPr>
                <w:color w:val="0000FF"/>
              </w:rPr>
            </w:pPr>
            <w:r>
              <w:rPr>
                <w:color w:val="0000FF"/>
              </w:rPr>
              <w:t>44.9</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634" w:type="dxa"/>
            <w:gridSpan w:val="2"/>
            <w:vAlign w:val="center"/>
          </w:tcPr>
          <w:p>
            <w:pPr>
              <w:pStyle w:val="22"/>
              <w:bidi w:val="0"/>
              <w:jc w:val="center"/>
              <w:rPr>
                <w:color w:val="0000FF"/>
              </w:rPr>
            </w:pPr>
            <w:r>
              <w:rPr>
                <w:color w:val="0000FF"/>
              </w:rPr>
              <w:t>多年平均降雨量（mm）</w:t>
            </w:r>
          </w:p>
        </w:tc>
        <w:tc>
          <w:tcPr>
            <w:tcW w:w="1439" w:type="dxa"/>
            <w:vAlign w:val="center"/>
          </w:tcPr>
          <w:p>
            <w:pPr>
              <w:pStyle w:val="22"/>
              <w:bidi w:val="0"/>
              <w:jc w:val="center"/>
              <w:rPr>
                <w:color w:val="0000FF"/>
              </w:rPr>
            </w:pPr>
            <w:r>
              <w:rPr>
                <w:color w:val="0000FF"/>
              </w:rPr>
              <w:t>59.9</w:t>
            </w:r>
          </w:p>
        </w:tc>
        <w:tc>
          <w:tcPr>
            <w:tcW w:w="1701" w:type="dxa"/>
            <w:vAlign w:val="center"/>
          </w:tcPr>
          <w:p>
            <w:pPr>
              <w:pStyle w:val="22"/>
              <w:bidi w:val="0"/>
              <w:jc w:val="center"/>
              <w:rPr>
                <w:color w:val="0000FF"/>
              </w:rPr>
            </w:pPr>
            <w:r>
              <w:rPr>
                <w:color w:val="0000FF"/>
              </w:rPr>
              <w:t>2010-09-25</w:t>
            </w:r>
          </w:p>
        </w:tc>
        <w:tc>
          <w:tcPr>
            <w:tcW w:w="1754" w:type="dxa"/>
            <w:vAlign w:val="center"/>
          </w:tcPr>
          <w:p>
            <w:pPr>
              <w:pStyle w:val="22"/>
              <w:bidi w:val="0"/>
              <w:jc w:val="center"/>
              <w:rPr>
                <w:color w:val="0000FF"/>
              </w:rPr>
            </w:pPr>
            <w:r>
              <w:rPr>
                <w:color w:val="0000FF"/>
              </w:rPr>
              <w:t>41.3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712" w:type="dxa"/>
            <w:vMerge w:val="restart"/>
            <w:tcBorders>
              <w:bottom w:val="nil"/>
            </w:tcBorders>
            <w:vAlign w:val="center"/>
          </w:tcPr>
          <w:p>
            <w:pPr>
              <w:pStyle w:val="22"/>
              <w:bidi w:val="0"/>
              <w:jc w:val="center"/>
              <w:rPr>
                <w:color w:val="0000FF"/>
              </w:rPr>
            </w:pPr>
            <w:r>
              <w:rPr>
                <w:color w:val="0000FF"/>
              </w:rPr>
              <w:t>灾害</w:t>
            </w:r>
          </w:p>
          <w:p>
            <w:pPr>
              <w:pStyle w:val="22"/>
              <w:bidi w:val="0"/>
              <w:jc w:val="center"/>
              <w:rPr>
                <w:color w:val="0000FF"/>
              </w:rPr>
            </w:pPr>
            <w:r>
              <w:rPr>
                <w:color w:val="0000FF"/>
              </w:rPr>
              <w:t>天气</w:t>
            </w:r>
          </w:p>
          <w:p>
            <w:pPr>
              <w:pStyle w:val="22"/>
              <w:bidi w:val="0"/>
              <w:jc w:val="center"/>
              <w:rPr>
                <w:color w:val="0000FF"/>
              </w:rPr>
            </w:pPr>
            <w:r>
              <w:rPr>
                <w:color w:val="0000FF"/>
              </w:rPr>
              <w:t>统计</w:t>
            </w:r>
          </w:p>
        </w:tc>
        <w:tc>
          <w:tcPr>
            <w:tcW w:w="2922" w:type="dxa"/>
            <w:vAlign w:val="center"/>
          </w:tcPr>
          <w:p>
            <w:pPr>
              <w:pStyle w:val="22"/>
              <w:bidi w:val="0"/>
              <w:jc w:val="center"/>
              <w:rPr>
                <w:color w:val="0000FF"/>
              </w:rPr>
            </w:pPr>
            <w:r>
              <w:rPr>
                <w:color w:val="0000FF"/>
              </w:rPr>
              <w:t>多年平均沙暴日数（d）</w:t>
            </w:r>
          </w:p>
        </w:tc>
        <w:tc>
          <w:tcPr>
            <w:tcW w:w="1439" w:type="dxa"/>
            <w:vAlign w:val="center"/>
          </w:tcPr>
          <w:p>
            <w:pPr>
              <w:pStyle w:val="22"/>
              <w:bidi w:val="0"/>
              <w:jc w:val="center"/>
              <w:rPr>
                <w:color w:val="0000FF"/>
              </w:rPr>
            </w:pPr>
            <w:r>
              <w:rPr>
                <w:color w:val="0000FF"/>
              </w:rPr>
              <w:t>4.7</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712" w:type="dxa"/>
            <w:vMerge w:val="continue"/>
            <w:tcBorders>
              <w:top w:val="nil"/>
              <w:bottom w:val="nil"/>
            </w:tcBorders>
            <w:vAlign w:val="center"/>
          </w:tcPr>
          <w:p>
            <w:pPr>
              <w:pStyle w:val="22"/>
              <w:bidi w:val="0"/>
              <w:jc w:val="center"/>
              <w:rPr>
                <w:color w:val="0000FF"/>
              </w:rPr>
            </w:pPr>
          </w:p>
        </w:tc>
        <w:tc>
          <w:tcPr>
            <w:tcW w:w="2922" w:type="dxa"/>
            <w:vAlign w:val="center"/>
          </w:tcPr>
          <w:p>
            <w:pPr>
              <w:pStyle w:val="22"/>
              <w:bidi w:val="0"/>
              <w:jc w:val="center"/>
              <w:rPr>
                <w:color w:val="0000FF"/>
              </w:rPr>
            </w:pPr>
            <w:r>
              <w:rPr>
                <w:color w:val="0000FF"/>
              </w:rPr>
              <w:t>多年平均雷暴日数（d）</w:t>
            </w:r>
          </w:p>
        </w:tc>
        <w:tc>
          <w:tcPr>
            <w:tcW w:w="1439" w:type="dxa"/>
            <w:vAlign w:val="center"/>
          </w:tcPr>
          <w:p>
            <w:pPr>
              <w:pStyle w:val="22"/>
              <w:bidi w:val="0"/>
              <w:jc w:val="center"/>
              <w:rPr>
                <w:color w:val="0000FF"/>
              </w:rPr>
            </w:pPr>
            <w:r>
              <w:rPr>
                <w:color w:val="0000FF"/>
              </w:rPr>
              <w:t>1.5</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712" w:type="dxa"/>
            <w:vMerge w:val="continue"/>
            <w:tcBorders>
              <w:top w:val="nil"/>
              <w:bottom w:val="nil"/>
            </w:tcBorders>
            <w:vAlign w:val="center"/>
          </w:tcPr>
          <w:p>
            <w:pPr>
              <w:pStyle w:val="22"/>
              <w:bidi w:val="0"/>
              <w:jc w:val="center"/>
              <w:rPr>
                <w:color w:val="0000FF"/>
              </w:rPr>
            </w:pPr>
          </w:p>
        </w:tc>
        <w:tc>
          <w:tcPr>
            <w:tcW w:w="2922" w:type="dxa"/>
            <w:vAlign w:val="center"/>
          </w:tcPr>
          <w:p>
            <w:pPr>
              <w:pStyle w:val="22"/>
              <w:bidi w:val="0"/>
              <w:jc w:val="center"/>
              <w:rPr>
                <w:color w:val="0000FF"/>
              </w:rPr>
            </w:pPr>
            <w:r>
              <w:rPr>
                <w:color w:val="0000FF"/>
              </w:rPr>
              <w:t>多年平均冰雹日数（d）</w:t>
            </w:r>
          </w:p>
        </w:tc>
        <w:tc>
          <w:tcPr>
            <w:tcW w:w="1439" w:type="dxa"/>
            <w:vAlign w:val="center"/>
          </w:tcPr>
          <w:p>
            <w:pPr>
              <w:pStyle w:val="22"/>
              <w:bidi w:val="0"/>
              <w:jc w:val="center"/>
              <w:rPr>
                <w:color w:val="0000FF"/>
              </w:rPr>
            </w:pPr>
            <w:r>
              <w:rPr>
                <w:color w:val="0000FF"/>
              </w:rPr>
              <w:t>0.0</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712" w:type="dxa"/>
            <w:vMerge w:val="continue"/>
            <w:tcBorders>
              <w:top w:val="nil"/>
            </w:tcBorders>
            <w:vAlign w:val="center"/>
          </w:tcPr>
          <w:p>
            <w:pPr>
              <w:pStyle w:val="22"/>
              <w:bidi w:val="0"/>
              <w:jc w:val="center"/>
              <w:rPr>
                <w:color w:val="0000FF"/>
              </w:rPr>
            </w:pPr>
          </w:p>
        </w:tc>
        <w:tc>
          <w:tcPr>
            <w:tcW w:w="2922" w:type="dxa"/>
            <w:vAlign w:val="center"/>
          </w:tcPr>
          <w:p>
            <w:pPr>
              <w:pStyle w:val="22"/>
              <w:bidi w:val="0"/>
              <w:jc w:val="center"/>
              <w:rPr>
                <w:color w:val="0000FF"/>
              </w:rPr>
            </w:pPr>
            <w:r>
              <w:rPr>
                <w:color w:val="0000FF"/>
              </w:rPr>
              <w:t>多年平均大风日数（d）</w:t>
            </w:r>
          </w:p>
        </w:tc>
        <w:tc>
          <w:tcPr>
            <w:tcW w:w="1439" w:type="dxa"/>
            <w:vAlign w:val="center"/>
          </w:tcPr>
          <w:p>
            <w:pPr>
              <w:pStyle w:val="22"/>
              <w:bidi w:val="0"/>
              <w:jc w:val="center"/>
              <w:rPr>
                <w:color w:val="0000FF"/>
              </w:rPr>
            </w:pPr>
            <w:r>
              <w:rPr>
                <w:color w:val="0000FF"/>
              </w:rPr>
              <w:t>0.5</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634" w:type="dxa"/>
            <w:gridSpan w:val="2"/>
            <w:vAlign w:val="center"/>
          </w:tcPr>
          <w:p>
            <w:pPr>
              <w:pStyle w:val="22"/>
              <w:bidi w:val="0"/>
              <w:jc w:val="center"/>
              <w:rPr>
                <w:color w:val="0000FF"/>
              </w:rPr>
            </w:pPr>
            <w:r>
              <w:rPr>
                <w:color w:val="0000FF"/>
              </w:rPr>
              <w:t>多年实测极大风速（m/s）、相应风向</w:t>
            </w:r>
          </w:p>
        </w:tc>
        <w:tc>
          <w:tcPr>
            <w:tcW w:w="1439" w:type="dxa"/>
            <w:vAlign w:val="center"/>
          </w:tcPr>
          <w:p>
            <w:pPr>
              <w:pStyle w:val="22"/>
              <w:bidi w:val="0"/>
              <w:jc w:val="center"/>
              <w:rPr>
                <w:color w:val="0000FF"/>
              </w:rPr>
            </w:pPr>
            <w:r>
              <w:rPr>
                <w:color w:val="0000FF"/>
              </w:rPr>
              <w:t>16.5</w:t>
            </w:r>
          </w:p>
        </w:tc>
        <w:tc>
          <w:tcPr>
            <w:tcW w:w="1701" w:type="dxa"/>
            <w:vAlign w:val="center"/>
          </w:tcPr>
          <w:p>
            <w:pPr>
              <w:pStyle w:val="22"/>
              <w:bidi w:val="0"/>
              <w:jc w:val="center"/>
              <w:rPr>
                <w:color w:val="0000FF"/>
              </w:rPr>
            </w:pPr>
            <w:r>
              <w:rPr>
                <w:color w:val="0000FF"/>
              </w:rPr>
              <w:t>2015-06-28</w:t>
            </w:r>
          </w:p>
        </w:tc>
        <w:tc>
          <w:tcPr>
            <w:tcW w:w="1754" w:type="dxa"/>
            <w:vAlign w:val="center"/>
          </w:tcPr>
          <w:p>
            <w:pPr>
              <w:pStyle w:val="22"/>
              <w:bidi w:val="0"/>
              <w:jc w:val="center"/>
              <w:rPr>
                <w:color w:val="0000FF"/>
              </w:rPr>
            </w:pPr>
            <w:r>
              <w:rPr>
                <w:color w:val="0000FF"/>
              </w:rPr>
              <w:t>20.7E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3634" w:type="dxa"/>
            <w:gridSpan w:val="2"/>
            <w:vAlign w:val="center"/>
          </w:tcPr>
          <w:p>
            <w:pPr>
              <w:pStyle w:val="22"/>
              <w:bidi w:val="0"/>
              <w:jc w:val="center"/>
              <w:rPr>
                <w:color w:val="0000FF"/>
              </w:rPr>
            </w:pPr>
            <w:r>
              <w:rPr>
                <w:color w:val="0000FF"/>
              </w:rPr>
              <w:t>多年平均风速（m/s）</w:t>
            </w:r>
          </w:p>
        </w:tc>
        <w:tc>
          <w:tcPr>
            <w:tcW w:w="1439" w:type="dxa"/>
            <w:vAlign w:val="center"/>
          </w:tcPr>
          <w:p>
            <w:pPr>
              <w:pStyle w:val="22"/>
              <w:bidi w:val="0"/>
              <w:jc w:val="center"/>
              <w:rPr>
                <w:color w:val="0000FF"/>
              </w:rPr>
            </w:pPr>
            <w:r>
              <w:rPr>
                <w:color w:val="0000FF"/>
              </w:rPr>
              <w:t>1.3</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634" w:type="dxa"/>
            <w:gridSpan w:val="2"/>
            <w:vAlign w:val="center"/>
          </w:tcPr>
          <w:p>
            <w:pPr>
              <w:pStyle w:val="22"/>
              <w:bidi w:val="0"/>
              <w:jc w:val="center"/>
              <w:rPr>
                <w:color w:val="0000FF"/>
              </w:rPr>
            </w:pPr>
            <w:r>
              <w:rPr>
                <w:color w:val="0000FF"/>
              </w:rPr>
              <w:t>多年主导风向、风向频率（%）</w:t>
            </w:r>
          </w:p>
        </w:tc>
        <w:tc>
          <w:tcPr>
            <w:tcW w:w="1439" w:type="dxa"/>
            <w:vAlign w:val="center"/>
          </w:tcPr>
          <w:p>
            <w:pPr>
              <w:pStyle w:val="22"/>
              <w:bidi w:val="0"/>
              <w:jc w:val="center"/>
              <w:rPr>
                <w:color w:val="0000FF"/>
              </w:rPr>
            </w:pPr>
            <w:r>
              <w:rPr>
                <w:color w:val="0000FF"/>
              </w:rPr>
              <w:t>C</w:t>
            </w:r>
            <w:r>
              <w:rPr>
                <w:rFonts w:hint="eastAsia"/>
                <w:color w:val="0000FF"/>
                <w:lang w:eastAsia="zh-CN"/>
              </w:rPr>
              <w:t>.</w:t>
            </w:r>
            <w:r>
              <w:rPr>
                <w:color w:val="0000FF"/>
              </w:rPr>
              <w:t>22.1%</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634" w:type="dxa"/>
            <w:gridSpan w:val="2"/>
            <w:vAlign w:val="center"/>
          </w:tcPr>
          <w:p>
            <w:pPr>
              <w:pStyle w:val="22"/>
              <w:bidi w:val="0"/>
              <w:jc w:val="center"/>
              <w:rPr>
                <w:color w:val="0000FF"/>
              </w:rPr>
            </w:pPr>
            <w:r>
              <w:rPr>
                <w:color w:val="0000FF"/>
              </w:rPr>
              <w:t>多年静风频率（风速≤0.2m/s）（%）</w:t>
            </w:r>
          </w:p>
        </w:tc>
        <w:tc>
          <w:tcPr>
            <w:tcW w:w="1439" w:type="dxa"/>
            <w:vAlign w:val="center"/>
          </w:tcPr>
          <w:p>
            <w:pPr>
              <w:pStyle w:val="22"/>
              <w:bidi w:val="0"/>
              <w:jc w:val="center"/>
              <w:rPr>
                <w:color w:val="0000FF"/>
              </w:rPr>
            </w:pPr>
            <w:r>
              <w:rPr>
                <w:color w:val="0000FF"/>
              </w:rPr>
              <w:t>22.1</w:t>
            </w:r>
          </w:p>
        </w:tc>
        <w:tc>
          <w:tcPr>
            <w:tcW w:w="1701" w:type="dxa"/>
            <w:vAlign w:val="center"/>
          </w:tcPr>
          <w:p>
            <w:pPr>
              <w:pStyle w:val="22"/>
              <w:bidi w:val="0"/>
              <w:jc w:val="center"/>
              <w:rPr>
                <w:color w:val="0000FF"/>
              </w:rPr>
            </w:pPr>
          </w:p>
        </w:tc>
        <w:tc>
          <w:tcPr>
            <w:tcW w:w="1754"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3634" w:type="dxa"/>
            <w:gridSpan w:val="2"/>
            <w:vAlign w:val="center"/>
          </w:tcPr>
          <w:p>
            <w:pPr>
              <w:pStyle w:val="22"/>
              <w:bidi w:val="0"/>
              <w:jc w:val="center"/>
              <w:rPr>
                <w:color w:val="0000FF"/>
              </w:rPr>
            </w:pPr>
            <w:r>
              <w:rPr>
                <w:color w:val="0000FF"/>
              </w:rPr>
              <w:t>*统计值代表均值</w:t>
            </w:r>
          </w:p>
          <w:p>
            <w:pPr>
              <w:pStyle w:val="22"/>
              <w:bidi w:val="0"/>
              <w:jc w:val="center"/>
              <w:rPr>
                <w:color w:val="0000FF"/>
              </w:rPr>
            </w:pPr>
            <w:r>
              <w:rPr>
                <w:color w:val="0000FF"/>
              </w:rPr>
              <w:t>**极值代表极端值</w:t>
            </w:r>
          </w:p>
        </w:tc>
        <w:tc>
          <w:tcPr>
            <w:tcW w:w="1439" w:type="dxa"/>
            <w:vAlign w:val="center"/>
          </w:tcPr>
          <w:p>
            <w:pPr>
              <w:pStyle w:val="22"/>
              <w:bidi w:val="0"/>
              <w:jc w:val="center"/>
              <w:rPr>
                <w:color w:val="0000FF"/>
              </w:rPr>
            </w:pPr>
            <w:r>
              <w:rPr>
                <w:color w:val="0000FF"/>
              </w:rPr>
              <w:t>举例：累计极端最高气温</w:t>
            </w:r>
          </w:p>
        </w:tc>
        <w:tc>
          <w:tcPr>
            <w:tcW w:w="1701" w:type="dxa"/>
            <w:vAlign w:val="center"/>
          </w:tcPr>
          <w:p>
            <w:pPr>
              <w:pStyle w:val="22"/>
              <w:bidi w:val="0"/>
              <w:jc w:val="center"/>
              <w:rPr>
                <w:rFonts w:hint="eastAsia" w:eastAsia="宋体"/>
                <w:color w:val="0000FF"/>
                <w:lang w:val="en-US" w:eastAsia="zh-CN"/>
              </w:rPr>
            </w:pPr>
            <w:r>
              <w:rPr>
                <w:color w:val="0000FF"/>
              </w:rPr>
              <w:t>*代表极端最高气温的累年平均</w:t>
            </w:r>
            <w:r>
              <w:rPr>
                <w:rFonts w:hint="eastAsia"/>
                <w:color w:val="0000FF"/>
                <w:lang w:val="en-US" w:eastAsia="zh-CN"/>
              </w:rPr>
              <w:t>值</w:t>
            </w:r>
          </w:p>
        </w:tc>
        <w:tc>
          <w:tcPr>
            <w:tcW w:w="1754" w:type="dxa"/>
            <w:vAlign w:val="center"/>
          </w:tcPr>
          <w:p>
            <w:pPr>
              <w:pStyle w:val="22"/>
              <w:bidi w:val="0"/>
              <w:jc w:val="center"/>
              <w:rPr>
                <w:rFonts w:hint="eastAsia" w:eastAsia="宋体"/>
                <w:color w:val="0000FF"/>
                <w:lang w:val="en-US" w:eastAsia="zh-CN"/>
              </w:rPr>
            </w:pPr>
            <w:r>
              <w:rPr>
                <w:color w:val="0000FF"/>
              </w:rPr>
              <w:t>**代表极端最高气温的累年最高</w:t>
            </w:r>
            <w:r>
              <w:rPr>
                <w:rFonts w:hint="eastAsia"/>
                <w:color w:val="0000FF"/>
                <w:lang w:val="en-US" w:eastAsia="zh-CN"/>
              </w:rPr>
              <w:t>值</w:t>
            </w:r>
          </w:p>
        </w:tc>
      </w:tr>
    </w:tbl>
    <w:p>
      <w:pPr>
        <w:bidi w:val="0"/>
        <w:rPr>
          <w:color w:val="0000FF"/>
        </w:rPr>
      </w:pPr>
      <w:r>
        <w:rPr>
          <w:color w:val="0000FF"/>
        </w:rPr>
        <w:t>①风速</w:t>
      </w:r>
    </w:p>
    <w:p>
      <w:pPr>
        <w:bidi w:val="0"/>
        <w:rPr>
          <w:color w:val="0000FF"/>
        </w:rPr>
      </w:pPr>
      <w:r>
        <w:rPr>
          <w:color w:val="0000FF"/>
        </w:rPr>
        <w:t>近20年于田气象站月平均风速见表5.2-2，6月平均风速最大（1.7m/s），10月风速最小（0.9m/s）。</w:t>
      </w:r>
    </w:p>
    <w:p>
      <w:pPr>
        <w:pStyle w:val="22"/>
        <w:bidi w:val="0"/>
        <w:rPr>
          <w:b/>
          <w:bCs/>
          <w:color w:val="0000FF"/>
        </w:rPr>
      </w:pPr>
      <w:r>
        <w:rPr>
          <w:b/>
          <w:bCs/>
          <w:color w:val="0000FF"/>
        </w:rPr>
        <w:t>表</w:t>
      </w:r>
      <w:r>
        <w:rPr>
          <w:rFonts w:hint="eastAsia"/>
          <w:b/>
          <w:bCs/>
          <w:color w:val="0000FF"/>
          <w:lang w:val="en-US" w:eastAsia="zh-CN"/>
        </w:rPr>
        <w:t>5</w:t>
      </w:r>
      <w:r>
        <w:rPr>
          <w:b/>
          <w:bCs/>
          <w:color w:val="0000FF"/>
        </w:rPr>
        <w:t>.2-2</w:t>
      </w:r>
      <w:r>
        <w:rPr>
          <w:rFonts w:hint="eastAsia"/>
          <w:b/>
          <w:bCs/>
          <w:color w:val="0000FF"/>
          <w:lang w:val="en-US" w:eastAsia="zh-CN"/>
        </w:rPr>
        <w:t xml:space="preserve">   </w:t>
      </w:r>
      <w:r>
        <w:rPr>
          <w:b/>
          <w:bCs/>
          <w:color w:val="0000FF"/>
        </w:rPr>
        <w:t>于田气象站月平均风速统计</w:t>
      </w:r>
      <w:r>
        <w:rPr>
          <w:rFonts w:hint="eastAsia"/>
          <w:b/>
          <w:bCs/>
          <w:color w:val="0000FF"/>
          <w:lang w:val="en-US" w:eastAsia="zh-CN"/>
        </w:rPr>
        <w:t xml:space="preserve">   </w:t>
      </w:r>
      <w:r>
        <w:rPr>
          <w:b/>
          <w:bCs/>
          <w:color w:val="0000FF"/>
        </w:rPr>
        <w:t>单位：m/s</w:t>
      </w:r>
    </w:p>
    <w:tbl>
      <w:tblPr>
        <w:tblStyle w:val="23"/>
        <w:tblpPr w:leftFromText="180" w:rightFromText="180" w:vertAnchor="text" w:horzAnchor="page" w:tblpXSpec="center" w:tblpY="31"/>
        <w:tblOverlap w:val="never"/>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655"/>
        <w:gridCol w:w="655"/>
        <w:gridCol w:w="658"/>
        <w:gridCol w:w="652"/>
        <w:gridCol w:w="657"/>
        <w:gridCol w:w="655"/>
        <w:gridCol w:w="655"/>
        <w:gridCol w:w="655"/>
        <w:gridCol w:w="655"/>
        <w:gridCol w:w="655"/>
        <w:gridCol w:w="658"/>
        <w:gridCol w:w="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59" w:type="dxa"/>
            <w:vAlign w:val="center"/>
          </w:tcPr>
          <w:p>
            <w:pPr>
              <w:pStyle w:val="22"/>
              <w:bidi w:val="0"/>
              <w:jc w:val="center"/>
              <w:rPr>
                <w:color w:val="0000FF"/>
              </w:rPr>
            </w:pPr>
            <w:r>
              <w:rPr>
                <w:color w:val="0000FF"/>
              </w:rPr>
              <w:t>月份</w:t>
            </w:r>
          </w:p>
        </w:tc>
        <w:tc>
          <w:tcPr>
            <w:tcW w:w="655" w:type="dxa"/>
            <w:vAlign w:val="center"/>
          </w:tcPr>
          <w:p>
            <w:pPr>
              <w:pStyle w:val="22"/>
              <w:bidi w:val="0"/>
              <w:jc w:val="center"/>
              <w:rPr>
                <w:color w:val="0000FF"/>
              </w:rPr>
            </w:pPr>
            <w:r>
              <w:rPr>
                <w:color w:val="0000FF"/>
              </w:rPr>
              <w:t>1月</w:t>
            </w:r>
          </w:p>
        </w:tc>
        <w:tc>
          <w:tcPr>
            <w:tcW w:w="655" w:type="dxa"/>
            <w:vAlign w:val="center"/>
          </w:tcPr>
          <w:p>
            <w:pPr>
              <w:pStyle w:val="22"/>
              <w:bidi w:val="0"/>
              <w:jc w:val="center"/>
              <w:rPr>
                <w:color w:val="0000FF"/>
              </w:rPr>
            </w:pPr>
            <w:r>
              <w:rPr>
                <w:color w:val="0000FF"/>
              </w:rPr>
              <w:t>2月</w:t>
            </w:r>
          </w:p>
        </w:tc>
        <w:tc>
          <w:tcPr>
            <w:tcW w:w="658" w:type="dxa"/>
            <w:vAlign w:val="center"/>
          </w:tcPr>
          <w:p>
            <w:pPr>
              <w:pStyle w:val="22"/>
              <w:bidi w:val="0"/>
              <w:jc w:val="center"/>
              <w:rPr>
                <w:color w:val="0000FF"/>
              </w:rPr>
            </w:pPr>
            <w:r>
              <w:rPr>
                <w:color w:val="0000FF"/>
              </w:rPr>
              <w:t>3月</w:t>
            </w:r>
          </w:p>
        </w:tc>
        <w:tc>
          <w:tcPr>
            <w:tcW w:w="652" w:type="dxa"/>
            <w:vAlign w:val="center"/>
          </w:tcPr>
          <w:p>
            <w:pPr>
              <w:pStyle w:val="22"/>
              <w:bidi w:val="0"/>
              <w:jc w:val="center"/>
              <w:rPr>
                <w:color w:val="0000FF"/>
              </w:rPr>
            </w:pPr>
            <w:r>
              <w:rPr>
                <w:color w:val="0000FF"/>
              </w:rPr>
              <w:t>4月</w:t>
            </w:r>
          </w:p>
        </w:tc>
        <w:tc>
          <w:tcPr>
            <w:tcW w:w="657" w:type="dxa"/>
            <w:vAlign w:val="center"/>
          </w:tcPr>
          <w:p>
            <w:pPr>
              <w:pStyle w:val="22"/>
              <w:bidi w:val="0"/>
              <w:jc w:val="center"/>
              <w:rPr>
                <w:color w:val="0000FF"/>
              </w:rPr>
            </w:pPr>
            <w:r>
              <w:rPr>
                <w:color w:val="0000FF"/>
              </w:rPr>
              <w:t>5月</w:t>
            </w:r>
          </w:p>
        </w:tc>
        <w:tc>
          <w:tcPr>
            <w:tcW w:w="655" w:type="dxa"/>
            <w:vAlign w:val="center"/>
          </w:tcPr>
          <w:p>
            <w:pPr>
              <w:pStyle w:val="22"/>
              <w:bidi w:val="0"/>
              <w:jc w:val="center"/>
              <w:rPr>
                <w:color w:val="0000FF"/>
              </w:rPr>
            </w:pPr>
            <w:r>
              <w:rPr>
                <w:color w:val="0000FF"/>
              </w:rPr>
              <w:t>6月</w:t>
            </w:r>
          </w:p>
        </w:tc>
        <w:tc>
          <w:tcPr>
            <w:tcW w:w="655" w:type="dxa"/>
            <w:vAlign w:val="center"/>
          </w:tcPr>
          <w:p>
            <w:pPr>
              <w:pStyle w:val="22"/>
              <w:bidi w:val="0"/>
              <w:jc w:val="center"/>
              <w:rPr>
                <w:color w:val="0000FF"/>
              </w:rPr>
            </w:pPr>
            <w:r>
              <w:rPr>
                <w:color w:val="0000FF"/>
              </w:rPr>
              <w:t>7月</w:t>
            </w:r>
          </w:p>
        </w:tc>
        <w:tc>
          <w:tcPr>
            <w:tcW w:w="655" w:type="dxa"/>
            <w:vAlign w:val="center"/>
          </w:tcPr>
          <w:p>
            <w:pPr>
              <w:pStyle w:val="22"/>
              <w:bidi w:val="0"/>
              <w:jc w:val="center"/>
              <w:rPr>
                <w:color w:val="0000FF"/>
              </w:rPr>
            </w:pPr>
            <w:r>
              <w:rPr>
                <w:color w:val="0000FF"/>
              </w:rPr>
              <w:t>8月</w:t>
            </w:r>
          </w:p>
        </w:tc>
        <w:tc>
          <w:tcPr>
            <w:tcW w:w="655" w:type="dxa"/>
            <w:vAlign w:val="center"/>
          </w:tcPr>
          <w:p>
            <w:pPr>
              <w:pStyle w:val="22"/>
              <w:bidi w:val="0"/>
              <w:jc w:val="center"/>
              <w:rPr>
                <w:color w:val="0000FF"/>
              </w:rPr>
            </w:pPr>
            <w:r>
              <w:rPr>
                <w:color w:val="0000FF"/>
              </w:rPr>
              <w:t>9月</w:t>
            </w:r>
          </w:p>
        </w:tc>
        <w:tc>
          <w:tcPr>
            <w:tcW w:w="655" w:type="dxa"/>
            <w:vAlign w:val="center"/>
          </w:tcPr>
          <w:p>
            <w:pPr>
              <w:pStyle w:val="22"/>
              <w:bidi w:val="0"/>
              <w:jc w:val="center"/>
              <w:rPr>
                <w:color w:val="0000FF"/>
              </w:rPr>
            </w:pPr>
            <w:r>
              <w:rPr>
                <w:color w:val="0000FF"/>
              </w:rPr>
              <w:t>10月</w:t>
            </w:r>
          </w:p>
        </w:tc>
        <w:tc>
          <w:tcPr>
            <w:tcW w:w="658" w:type="dxa"/>
            <w:vAlign w:val="center"/>
          </w:tcPr>
          <w:p>
            <w:pPr>
              <w:pStyle w:val="22"/>
              <w:bidi w:val="0"/>
              <w:jc w:val="center"/>
              <w:rPr>
                <w:color w:val="0000FF"/>
              </w:rPr>
            </w:pPr>
            <w:r>
              <w:rPr>
                <w:color w:val="0000FF"/>
              </w:rPr>
              <w:t>11月</w:t>
            </w:r>
          </w:p>
        </w:tc>
        <w:tc>
          <w:tcPr>
            <w:tcW w:w="659" w:type="dxa"/>
            <w:vAlign w:val="center"/>
          </w:tcPr>
          <w:p>
            <w:pPr>
              <w:pStyle w:val="22"/>
              <w:bidi w:val="0"/>
              <w:jc w:val="center"/>
              <w:rPr>
                <w:color w:val="0000FF"/>
              </w:rPr>
            </w:pPr>
            <w:r>
              <w:rPr>
                <w:color w:val="0000FF"/>
              </w:rPr>
              <w:t>12月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659" w:type="dxa"/>
            <w:vAlign w:val="center"/>
          </w:tcPr>
          <w:p>
            <w:pPr>
              <w:pStyle w:val="22"/>
              <w:bidi w:val="0"/>
              <w:jc w:val="center"/>
              <w:rPr>
                <w:color w:val="0000FF"/>
              </w:rPr>
            </w:pPr>
            <w:r>
              <w:rPr>
                <w:color w:val="0000FF"/>
              </w:rPr>
              <w:t>平均风速</w:t>
            </w:r>
          </w:p>
        </w:tc>
        <w:tc>
          <w:tcPr>
            <w:tcW w:w="655" w:type="dxa"/>
            <w:vAlign w:val="center"/>
          </w:tcPr>
          <w:p>
            <w:pPr>
              <w:pStyle w:val="22"/>
              <w:bidi w:val="0"/>
              <w:jc w:val="center"/>
              <w:rPr>
                <w:color w:val="0000FF"/>
              </w:rPr>
            </w:pPr>
            <w:r>
              <w:rPr>
                <w:color w:val="0000FF"/>
              </w:rPr>
              <w:t>1.0</w:t>
            </w:r>
          </w:p>
        </w:tc>
        <w:tc>
          <w:tcPr>
            <w:tcW w:w="655" w:type="dxa"/>
            <w:vAlign w:val="center"/>
          </w:tcPr>
          <w:p>
            <w:pPr>
              <w:pStyle w:val="22"/>
              <w:bidi w:val="0"/>
              <w:jc w:val="center"/>
              <w:rPr>
                <w:color w:val="0000FF"/>
              </w:rPr>
            </w:pPr>
            <w:r>
              <w:rPr>
                <w:color w:val="0000FF"/>
              </w:rPr>
              <w:t>1.2</w:t>
            </w:r>
          </w:p>
        </w:tc>
        <w:tc>
          <w:tcPr>
            <w:tcW w:w="658" w:type="dxa"/>
            <w:vAlign w:val="center"/>
          </w:tcPr>
          <w:p>
            <w:pPr>
              <w:pStyle w:val="22"/>
              <w:bidi w:val="0"/>
              <w:jc w:val="center"/>
              <w:rPr>
                <w:color w:val="0000FF"/>
              </w:rPr>
            </w:pPr>
            <w:r>
              <w:rPr>
                <w:color w:val="0000FF"/>
              </w:rPr>
              <w:t>1.5</w:t>
            </w:r>
          </w:p>
        </w:tc>
        <w:tc>
          <w:tcPr>
            <w:tcW w:w="652" w:type="dxa"/>
            <w:vAlign w:val="center"/>
          </w:tcPr>
          <w:p>
            <w:pPr>
              <w:pStyle w:val="22"/>
              <w:bidi w:val="0"/>
              <w:jc w:val="center"/>
              <w:rPr>
                <w:color w:val="0000FF"/>
              </w:rPr>
            </w:pPr>
            <w:r>
              <w:rPr>
                <w:color w:val="0000FF"/>
              </w:rPr>
              <w:t>1.5</w:t>
            </w:r>
          </w:p>
        </w:tc>
        <w:tc>
          <w:tcPr>
            <w:tcW w:w="657" w:type="dxa"/>
            <w:vAlign w:val="center"/>
          </w:tcPr>
          <w:p>
            <w:pPr>
              <w:pStyle w:val="22"/>
              <w:bidi w:val="0"/>
              <w:jc w:val="center"/>
              <w:rPr>
                <w:color w:val="0000FF"/>
              </w:rPr>
            </w:pPr>
            <w:r>
              <w:rPr>
                <w:color w:val="0000FF"/>
              </w:rPr>
              <w:t>1.5</w:t>
            </w:r>
          </w:p>
        </w:tc>
        <w:tc>
          <w:tcPr>
            <w:tcW w:w="655" w:type="dxa"/>
            <w:vAlign w:val="center"/>
          </w:tcPr>
          <w:p>
            <w:pPr>
              <w:pStyle w:val="22"/>
              <w:bidi w:val="0"/>
              <w:jc w:val="center"/>
              <w:rPr>
                <w:color w:val="0000FF"/>
              </w:rPr>
            </w:pPr>
            <w:r>
              <w:rPr>
                <w:color w:val="0000FF"/>
              </w:rPr>
              <w:t>1.7</w:t>
            </w:r>
          </w:p>
        </w:tc>
        <w:tc>
          <w:tcPr>
            <w:tcW w:w="655" w:type="dxa"/>
            <w:vAlign w:val="center"/>
          </w:tcPr>
          <w:p>
            <w:pPr>
              <w:pStyle w:val="22"/>
              <w:bidi w:val="0"/>
              <w:jc w:val="center"/>
              <w:rPr>
                <w:color w:val="0000FF"/>
              </w:rPr>
            </w:pPr>
            <w:r>
              <w:rPr>
                <w:color w:val="0000FF"/>
              </w:rPr>
              <w:t>1.5</w:t>
            </w:r>
          </w:p>
        </w:tc>
        <w:tc>
          <w:tcPr>
            <w:tcW w:w="655" w:type="dxa"/>
            <w:vAlign w:val="center"/>
          </w:tcPr>
          <w:p>
            <w:pPr>
              <w:pStyle w:val="22"/>
              <w:bidi w:val="0"/>
              <w:jc w:val="center"/>
              <w:rPr>
                <w:color w:val="0000FF"/>
              </w:rPr>
            </w:pPr>
            <w:r>
              <w:rPr>
                <w:color w:val="0000FF"/>
              </w:rPr>
              <w:t>1.3</w:t>
            </w:r>
          </w:p>
        </w:tc>
        <w:tc>
          <w:tcPr>
            <w:tcW w:w="655" w:type="dxa"/>
            <w:vAlign w:val="center"/>
          </w:tcPr>
          <w:p>
            <w:pPr>
              <w:pStyle w:val="22"/>
              <w:bidi w:val="0"/>
              <w:jc w:val="center"/>
              <w:rPr>
                <w:color w:val="0000FF"/>
              </w:rPr>
            </w:pPr>
            <w:r>
              <w:rPr>
                <w:color w:val="0000FF"/>
              </w:rPr>
              <w:t>1.1</w:t>
            </w:r>
          </w:p>
        </w:tc>
        <w:tc>
          <w:tcPr>
            <w:tcW w:w="655" w:type="dxa"/>
            <w:vAlign w:val="center"/>
          </w:tcPr>
          <w:p>
            <w:pPr>
              <w:pStyle w:val="22"/>
              <w:bidi w:val="0"/>
              <w:jc w:val="center"/>
              <w:rPr>
                <w:color w:val="0000FF"/>
              </w:rPr>
            </w:pPr>
            <w:r>
              <w:rPr>
                <w:color w:val="0000FF"/>
              </w:rPr>
              <w:t>0.9</w:t>
            </w:r>
          </w:p>
        </w:tc>
        <w:tc>
          <w:tcPr>
            <w:tcW w:w="658" w:type="dxa"/>
            <w:vAlign w:val="center"/>
          </w:tcPr>
          <w:p>
            <w:pPr>
              <w:pStyle w:val="22"/>
              <w:bidi w:val="0"/>
              <w:jc w:val="center"/>
              <w:rPr>
                <w:color w:val="0000FF"/>
              </w:rPr>
            </w:pPr>
            <w:r>
              <w:rPr>
                <w:color w:val="0000FF"/>
              </w:rPr>
              <w:t>0.9</w:t>
            </w:r>
          </w:p>
        </w:tc>
        <w:tc>
          <w:tcPr>
            <w:tcW w:w="659" w:type="dxa"/>
            <w:vAlign w:val="center"/>
          </w:tcPr>
          <w:p>
            <w:pPr>
              <w:pStyle w:val="22"/>
              <w:bidi w:val="0"/>
              <w:jc w:val="center"/>
              <w:rPr>
                <w:color w:val="0000FF"/>
              </w:rPr>
            </w:pPr>
            <w:r>
              <w:rPr>
                <w:color w:val="0000FF"/>
              </w:rPr>
              <w:t>1.0</w:t>
            </w:r>
          </w:p>
        </w:tc>
      </w:tr>
    </w:tbl>
    <w:p>
      <w:pPr>
        <w:spacing w:line="40" w:lineRule="exact"/>
        <w:rPr>
          <w:color w:val="0000FF"/>
        </w:rPr>
      </w:pPr>
    </w:p>
    <w:p>
      <w:pPr>
        <w:bidi w:val="0"/>
        <w:rPr>
          <w:rFonts w:hint="eastAsia" w:eastAsia="宋体"/>
          <w:color w:val="0000FF"/>
          <w:lang w:val="en-US" w:eastAsia="zh-CN"/>
        </w:rPr>
      </w:pPr>
      <w:r>
        <w:rPr>
          <w:color w:val="0000FF"/>
        </w:rPr>
        <w:t>根据近20年资料分析，于田气象站风速无明显变化趋势，201</w:t>
      </w:r>
      <w:r>
        <w:rPr>
          <w:rFonts w:hint="eastAsia"/>
          <w:color w:val="0000FF"/>
          <w:lang w:val="en-US" w:eastAsia="zh-CN"/>
        </w:rPr>
        <w:t>8</w:t>
      </w:r>
      <w:r>
        <w:rPr>
          <w:color w:val="0000FF"/>
        </w:rPr>
        <w:t>年平均风速最大（1.5m/s），2002年平均风速最小（1.1m/s），无明显周期。</w:t>
      </w:r>
    </w:p>
    <w:p>
      <w:pPr>
        <w:spacing w:before="95" w:line="186" w:lineRule="auto"/>
        <w:ind w:firstLine="1644"/>
        <w:jc w:val="center"/>
        <w:rPr>
          <w:rFonts w:ascii="宋体" w:hAnsi="宋体" w:eastAsia="宋体" w:cs="宋体"/>
          <w:color w:val="0000FF"/>
          <w:sz w:val="21"/>
          <w:szCs w:val="21"/>
        </w:rPr>
      </w:pPr>
      <w:r>
        <w:rPr>
          <w:rStyle w:val="32"/>
          <w:b/>
          <w:bCs/>
          <w:color w:val="0000FF"/>
        </w:rPr>
        <w:drawing>
          <wp:anchor distT="0" distB="0" distL="114300" distR="114300" simplePos="0" relativeHeight="251668480" behindDoc="0" locked="0" layoutInCell="1" allowOverlap="1">
            <wp:simplePos x="0" y="0"/>
            <wp:positionH relativeFrom="column">
              <wp:posOffset>149860</wp:posOffset>
            </wp:positionH>
            <wp:positionV relativeFrom="paragraph">
              <wp:posOffset>45720</wp:posOffset>
            </wp:positionV>
            <wp:extent cx="5057775" cy="3886200"/>
            <wp:effectExtent l="0" t="0" r="9525" b="0"/>
            <wp:wrapTopAndBottom/>
            <wp:docPr id="19" name="图片 19" descr="FYWMW7E3`@83_ZW}426R$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YWMW7E3`@83_ZW}426R$NW"/>
                    <pic:cNvPicPr>
                      <a:picLocks noChangeAspect="1"/>
                    </pic:cNvPicPr>
                  </pic:nvPicPr>
                  <pic:blipFill>
                    <a:blip r:embed="rId22"/>
                    <a:stretch>
                      <a:fillRect/>
                    </a:stretch>
                  </pic:blipFill>
                  <pic:spPr>
                    <a:xfrm>
                      <a:off x="0" y="0"/>
                      <a:ext cx="5057775" cy="3886200"/>
                    </a:xfrm>
                    <a:prstGeom prst="rect">
                      <a:avLst/>
                    </a:prstGeom>
                  </pic:spPr>
                </pic:pic>
              </a:graphicData>
            </a:graphic>
          </wp:anchor>
        </w:drawing>
      </w:r>
      <w:r>
        <w:rPr>
          <w:rStyle w:val="32"/>
          <w:b/>
          <w:bCs/>
          <w:color w:val="0000FF"/>
        </w:rPr>
        <w:t>图</w:t>
      </w:r>
      <w:r>
        <w:rPr>
          <w:rStyle w:val="32"/>
          <w:rFonts w:hint="eastAsia"/>
          <w:b/>
          <w:bCs/>
          <w:color w:val="0000FF"/>
          <w:lang w:val="en-US" w:eastAsia="zh-CN"/>
        </w:rPr>
        <w:t>5</w:t>
      </w:r>
      <w:r>
        <w:rPr>
          <w:rStyle w:val="32"/>
          <w:b/>
          <w:bCs/>
          <w:color w:val="0000FF"/>
        </w:rPr>
        <w:t>.2-1于田（</w:t>
      </w:r>
      <w:r>
        <w:rPr>
          <w:rStyle w:val="32"/>
          <w:rFonts w:hint="eastAsia"/>
          <w:b/>
          <w:bCs/>
          <w:color w:val="0000FF"/>
          <w:lang w:val="en-US" w:eastAsia="zh-CN"/>
        </w:rPr>
        <w:t>2001</w:t>
      </w:r>
      <w:r>
        <w:rPr>
          <w:rStyle w:val="32"/>
          <w:b/>
          <w:bCs/>
          <w:color w:val="0000FF"/>
        </w:rPr>
        <w:t>-20</w:t>
      </w:r>
      <w:r>
        <w:rPr>
          <w:rStyle w:val="32"/>
          <w:rFonts w:hint="eastAsia"/>
          <w:b/>
          <w:bCs/>
          <w:color w:val="0000FF"/>
          <w:lang w:val="en-US" w:eastAsia="zh-CN"/>
        </w:rPr>
        <w:t>20</w:t>
      </w:r>
      <w:r>
        <w:rPr>
          <w:rStyle w:val="32"/>
          <w:b/>
          <w:bCs/>
          <w:color w:val="0000FF"/>
        </w:rPr>
        <w:t>）年平均风速（虚线为趋势线）</w:t>
      </w:r>
    </w:p>
    <w:p>
      <w:pPr>
        <w:bidi w:val="0"/>
        <w:rPr>
          <w:color w:val="0000FF"/>
        </w:rPr>
      </w:pPr>
      <w:r>
        <w:rPr>
          <w:color w:val="0000FF"/>
        </w:rPr>
        <w:t>②风向</w:t>
      </w:r>
    </w:p>
    <w:p>
      <w:pPr>
        <w:bidi w:val="0"/>
        <w:rPr>
          <w:color w:val="0000FF"/>
        </w:rPr>
      </w:pPr>
      <w:r>
        <w:rPr>
          <w:color w:val="0000FF"/>
        </w:rPr>
        <w:t>于田气象站风向频率统计见表6.1-3，主要风向为C和W、NW、WSW，占43.5%，其中以C为主风向，占到全年22.1%左右。</w:t>
      </w:r>
    </w:p>
    <w:p>
      <w:pPr>
        <w:bidi w:val="0"/>
        <w:rPr>
          <w:color w:val="0000FF"/>
        </w:rPr>
      </w:pPr>
      <w:r>
        <w:rPr>
          <w:color w:val="0000FF"/>
        </w:rPr>
        <w:t>近20年资料分析的风向玫瑰图见图4.2-3。</w:t>
      </w:r>
    </w:p>
    <w:p>
      <w:pPr>
        <w:pStyle w:val="22"/>
        <w:bidi w:val="0"/>
        <w:rPr>
          <w:b/>
          <w:bCs/>
          <w:color w:val="0000FF"/>
        </w:rPr>
      </w:pPr>
      <w:r>
        <w:rPr>
          <w:b/>
          <w:bCs/>
          <w:color w:val="0000FF"/>
        </w:rPr>
        <w:t>表</w:t>
      </w:r>
      <w:r>
        <w:rPr>
          <w:rFonts w:hint="eastAsia"/>
          <w:b/>
          <w:bCs/>
          <w:color w:val="0000FF"/>
          <w:lang w:val="en-US" w:eastAsia="zh-CN"/>
        </w:rPr>
        <w:t>5</w:t>
      </w:r>
      <w:r>
        <w:rPr>
          <w:b/>
          <w:bCs/>
          <w:color w:val="0000FF"/>
        </w:rPr>
        <w:t>.2-3于田气象站年风向频率统计</w:t>
      </w:r>
    </w:p>
    <w:p>
      <w:pPr>
        <w:spacing w:line="56" w:lineRule="exact"/>
        <w:rPr>
          <w:color w:val="0000FF"/>
        </w:rPr>
      </w:pPr>
    </w:p>
    <w:tbl>
      <w:tblPr>
        <w:tblStyle w:val="23"/>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2"/>
        <w:gridCol w:w="790"/>
        <w:gridCol w:w="788"/>
        <w:gridCol w:w="786"/>
        <w:gridCol w:w="786"/>
        <w:gridCol w:w="815"/>
        <w:gridCol w:w="752"/>
        <w:gridCol w:w="786"/>
        <w:gridCol w:w="786"/>
        <w:gridCol w:w="7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1442" w:type="dxa"/>
            <w:vAlign w:val="center"/>
          </w:tcPr>
          <w:p>
            <w:pPr>
              <w:pStyle w:val="22"/>
              <w:bidi w:val="0"/>
              <w:jc w:val="center"/>
              <w:rPr>
                <w:color w:val="0000FF"/>
              </w:rPr>
            </w:pPr>
            <w:r>
              <w:rPr>
                <w:color w:val="0000FF"/>
              </w:rPr>
              <w:t>风向</w:t>
            </w:r>
          </w:p>
        </w:tc>
        <w:tc>
          <w:tcPr>
            <w:tcW w:w="790" w:type="dxa"/>
            <w:vAlign w:val="center"/>
          </w:tcPr>
          <w:p>
            <w:pPr>
              <w:pStyle w:val="22"/>
              <w:bidi w:val="0"/>
              <w:jc w:val="center"/>
              <w:rPr>
                <w:color w:val="0000FF"/>
              </w:rPr>
            </w:pPr>
            <w:r>
              <w:rPr>
                <w:color w:val="0000FF"/>
              </w:rPr>
              <w:t>N</w:t>
            </w:r>
          </w:p>
        </w:tc>
        <w:tc>
          <w:tcPr>
            <w:tcW w:w="788" w:type="dxa"/>
            <w:vAlign w:val="center"/>
          </w:tcPr>
          <w:p>
            <w:pPr>
              <w:pStyle w:val="22"/>
              <w:bidi w:val="0"/>
              <w:jc w:val="center"/>
              <w:rPr>
                <w:color w:val="0000FF"/>
              </w:rPr>
            </w:pPr>
            <w:r>
              <w:rPr>
                <w:color w:val="0000FF"/>
              </w:rPr>
              <w:t>NNE</w:t>
            </w:r>
          </w:p>
        </w:tc>
        <w:tc>
          <w:tcPr>
            <w:tcW w:w="786" w:type="dxa"/>
            <w:vAlign w:val="center"/>
          </w:tcPr>
          <w:p>
            <w:pPr>
              <w:pStyle w:val="22"/>
              <w:bidi w:val="0"/>
              <w:jc w:val="center"/>
              <w:rPr>
                <w:color w:val="0000FF"/>
              </w:rPr>
            </w:pPr>
            <w:r>
              <w:rPr>
                <w:color w:val="0000FF"/>
              </w:rPr>
              <w:t>NE</w:t>
            </w:r>
          </w:p>
        </w:tc>
        <w:tc>
          <w:tcPr>
            <w:tcW w:w="786" w:type="dxa"/>
            <w:vAlign w:val="center"/>
          </w:tcPr>
          <w:p>
            <w:pPr>
              <w:pStyle w:val="22"/>
              <w:bidi w:val="0"/>
              <w:jc w:val="center"/>
              <w:rPr>
                <w:color w:val="0000FF"/>
              </w:rPr>
            </w:pPr>
            <w:r>
              <w:rPr>
                <w:color w:val="0000FF"/>
              </w:rPr>
              <w:t>ENE</w:t>
            </w:r>
          </w:p>
        </w:tc>
        <w:tc>
          <w:tcPr>
            <w:tcW w:w="815" w:type="dxa"/>
            <w:vAlign w:val="center"/>
          </w:tcPr>
          <w:p>
            <w:pPr>
              <w:pStyle w:val="22"/>
              <w:bidi w:val="0"/>
              <w:jc w:val="center"/>
              <w:rPr>
                <w:color w:val="0000FF"/>
              </w:rPr>
            </w:pPr>
            <w:r>
              <w:rPr>
                <w:color w:val="0000FF"/>
              </w:rPr>
              <w:t>E</w:t>
            </w:r>
          </w:p>
        </w:tc>
        <w:tc>
          <w:tcPr>
            <w:tcW w:w="752" w:type="dxa"/>
            <w:vAlign w:val="center"/>
          </w:tcPr>
          <w:p>
            <w:pPr>
              <w:pStyle w:val="22"/>
              <w:bidi w:val="0"/>
              <w:jc w:val="center"/>
              <w:rPr>
                <w:color w:val="0000FF"/>
              </w:rPr>
            </w:pPr>
            <w:r>
              <w:rPr>
                <w:color w:val="0000FF"/>
              </w:rPr>
              <w:t>ESE</w:t>
            </w:r>
          </w:p>
        </w:tc>
        <w:tc>
          <w:tcPr>
            <w:tcW w:w="786" w:type="dxa"/>
            <w:vAlign w:val="center"/>
          </w:tcPr>
          <w:p>
            <w:pPr>
              <w:pStyle w:val="22"/>
              <w:bidi w:val="0"/>
              <w:jc w:val="center"/>
              <w:rPr>
                <w:color w:val="0000FF"/>
              </w:rPr>
            </w:pPr>
            <w:r>
              <w:rPr>
                <w:color w:val="0000FF"/>
              </w:rPr>
              <w:t>SE</w:t>
            </w:r>
          </w:p>
        </w:tc>
        <w:tc>
          <w:tcPr>
            <w:tcW w:w="786" w:type="dxa"/>
            <w:vAlign w:val="center"/>
          </w:tcPr>
          <w:p>
            <w:pPr>
              <w:pStyle w:val="22"/>
              <w:bidi w:val="0"/>
              <w:jc w:val="center"/>
              <w:rPr>
                <w:color w:val="0000FF"/>
              </w:rPr>
            </w:pPr>
            <w:r>
              <w:rPr>
                <w:color w:val="0000FF"/>
              </w:rPr>
              <w:t>SSE</w:t>
            </w:r>
          </w:p>
        </w:tc>
        <w:tc>
          <w:tcPr>
            <w:tcW w:w="786" w:type="dxa"/>
            <w:vAlign w:val="center"/>
          </w:tcPr>
          <w:p>
            <w:pPr>
              <w:pStyle w:val="22"/>
              <w:bidi w:val="0"/>
              <w:jc w:val="center"/>
              <w:rPr>
                <w:color w:val="0000FF"/>
              </w:rPr>
            </w:pPr>
            <w:r>
              <w:rPr>
                <w:color w:val="0000FF"/>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jc w:val="center"/>
        </w:trPr>
        <w:tc>
          <w:tcPr>
            <w:tcW w:w="1442" w:type="dxa"/>
            <w:vAlign w:val="center"/>
          </w:tcPr>
          <w:p>
            <w:pPr>
              <w:pStyle w:val="22"/>
              <w:bidi w:val="0"/>
              <w:jc w:val="center"/>
              <w:rPr>
                <w:color w:val="0000FF"/>
              </w:rPr>
            </w:pPr>
            <w:r>
              <w:rPr>
                <w:color w:val="0000FF"/>
              </w:rPr>
              <w:t>频率（%）</w:t>
            </w:r>
          </w:p>
        </w:tc>
        <w:tc>
          <w:tcPr>
            <w:tcW w:w="790" w:type="dxa"/>
            <w:vAlign w:val="center"/>
          </w:tcPr>
          <w:p>
            <w:pPr>
              <w:pStyle w:val="22"/>
              <w:bidi w:val="0"/>
              <w:jc w:val="center"/>
              <w:rPr>
                <w:color w:val="0000FF"/>
              </w:rPr>
            </w:pPr>
            <w:r>
              <w:rPr>
                <w:color w:val="0000FF"/>
              </w:rPr>
              <w:t>4</w:t>
            </w:r>
          </w:p>
        </w:tc>
        <w:tc>
          <w:tcPr>
            <w:tcW w:w="788" w:type="dxa"/>
            <w:vAlign w:val="center"/>
          </w:tcPr>
          <w:p>
            <w:pPr>
              <w:pStyle w:val="22"/>
              <w:bidi w:val="0"/>
              <w:jc w:val="center"/>
              <w:rPr>
                <w:color w:val="0000FF"/>
              </w:rPr>
            </w:pPr>
            <w:r>
              <w:rPr>
                <w:color w:val="0000FF"/>
              </w:rPr>
              <w:t>3.7</w:t>
            </w:r>
          </w:p>
        </w:tc>
        <w:tc>
          <w:tcPr>
            <w:tcW w:w="786" w:type="dxa"/>
            <w:vAlign w:val="center"/>
          </w:tcPr>
          <w:p>
            <w:pPr>
              <w:pStyle w:val="22"/>
              <w:bidi w:val="0"/>
              <w:jc w:val="center"/>
              <w:rPr>
                <w:color w:val="0000FF"/>
              </w:rPr>
            </w:pPr>
            <w:r>
              <w:rPr>
                <w:color w:val="0000FF"/>
              </w:rPr>
              <w:t>5.5</w:t>
            </w:r>
          </w:p>
        </w:tc>
        <w:tc>
          <w:tcPr>
            <w:tcW w:w="786" w:type="dxa"/>
            <w:vAlign w:val="center"/>
          </w:tcPr>
          <w:p>
            <w:pPr>
              <w:pStyle w:val="22"/>
              <w:bidi w:val="0"/>
              <w:jc w:val="center"/>
              <w:rPr>
                <w:color w:val="0000FF"/>
              </w:rPr>
            </w:pPr>
            <w:r>
              <w:rPr>
                <w:color w:val="0000FF"/>
              </w:rPr>
              <w:t>3.9</w:t>
            </w:r>
          </w:p>
        </w:tc>
        <w:tc>
          <w:tcPr>
            <w:tcW w:w="815" w:type="dxa"/>
            <w:vAlign w:val="center"/>
          </w:tcPr>
          <w:p>
            <w:pPr>
              <w:pStyle w:val="22"/>
              <w:bidi w:val="0"/>
              <w:jc w:val="center"/>
              <w:rPr>
                <w:color w:val="0000FF"/>
              </w:rPr>
            </w:pPr>
            <w:r>
              <w:rPr>
                <w:color w:val="0000FF"/>
              </w:rPr>
              <w:t>2.8</w:t>
            </w:r>
          </w:p>
        </w:tc>
        <w:tc>
          <w:tcPr>
            <w:tcW w:w="752" w:type="dxa"/>
            <w:vAlign w:val="center"/>
          </w:tcPr>
          <w:p>
            <w:pPr>
              <w:pStyle w:val="22"/>
              <w:bidi w:val="0"/>
              <w:jc w:val="center"/>
              <w:rPr>
                <w:color w:val="0000FF"/>
              </w:rPr>
            </w:pPr>
            <w:r>
              <w:rPr>
                <w:color w:val="0000FF"/>
              </w:rPr>
              <w:t>2.2</w:t>
            </w:r>
          </w:p>
        </w:tc>
        <w:tc>
          <w:tcPr>
            <w:tcW w:w="786" w:type="dxa"/>
            <w:vAlign w:val="center"/>
          </w:tcPr>
          <w:p>
            <w:pPr>
              <w:pStyle w:val="22"/>
              <w:bidi w:val="0"/>
              <w:jc w:val="center"/>
              <w:rPr>
                <w:color w:val="0000FF"/>
              </w:rPr>
            </w:pPr>
            <w:r>
              <w:rPr>
                <w:color w:val="0000FF"/>
              </w:rPr>
              <w:t>3.2</w:t>
            </w:r>
          </w:p>
        </w:tc>
        <w:tc>
          <w:tcPr>
            <w:tcW w:w="786" w:type="dxa"/>
            <w:vAlign w:val="center"/>
          </w:tcPr>
          <w:p>
            <w:pPr>
              <w:pStyle w:val="22"/>
              <w:bidi w:val="0"/>
              <w:jc w:val="center"/>
              <w:rPr>
                <w:color w:val="0000FF"/>
              </w:rPr>
            </w:pPr>
            <w:r>
              <w:rPr>
                <w:color w:val="0000FF"/>
              </w:rPr>
              <w:t>4.9</w:t>
            </w:r>
          </w:p>
        </w:tc>
        <w:tc>
          <w:tcPr>
            <w:tcW w:w="786" w:type="dxa"/>
            <w:vAlign w:val="center"/>
          </w:tcPr>
          <w:p>
            <w:pPr>
              <w:pStyle w:val="22"/>
              <w:bidi w:val="0"/>
              <w:jc w:val="center"/>
              <w:rPr>
                <w:color w:val="0000FF"/>
              </w:rPr>
            </w:pPr>
            <w:r>
              <w:rPr>
                <w:color w:val="0000FF"/>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442" w:type="dxa"/>
            <w:vAlign w:val="center"/>
          </w:tcPr>
          <w:p>
            <w:pPr>
              <w:pStyle w:val="22"/>
              <w:bidi w:val="0"/>
              <w:jc w:val="center"/>
              <w:rPr>
                <w:color w:val="0000FF"/>
              </w:rPr>
            </w:pPr>
            <w:r>
              <w:rPr>
                <w:color w:val="0000FF"/>
              </w:rPr>
              <w:t>风向</w:t>
            </w:r>
          </w:p>
        </w:tc>
        <w:tc>
          <w:tcPr>
            <w:tcW w:w="790" w:type="dxa"/>
            <w:vAlign w:val="center"/>
          </w:tcPr>
          <w:p>
            <w:pPr>
              <w:pStyle w:val="22"/>
              <w:bidi w:val="0"/>
              <w:jc w:val="center"/>
              <w:rPr>
                <w:color w:val="0000FF"/>
              </w:rPr>
            </w:pPr>
            <w:r>
              <w:rPr>
                <w:color w:val="0000FF"/>
              </w:rPr>
              <w:t>SSW</w:t>
            </w:r>
          </w:p>
        </w:tc>
        <w:tc>
          <w:tcPr>
            <w:tcW w:w="788" w:type="dxa"/>
            <w:vAlign w:val="center"/>
          </w:tcPr>
          <w:p>
            <w:pPr>
              <w:pStyle w:val="22"/>
              <w:bidi w:val="0"/>
              <w:jc w:val="center"/>
              <w:rPr>
                <w:color w:val="0000FF"/>
              </w:rPr>
            </w:pPr>
            <w:r>
              <w:rPr>
                <w:color w:val="0000FF"/>
              </w:rPr>
              <w:t>SW</w:t>
            </w:r>
          </w:p>
        </w:tc>
        <w:tc>
          <w:tcPr>
            <w:tcW w:w="786" w:type="dxa"/>
            <w:vAlign w:val="center"/>
          </w:tcPr>
          <w:p>
            <w:pPr>
              <w:pStyle w:val="22"/>
              <w:bidi w:val="0"/>
              <w:jc w:val="center"/>
              <w:rPr>
                <w:color w:val="0000FF"/>
              </w:rPr>
            </w:pPr>
            <w:r>
              <w:rPr>
                <w:color w:val="0000FF"/>
              </w:rPr>
              <w:t>WSW</w:t>
            </w:r>
          </w:p>
        </w:tc>
        <w:tc>
          <w:tcPr>
            <w:tcW w:w="786" w:type="dxa"/>
            <w:vAlign w:val="center"/>
          </w:tcPr>
          <w:p>
            <w:pPr>
              <w:pStyle w:val="22"/>
              <w:bidi w:val="0"/>
              <w:jc w:val="center"/>
              <w:rPr>
                <w:color w:val="0000FF"/>
              </w:rPr>
            </w:pPr>
            <w:r>
              <w:rPr>
                <w:color w:val="0000FF"/>
              </w:rPr>
              <w:t>W</w:t>
            </w:r>
          </w:p>
        </w:tc>
        <w:tc>
          <w:tcPr>
            <w:tcW w:w="815" w:type="dxa"/>
            <w:vAlign w:val="center"/>
          </w:tcPr>
          <w:p>
            <w:pPr>
              <w:pStyle w:val="22"/>
              <w:bidi w:val="0"/>
              <w:jc w:val="center"/>
              <w:rPr>
                <w:color w:val="0000FF"/>
              </w:rPr>
            </w:pPr>
            <w:r>
              <w:rPr>
                <w:color w:val="0000FF"/>
              </w:rPr>
              <w:t>WNW</w:t>
            </w:r>
          </w:p>
        </w:tc>
        <w:tc>
          <w:tcPr>
            <w:tcW w:w="752" w:type="dxa"/>
            <w:vAlign w:val="center"/>
          </w:tcPr>
          <w:p>
            <w:pPr>
              <w:pStyle w:val="22"/>
              <w:bidi w:val="0"/>
              <w:jc w:val="center"/>
              <w:rPr>
                <w:color w:val="0000FF"/>
              </w:rPr>
            </w:pPr>
            <w:r>
              <w:rPr>
                <w:color w:val="0000FF"/>
              </w:rPr>
              <w:t>NW</w:t>
            </w:r>
          </w:p>
        </w:tc>
        <w:tc>
          <w:tcPr>
            <w:tcW w:w="786" w:type="dxa"/>
            <w:vAlign w:val="center"/>
          </w:tcPr>
          <w:p>
            <w:pPr>
              <w:pStyle w:val="22"/>
              <w:bidi w:val="0"/>
              <w:jc w:val="center"/>
              <w:rPr>
                <w:color w:val="0000FF"/>
              </w:rPr>
            </w:pPr>
            <w:r>
              <w:rPr>
                <w:color w:val="0000FF"/>
              </w:rPr>
              <w:t>NNW</w:t>
            </w:r>
          </w:p>
        </w:tc>
        <w:tc>
          <w:tcPr>
            <w:tcW w:w="786" w:type="dxa"/>
            <w:vAlign w:val="center"/>
          </w:tcPr>
          <w:p>
            <w:pPr>
              <w:pStyle w:val="22"/>
              <w:bidi w:val="0"/>
              <w:jc w:val="center"/>
              <w:rPr>
                <w:color w:val="0000FF"/>
              </w:rPr>
            </w:pPr>
            <w:r>
              <w:rPr>
                <w:color w:val="0000FF"/>
              </w:rPr>
              <w:t>C</w:t>
            </w:r>
          </w:p>
        </w:tc>
        <w:tc>
          <w:tcPr>
            <w:tcW w:w="786" w:type="dxa"/>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442" w:type="dxa"/>
            <w:vAlign w:val="center"/>
          </w:tcPr>
          <w:p>
            <w:pPr>
              <w:pStyle w:val="22"/>
              <w:bidi w:val="0"/>
              <w:jc w:val="center"/>
              <w:rPr>
                <w:color w:val="0000FF"/>
              </w:rPr>
            </w:pPr>
            <w:r>
              <w:rPr>
                <w:color w:val="0000FF"/>
              </w:rPr>
              <w:t>频率（%）</w:t>
            </w:r>
          </w:p>
        </w:tc>
        <w:tc>
          <w:tcPr>
            <w:tcW w:w="790" w:type="dxa"/>
            <w:vAlign w:val="center"/>
          </w:tcPr>
          <w:p>
            <w:pPr>
              <w:pStyle w:val="22"/>
              <w:bidi w:val="0"/>
              <w:jc w:val="center"/>
              <w:rPr>
                <w:color w:val="0000FF"/>
              </w:rPr>
            </w:pPr>
            <w:r>
              <w:rPr>
                <w:color w:val="0000FF"/>
              </w:rPr>
              <w:t>4.4</w:t>
            </w:r>
          </w:p>
        </w:tc>
        <w:tc>
          <w:tcPr>
            <w:tcW w:w="788" w:type="dxa"/>
            <w:vAlign w:val="center"/>
          </w:tcPr>
          <w:p>
            <w:pPr>
              <w:pStyle w:val="22"/>
              <w:bidi w:val="0"/>
              <w:jc w:val="center"/>
              <w:rPr>
                <w:color w:val="0000FF"/>
              </w:rPr>
            </w:pPr>
            <w:r>
              <w:rPr>
                <w:color w:val="0000FF"/>
              </w:rPr>
              <w:t>6.1</w:t>
            </w:r>
          </w:p>
        </w:tc>
        <w:tc>
          <w:tcPr>
            <w:tcW w:w="786" w:type="dxa"/>
            <w:vAlign w:val="center"/>
          </w:tcPr>
          <w:p>
            <w:pPr>
              <w:pStyle w:val="22"/>
              <w:bidi w:val="0"/>
              <w:jc w:val="center"/>
              <w:rPr>
                <w:color w:val="0000FF"/>
              </w:rPr>
            </w:pPr>
            <w:r>
              <w:rPr>
                <w:color w:val="0000FF"/>
              </w:rPr>
              <w:t>6.3</w:t>
            </w:r>
          </w:p>
        </w:tc>
        <w:tc>
          <w:tcPr>
            <w:tcW w:w="786" w:type="dxa"/>
            <w:vAlign w:val="center"/>
          </w:tcPr>
          <w:p>
            <w:pPr>
              <w:pStyle w:val="22"/>
              <w:bidi w:val="0"/>
              <w:jc w:val="center"/>
              <w:rPr>
                <w:color w:val="0000FF"/>
              </w:rPr>
            </w:pPr>
            <w:r>
              <w:rPr>
                <w:color w:val="0000FF"/>
              </w:rPr>
              <w:t>8.2</w:t>
            </w:r>
          </w:p>
        </w:tc>
        <w:tc>
          <w:tcPr>
            <w:tcW w:w="815" w:type="dxa"/>
            <w:vAlign w:val="center"/>
          </w:tcPr>
          <w:p>
            <w:pPr>
              <w:pStyle w:val="22"/>
              <w:bidi w:val="0"/>
              <w:jc w:val="center"/>
              <w:rPr>
                <w:color w:val="0000FF"/>
              </w:rPr>
            </w:pPr>
            <w:r>
              <w:rPr>
                <w:color w:val="0000FF"/>
              </w:rPr>
              <w:t>5.5</w:t>
            </w:r>
          </w:p>
        </w:tc>
        <w:tc>
          <w:tcPr>
            <w:tcW w:w="752" w:type="dxa"/>
            <w:vAlign w:val="center"/>
          </w:tcPr>
          <w:p>
            <w:pPr>
              <w:pStyle w:val="22"/>
              <w:bidi w:val="0"/>
              <w:jc w:val="center"/>
              <w:rPr>
                <w:color w:val="0000FF"/>
              </w:rPr>
            </w:pPr>
            <w:r>
              <w:rPr>
                <w:color w:val="0000FF"/>
              </w:rPr>
              <w:t>6.9</w:t>
            </w:r>
          </w:p>
        </w:tc>
        <w:tc>
          <w:tcPr>
            <w:tcW w:w="786" w:type="dxa"/>
            <w:vAlign w:val="center"/>
          </w:tcPr>
          <w:p>
            <w:pPr>
              <w:pStyle w:val="22"/>
              <w:bidi w:val="0"/>
              <w:jc w:val="center"/>
              <w:rPr>
                <w:color w:val="0000FF"/>
              </w:rPr>
            </w:pPr>
            <w:r>
              <w:rPr>
                <w:color w:val="0000FF"/>
              </w:rPr>
              <w:t>4.9</w:t>
            </w:r>
          </w:p>
        </w:tc>
        <w:tc>
          <w:tcPr>
            <w:tcW w:w="786" w:type="dxa"/>
            <w:vAlign w:val="center"/>
          </w:tcPr>
          <w:p>
            <w:pPr>
              <w:pStyle w:val="22"/>
              <w:bidi w:val="0"/>
              <w:jc w:val="center"/>
              <w:rPr>
                <w:color w:val="0000FF"/>
              </w:rPr>
            </w:pPr>
            <w:r>
              <w:rPr>
                <w:color w:val="0000FF"/>
              </w:rPr>
              <w:t>22.1</w:t>
            </w:r>
          </w:p>
        </w:tc>
        <w:tc>
          <w:tcPr>
            <w:tcW w:w="786" w:type="dxa"/>
            <w:vAlign w:val="center"/>
          </w:tcPr>
          <w:p>
            <w:pPr>
              <w:pStyle w:val="22"/>
              <w:bidi w:val="0"/>
              <w:jc w:val="center"/>
              <w:rPr>
                <w:color w:val="0000FF"/>
              </w:rPr>
            </w:pPr>
          </w:p>
        </w:tc>
      </w:tr>
    </w:tbl>
    <w:p>
      <w:pPr>
        <w:spacing w:before="181" w:line="185" w:lineRule="auto"/>
        <w:ind w:firstLine="600"/>
        <w:rPr>
          <w:rFonts w:ascii="宋体" w:hAnsi="宋体" w:eastAsia="宋体" w:cs="宋体"/>
          <w:color w:val="0000FF"/>
          <w:sz w:val="24"/>
          <w:szCs w:val="24"/>
        </w:rPr>
      </w:pPr>
    </w:p>
    <w:p>
      <w:pPr>
        <w:spacing w:before="68" w:line="186" w:lineRule="auto"/>
        <w:ind w:firstLine="2172"/>
        <w:rPr>
          <w:rFonts w:hint="eastAsia" w:eastAsia="宋体"/>
          <w:color w:val="0000FF"/>
          <w:lang w:eastAsia="zh-CN"/>
        </w:rPr>
      </w:pPr>
      <w:r>
        <w:rPr>
          <w:rFonts w:hint="eastAsia" w:eastAsia="宋体"/>
          <w:color w:val="0000FF"/>
          <w:lang w:eastAsia="zh-CN"/>
        </w:rPr>
        <w:drawing>
          <wp:inline distT="0" distB="0" distL="114300" distR="114300">
            <wp:extent cx="4638675" cy="3686175"/>
            <wp:effectExtent l="0" t="0" r="9525" b="9525"/>
            <wp:docPr id="20" name="图片 20" descr="U38WF5YMXV7%ZK7N}3}(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38WF5YMXV7%ZK7N}3}(EPI"/>
                    <pic:cNvPicPr>
                      <a:picLocks noChangeAspect="1"/>
                    </pic:cNvPicPr>
                  </pic:nvPicPr>
                  <pic:blipFill>
                    <a:blip r:embed="rId23"/>
                    <a:stretch>
                      <a:fillRect/>
                    </a:stretch>
                  </pic:blipFill>
                  <pic:spPr>
                    <a:xfrm>
                      <a:off x="0" y="0"/>
                      <a:ext cx="4638675" cy="3686175"/>
                    </a:xfrm>
                    <a:prstGeom prst="rect">
                      <a:avLst/>
                    </a:prstGeom>
                  </pic:spPr>
                </pic:pic>
              </a:graphicData>
            </a:graphic>
          </wp:inline>
        </w:drawing>
      </w:r>
    </w:p>
    <w:p>
      <w:pPr>
        <w:pStyle w:val="22"/>
        <w:bidi w:val="0"/>
        <w:rPr>
          <w:b/>
          <w:bCs/>
          <w:color w:val="0000FF"/>
        </w:rPr>
      </w:pPr>
      <w:r>
        <w:rPr>
          <w:b/>
          <w:bCs/>
          <w:color w:val="0000FF"/>
        </w:rPr>
        <w:t>图</w:t>
      </w:r>
      <w:r>
        <w:rPr>
          <w:rFonts w:hint="eastAsia"/>
          <w:b/>
          <w:bCs/>
          <w:color w:val="0000FF"/>
          <w:lang w:val="en-US" w:eastAsia="zh-CN"/>
        </w:rPr>
        <w:t>5</w:t>
      </w:r>
      <w:r>
        <w:rPr>
          <w:b/>
          <w:bCs/>
          <w:color w:val="0000FF"/>
        </w:rPr>
        <w:t>.2-2于田风向玫瑰图（静风频率22.1%）</w:t>
      </w:r>
    </w:p>
    <w:p>
      <w:pPr>
        <w:ind w:left="0" w:leftChars="0" w:firstLine="0" w:firstLineChars="0"/>
        <w:rPr>
          <w:rFonts w:hint="default"/>
          <w:b/>
          <w:bCs/>
          <w:color w:val="0000FF"/>
          <w:lang w:val="en-US" w:eastAsia="zh-CN"/>
        </w:rPr>
        <w:sectPr>
          <w:footerReference r:id="rId12" w:type="default"/>
          <w:pgSz w:w="11906" w:h="16838"/>
          <w:pgMar w:top="1440" w:right="1800" w:bottom="1440" w:left="1800" w:header="1077" w:footer="992" w:gutter="0"/>
          <w:pgBorders>
            <w:top w:val="none" w:sz="0" w:space="0"/>
            <w:left w:val="none" w:sz="0" w:space="0"/>
            <w:bottom w:val="none" w:sz="0" w:space="0"/>
            <w:right w:val="none" w:sz="0" w:space="0"/>
          </w:pgBorders>
          <w:pgNumType w:fmt="decimal"/>
          <w:cols w:space="425" w:num="1"/>
          <w:docGrid w:type="lines" w:linePitch="312" w:charSpace="0"/>
        </w:sectPr>
      </w:pPr>
    </w:p>
    <w:p>
      <w:pPr>
        <w:bidi w:val="0"/>
        <w:rPr>
          <w:color w:val="0000FF"/>
        </w:rPr>
      </w:pPr>
      <w:r>
        <w:rPr>
          <w:color w:val="0000FF"/>
        </w:rPr>
        <w:t>各月风向频率见表</w:t>
      </w:r>
      <w:r>
        <w:rPr>
          <w:rFonts w:hint="eastAsia"/>
          <w:color w:val="0000FF"/>
          <w:lang w:val="en-US" w:eastAsia="zh-CN"/>
        </w:rPr>
        <w:t>5</w:t>
      </w:r>
      <w:r>
        <w:rPr>
          <w:color w:val="0000FF"/>
        </w:rPr>
        <w:t>.1-4，月风向玫瑰图见图</w:t>
      </w:r>
      <w:r>
        <w:rPr>
          <w:rFonts w:hint="eastAsia"/>
          <w:color w:val="0000FF"/>
          <w:lang w:val="en-US" w:eastAsia="zh-CN"/>
        </w:rPr>
        <w:t>5</w:t>
      </w:r>
      <w:r>
        <w:rPr>
          <w:color w:val="0000FF"/>
        </w:rPr>
        <w:t>.1-3。</w:t>
      </w:r>
    </w:p>
    <w:p>
      <w:pPr>
        <w:pStyle w:val="22"/>
        <w:bidi w:val="0"/>
        <w:rPr>
          <w:b/>
          <w:bCs/>
          <w:color w:val="0000FF"/>
        </w:rPr>
      </w:pPr>
      <w:r>
        <w:rPr>
          <w:b/>
          <w:bCs/>
          <w:color w:val="0000FF"/>
        </w:rPr>
        <w:t>表</w:t>
      </w:r>
      <w:r>
        <w:rPr>
          <w:rFonts w:hint="eastAsia"/>
          <w:b/>
          <w:bCs/>
          <w:color w:val="0000FF"/>
          <w:lang w:val="en-US" w:eastAsia="zh-CN"/>
        </w:rPr>
        <w:t>5</w:t>
      </w:r>
      <w:r>
        <w:rPr>
          <w:b/>
          <w:bCs/>
          <w:color w:val="0000FF"/>
        </w:rPr>
        <w:t>.2-4</w:t>
      </w:r>
      <w:r>
        <w:rPr>
          <w:rFonts w:hint="eastAsia"/>
          <w:b/>
          <w:bCs/>
          <w:color w:val="0000FF"/>
          <w:lang w:val="en-US" w:eastAsia="zh-CN"/>
        </w:rPr>
        <w:t xml:space="preserve">   </w:t>
      </w:r>
      <w:r>
        <w:rPr>
          <w:b/>
          <w:bCs/>
          <w:color w:val="0000FF"/>
        </w:rPr>
        <w:t>于田气象站月风向频率统计（单位</w:t>
      </w:r>
      <w:r>
        <w:rPr>
          <w:rFonts w:hint="eastAsia"/>
          <w:b/>
          <w:bCs/>
          <w:color w:val="0000FF"/>
          <w:lang w:eastAsia="zh-CN"/>
        </w:rPr>
        <w:t>：</w:t>
      </w:r>
      <w:r>
        <w:rPr>
          <w:b/>
          <w:bCs/>
          <w:color w:val="0000FF"/>
        </w:rPr>
        <w:t>%）</w:t>
      </w:r>
    </w:p>
    <w:p>
      <w:pPr>
        <w:ind w:left="0" w:leftChars="0" w:firstLine="0" w:firstLineChars="0"/>
        <w:rPr>
          <w:rFonts w:hint="default"/>
          <w:color w:val="0000FF"/>
          <w:lang w:val="en-US" w:eastAsia="zh-CN"/>
        </w:rPr>
        <w:sectPr>
          <w:footerReference r:id="rId13" w:type="default"/>
          <w:pgSz w:w="16838" w:h="11906" w:orient="landscape"/>
          <w:pgMar w:top="1800" w:right="1440" w:bottom="1800" w:left="1440" w:header="136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0000FF"/>
        </w:rPr>
        <w:drawing>
          <wp:inline distT="0" distB="0" distL="0" distR="0">
            <wp:extent cx="8849360" cy="346519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4"/>
                    <a:stretch>
                      <a:fillRect/>
                    </a:stretch>
                  </pic:blipFill>
                  <pic:spPr>
                    <a:xfrm>
                      <a:off x="0" y="0"/>
                      <a:ext cx="8849994" cy="3465829"/>
                    </a:xfrm>
                    <a:prstGeom prst="rect">
                      <a:avLst/>
                    </a:prstGeom>
                  </pic:spPr>
                </pic:pic>
              </a:graphicData>
            </a:graphic>
          </wp:inline>
        </w:drawing>
      </w:r>
    </w:p>
    <w:p>
      <w:pPr>
        <w:pStyle w:val="3"/>
        <w:jc w:val="center"/>
        <w:rPr>
          <w:color w:val="0000FF"/>
        </w:rPr>
        <w:sectPr>
          <w:footerReference r:id="rId14" w:type="default"/>
          <w:pgSz w:w="16838" w:h="11906" w:orient="landscape"/>
          <w:pgMar w:top="1800" w:right="1440" w:bottom="1800" w:left="1440" w:header="136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0000FF"/>
        </w:rPr>
        <w:drawing>
          <wp:anchor distT="0" distB="0" distL="0" distR="0" simplePos="0" relativeHeight="251666432" behindDoc="0" locked="0" layoutInCell="1" allowOverlap="1">
            <wp:simplePos x="0" y="0"/>
            <wp:positionH relativeFrom="column">
              <wp:posOffset>183515</wp:posOffset>
            </wp:positionH>
            <wp:positionV relativeFrom="paragraph">
              <wp:posOffset>10160</wp:posOffset>
            </wp:positionV>
            <wp:extent cx="8406130" cy="4876800"/>
            <wp:effectExtent l="0" t="0" r="13970" b="0"/>
            <wp:wrapTopAndBottom/>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5"/>
                    <a:stretch>
                      <a:fillRect/>
                    </a:stretch>
                  </pic:blipFill>
                  <pic:spPr>
                    <a:xfrm>
                      <a:off x="0" y="0"/>
                      <a:ext cx="8406130" cy="4876800"/>
                    </a:xfrm>
                    <a:prstGeom prst="rect">
                      <a:avLst/>
                    </a:prstGeom>
                  </pic:spPr>
                </pic:pic>
              </a:graphicData>
            </a:graphic>
          </wp:anchor>
        </w:drawing>
      </w:r>
      <w:r>
        <w:rPr>
          <w:rStyle w:val="32"/>
          <w:b/>
          <w:bCs/>
          <w:color w:val="0000FF"/>
        </w:rPr>
        <w:t>表</w:t>
      </w:r>
      <w:r>
        <w:rPr>
          <w:rStyle w:val="32"/>
          <w:rFonts w:hint="eastAsia"/>
          <w:b/>
          <w:bCs/>
          <w:color w:val="0000FF"/>
          <w:lang w:val="en-US" w:eastAsia="zh-CN"/>
        </w:rPr>
        <w:t>5</w:t>
      </w:r>
      <w:r>
        <w:rPr>
          <w:rStyle w:val="32"/>
          <w:b/>
          <w:bCs/>
          <w:color w:val="0000FF"/>
        </w:rPr>
        <w:t>.2-</w:t>
      </w:r>
      <w:r>
        <w:rPr>
          <w:rStyle w:val="32"/>
          <w:rFonts w:hint="eastAsia"/>
          <w:b/>
          <w:bCs/>
          <w:color w:val="0000FF"/>
          <w:lang w:val="en-US" w:eastAsia="zh-CN"/>
        </w:rPr>
        <w:t>5</w:t>
      </w:r>
      <w:r>
        <w:rPr>
          <w:rStyle w:val="32"/>
          <w:b/>
          <w:bCs/>
          <w:color w:val="0000FF"/>
        </w:rPr>
        <w:t>月风向玫瑰图</w:t>
      </w:r>
    </w:p>
    <w:p>
      <w:pPr>
        <w:bidi w:val="0"/>
        <w:rPr>
          <w:color w:val="0000FF"/>
        </w:rPr>
      </w:pPr>
      <w:r>
        <w:rPr>
          <w:color w:val="0000FF"/>
        </w:rPr>
        <w:t>③温度分析</w:t>
      </w:r>
    </w:p>
    <w:p>
      <w:pPr>
        <w:bidi w:val="0"/>
        <w:rPr>
          <w:color w:val="0000FF"/>
        </w:rPr>
      </w:pPr>
      <w:r>
        <w:rPr>
          <w:color w:val="0000FF"/>
        </w:rPr>
        <w:t>近20年于田气象站月平均气温见图</w:t>
      </w:r>
      <w:r>
        <w:rPr>
          <w:rFonts w:hint="eastAsia"/>
          <w:color w:val="0000FF"/>
          <w:lang w:val="en-US" w:eastAsia="zh-CN"/>
        </w:rPr>
        <w:t>5</w:t>
      </w:r>
      <w:r>
        <w:rPr>
          <w:color w:val="0000FF"/>
        </w:rPr>
        <w:t>.</w:t>
      </w:r>
      <w:r>
        <w:rPr>
          <w:rFonts w:hint="eastAsia"/>
          <w:color w:val="0000FF"/>
          <w:lang w:val="en-US" w:eastAsia="zh-CN"/>
        </w:rPr>
        <w:t>2</w:t>
      </w:r>
      <w:r>
        <w:rPr>
          <w:color w:val="0000FF"/>
        </w:rPr>
        <w:t>-4，7月气温最高（25.0℃），1月气温最低（-4.7℃）。</w:t>
      </w:r>
    </w:p>
    <w:p>
      <w:pPr>
        <w:bidi w:val="0"/>
        <w:jc w:val="center"/>
        <w:rPr>
          <w:color w:val="0000FF"/>
        </w:rPr>
      </w:pPr>
      <w:r>
        <w:rPr>
          <w:color w:val="0000FF"/>
        </w:rPr>
        <w:drawing>
          <wp:inline distT="0" distB="0" distL="0" distR="0">
            <wp:extent cx="4926965" cy="3265805"/>
            <wp:effectExtent l="0" t="0" r="6985" b="10795"/>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6"/>
                    <a:stretch>
                      <a:fillRect/>
                    </a:stretch>
                  </pic:blipFill>
                  <pic:spPr>
                    <a:xfrm>
                      <a:off x="0" y="0"/>
                      <a:ext cx="4926965" cy="3265805"/>
                    </a:xfrm>
                    <a:prstGeom prst="rect">
                      <a:avLst/>
                    </a:prstGeom>
                  </pic:spPr>
                </pic:pic>
              </a:graphicData>
            </a:graphic>
          </wp:inline>
        </w:drawing>
      </w:r>
      <w:r>
        <w:rPr>
          <w:rStyle w:val="32"/>
          <w:b/>
          <w:bCs/>
          <w:color w:val="0000FF"/>
        </w:rPr>
        <w:t>图</w:t>
      </w:r>
      <w:r>
        <w:rPr>
          <w:rStyle w:val="32"/>
          <w:rFonts w:hint="eastAsia"/>
          <w:b/>
          <w:bCs/>
          <w:color w:val="0000FF"/>
          <w:lang w:val="en-US" w:eastAsia="zh-CN"/>
        </w:rPr>
        <w:t>5</w:t>
      </w:r>
      <w:r>
        <w:rPr>
          <w:rStyle w:val="32"/>
          <w:b/>
          <w:bCs/>
          <w:color w:val="0000FF"/>
        </w:rPr>
        <w:t>.</w:t>
      </w:r>
      <w:r>
        <w:rPr>
          <w:rStyle w:val="32"/>
          <w:rFonts w:hint="eastAsia"/>
          <w:b/>
          <w:bCs/>
          <w:color w:val="0000FF"/>
          <w:lang w:val="en-US" w:eastAsia="zh-CN"/>
        </w:rPr>
        <w:t>2</w:t>
      </w:r>
      <w:r>
        <w:rPr>
          <w:rStyle w:val="32"/>
          <w:b/>
          <w:bCs/>
          <w:color w:val="0000FF"/>
        </w:rPr>
        <w:t>-4于田</w:t>
      </w:r>
      <w:r>
        <w:rPr>
          <w:rStyle w:val="32"/>
          <w:rFonts w:hint="eastAsia"/>
          <w:b/>
          <w:bCs/>
          <w:color w:val="0000FF"/>
          <w:lang w:val="en-US" w:eastAsia="zh-CN"/>
        </w:rPr>
        <w:t>县</w:t>
      </w:r>
      <w:r>
        <w:rPr>
          <w:rStyle w:val="32"/>
          <w:b/>
          <w:bCs/>
          <w:color w:val="0000FF"/>
        </w:rPr>
        <w:t>月平均气温</w:t>
      </w:r>
    </w:p>
    <w:p>
      <w:pPr>
        <w:bidi w:val="0"/>
        <w:rPr>
          <w:color w:val="0000FF"/>
        </w:rPr>
      </w:pPr>
      <w:r>
        <w:rPr>
          <w:color w:val="0000FF"/>
        </w:rPr>
        <w:t>根据近20年资料分析，于田气象站气温无明显变化趋势，201</w:t>
      </w:r>
      <w:r>
        <w:rPr>
          <w:rFonts w:hint="eastAsia"/>
          <w:color w:val="0000FF"/>
          <w:lang w:val="en-US" w:eastAsia="zh-CN"/>
        </w:rPr>
        <w:t>8</w:t>
      </w:r>
      <w:r>
        <w:rPr>
          <w:color w:val="0000FF"/>
        </w:rPr>
        <w:t>年年平均气温最高（13.3℃），2012年年平均气温最低（11.5℃），无明显周期。</w:t>
      </w:r>
    </w:p>
    <w:p>
      <w:pPr>
        <w:pStyle w:val="22"/>
        <w:bidi w:val="0"/>
        <w:ind w:firstLine="422" w:firstLineChars="200"/>
        <w:jc w:val="center"/>
        <w:rPr>
          <w:rFonts w:hint="eastAsia" w:ascii="宋体" w:hAnsi="宋体" w:eastAsia="宋体" w:cs="宋体"/>
          <w:b/>
          <w:bCs/>
          <w:color w:val="0000FF"/>
          <w:sz w:val="21"/>
          <w:szCs w:val="21"/>
          <w:lang w:eastAsia="zh-CN"/>
        </w:rPr>
      </w:pPr>
      <w:r>
        <w:rPr>
          <w:rFonts w:hint="eastAsia" w:ascii="宋体" w:hAnsi="宋体" w:eastAsia="宋体" w:cs="宋体"/>
          <w:b/>
          <w:bCs/>
          <w:color w:val="0000FF"/>
          <w:sz w:val="21"/>
          <w:szCs w:val="21"/>
          <w:lang w:eastAsia="zh-CN"/>
        </w:rPr>
        <w:drawing>
          <wp:anchor distT="0" distB="0" distL="114300" distR="114300" simplePos="0" relativeHeight="251667456" behindDoc="0" locked="0" layoutInCell="1" allowOverlap="1">
            <wp:simplePos x="0" y="0"/>
            <wp:positionH relativeFrom="column">
              <wp:posOffset>27305</wp:posOffset>
            </wp:positionH>
            <wp:positionV relativeFrom="paragraph">
              <wp:posOffset>87630</wp:posOffset>
            </wp:positionV>
            <wp:extent cx="5271770" cy="3376295"/>
            <wp:effectExtent l="0" t="0" r="5080" b="14605"/>
            <wp:wrapTopAndBottom/>
            <wp:docPr id="13" name="图片 13" descr="(_J4ZC0BPD1SGFSSWP(2W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_J4ZC0BPD1SGFSSWP(2WF5"/>
                    <pic:cNvPicPr>
                      <a:picLocks noChangeAspect="1"/>
                    </pic:cNvPicPr>
                  </pic:nvPicPr>
                  <pic:blipFill>
                    <a:blip r:embed="rId27"/>
                    <a:stretch>
                      <a:fillRect/>
                    </a:stretch>
                  </pic:blipFill>
                  <pic:spPr>
                    <a:xfrm>
                      <a:off x="0" y="0"/>
                      <a:ext cx="5271770" cy="3376295"/>
                    </a:xfrm>
                    <a:prstGeom prst="rect">
                      <a:avLst/>
                    </a:prstGeom>
                  </pic:spPr>
                </pic:pic>
              </a:graphicData>
            </a:graphic>
          </wp:anchor>
        </w:drawing>
      </w:r>
      <w:r>
        <w:rPr>
          <w:rFonts w:hint="eastAsia"/>
          <w:b/>
          <w:bCs/>
          <w:color w:val="0000FF"/>
        </w:rPr>
        <w:t>图</w:t>
      </w:r>
      <w:r>
        <w:rPr>
          <w:rFonts w:hint="eastAsia"/>
          <w:b/>
          <w:bCs/>
          <w:color w:val="0000FF"/>
          <w:lang w:val="en-US" w:eastAsia="zh-CN"/>
        </w:rPr>
        <w:t>5</w:t>
      </w:r>
      <w:r>
        <w:rPr>
          <w:rFonts w:hint="eastAsia"/>
          <w:b/>
          <w:bCs/>
          <w:color w:val="0000FF"/>
        </w:rPr>
        <w:t>.</w:t>
      </w:r>
      <w:r>
        <w:rPr>
          <w:rFonts w:hint="eastAsia"/>
          <w:b/>
          <w:bCs/>
          <w:color w:val="0000FF"/>
          <w:lang w:val="en-US" w:eastAsia="zh-CN"/>
        </w:rPr>
        <w:t>2</w:t>
      </w:r>
      <w:r>
        <w:rPr>
          <w:rFonts w:hint="eastAsia"/>
          <w:b/>
          <w:bCs/>
          <w:color w:val="0000FF"/>
        </w:rPr>
        <w:t>-5于田（</w:t>
      </w:r>
      <w:r>
        <w:rPr>
          <w:rFonts w:hint="eastAsia"/>
          <w:b/>
          <w:bCs/>
          <w:color w:val="0000FF"/>
          <w:lang w:val="en-US" w:eastAsia="zh-CN"/>
        </w:rPr>
        <w:t>2001</w:t>
      </w:r>
      <w:r>
        <w:rPr>
          <w:rFonts w:hint="eastAsia"/>
          <w:b/>
          <w:bCs/>
          <w:color w:val="0000FF"/>
        </w:rPr>
        <w:t>-20</w:t>
      </w:r>
      <w:r>
        <w:rPr>
          <w:rFonts w:hint="eastAsia"/>
          <w:b/>
          <w:bCs/>
          <w:color w:val="0000FF"/>
          <w:lang w:val="en-US" w:eastAsia="zh-CN"/>
        </w:rPr>
        <w:t>20</w:t>
      </w:r>
      <w:r>
        <w:rPr>
          <w:rFonts w:hint="eastAsia"/>
          <w:b/>
          <w:bCs/>
          <w:color w:val="0000FF"/>
        </w:rPr>
        <w:t>）年平均气温（虚线为趋势线）</w:t>
      </w:r>
    </w:p>
    <w:p>
      <w:pPr>
        <w:pStyle w:val="7"/>
        <w:bidi w:val="0"/>
        <w:rPr>
          <w:color w:val="0000FF"/>
        </w:rPr>
      </w:pPr>
      <w:r>
        <w:rPr>
          <w:rFonts w:hint="eastAsia"/>
          <w:color w:val="0000FF"/>
          <w:lang w:val="en-US" w:eastAsia="zh-CN"/>
        </w:rPr>
        <w:t>5</w:t>
      </w:r>
      <w:r>
        <w:rPr>
          <w:color w:val="0000FF"/>
        </w:rPr>
        <w:t>.2.</w:t>
      </w:r>
      <w:r>
        <w:rPr>
          <w:rFonts w:hint="eastAsia"/>
          <w:color w:val="0000FF"/>
          <w:lang w:val="en-US" w:eastAsia="zh-CN"/>
        </w:rPr>
        <w:t>1</w:t>
      </w:r>
      <w:r>
        <w:rPr>
          <w:color w:val="0000FF"/>
        </w:rPr>
        <w:t>.2大气环境影响预测</w:t>
      </w:r>
    </w:p>
    <w:p>
      <w:pPr>
        <w:bidi w:val="0"/>
        <w:rPr>
          <w:color w:val="0000FF"/>
        </w:rPr>
      </w:pPr>
      <w:r>
        <w:rPr>
          <w:color w:val="0000FF"/>
        </w:rPr>
        <w:t>（1）预测因子选择</w:t>
      </w:r>
    </w:p>
    <w:p>
      <w:pPr>
        <w:bidi w:val="0"/>
        <w:rPr>
          <w:color w:val="0000FF"/>
        </w:rPr>
      </w:pPr>
      <w:r>
        <w:rPr>
          <w:color w:val="0000FF"/>
        </w:rPr>
        <w:t>根据工程污染源的污染物排放情况，确定本次大气预测的预测因子为NH</w:t>
      </w:r>
      <w:r>
        <w:rPr>
          <w:color w:val="0000FF"/>
          <w:vertAlign w:val="subscript"/>
        </w:rPr>
        <w:t>3</w:t>
      </w:r>
      <w:r>
        <w:rPr>
          <w:color w:val="0000FF"/>
        </w:rPr>
        <w:t>和H</w:t>
      </w:r>
      <w:r>
        <w:rPr>
          <w:color w:val="0000FF"/>
          <w:vertAlign w:val="subscript"/>
        </w:rPr>
        <w:t>2</w:t>
      </w:r>
      <w:r>
        <w:rPr>
          <w:color w:val="0000FF"/>
        </w:rPr>
        <w:t>S。依据《环境影响评价技术导则</w:t>
      </w:r>
      <w:r>
        <w:rPr>
          <w:rFonts w:hint="eastAsia"/>
          <w:color w:val="0000FF"/>
          <w:lang w:val="en-US" w:eastAsia="zh-CN"/>
        </w:rPr>
        <w:t xml:space="preserve"> </w:t>
      </w:r>
      <w:r>
        <w:rPr>
          <w:color w:val="0000FF"/>
        </w:rPr>
        <w:t>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bidi w:val="0"/>
        <w:rPr>
          <w:color w:val="0000FF"/>
        </w:rPr>
      </w:pPr>
      <w:r>
        <w:rPr>
          <w:color w:val="0000FF"/>
        </w:rPr>
        <w:t>分别计算项目排放主要污染的最大地面空气质量浓度占标率Pi（第i个污染物，简称最大浓度占标率），及第i个污染物的地面空气质量浓度达到标准限值10％时所对应的最远距离D10%，其中Pi定义为：</w:t>
      </w:r>
    </w:p>
    <w:p>
      <w:pPr>
        <w:bidi w:val="0"/>
        <w:jc w:val="center"/>
        <w:rPr>
          <w:color w:val="0000FF"/>
        </w:rPr>
      </w:pPr>
      <w:r>
        <w:rPr>
          <w:color w:val="0000FF"/>
        </w:rPr>
        <w:drawing>
          <wp:inline distT="0" distB="0" distL="0" distR="0">
            <wp:extent cx="1016000" cy="445135"/>
            <wp:effectExtent l="0" t="0" r="12700" b="12065"/>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8"/>
                    <a:stretch>
                      <a:fillRect/>
                    </a:stretch>
                  </pic:blipFill>
                  <pic:spPr>
                    <a:xfrm>
                      <a:off x="0" y="0"/>
                      <a:ext cx="1016634" cy="445135"/>
                    </a:xfrm>
                    <a:prstGeom prst="rect">
                      <a:avLst/>
                    </a:prstGeom>
                  </pic:spPr>
                </pic:pic>
              </a:graphicData>
            </a:graphic>
          </wp:inline>
        </w:drawing>
      </w:r>
    </w:p>
    <w:p>
      <w:pPr>
        <w:bidi w:val="0"/>
        <w:ind w:left="0" w:leftChars="0" w:firstLine="480" w:firstLineChars="200"/>
        <w:rPr>
          <w:color w:val="0000FF"/>
        </w:rPr>
      </w:pPr>
      <w:r>
        <w:rPr>
          <w:color w:val="0000FF"/>
        </w:rPr>
        <w:t>式中：Pi——第i个污染物的最大地面空气质量浓度占标率，%；</w:t>
      </w:r>
    </w:p>
    <w:p>
      <w:pPr>
        <w:bidi w:val="0"/>
        <w:ind w:firstLine="1200" w:firstLineChars="500"/>
        <w:rPr>
          <w:color w:val="0000FF"/>
        </w:rPr>
      </w:pPr>
      <w:r>
        <w:rPr>
          <w:color w:val="0000FF"/>
        </w:rPr>
        <w:t>Ci——采用估算模型计算出的第i个污染物的最大1h地面空气质量浓度，ug/m3；</w:t>
      </w:r>
    </w:p>
    <w:p>
      <w:pPr>
        <w:bidi w:val="0"/>
        <w:ind w:left="0" w:leftChars="0" w:firstLine="1200" w:firstLineChars="500"/>
        <w:rPr>
          <w:color w:val="0000FF"/>
        </w:rPr>
      </w:pPr>
      <w:r>
        <w:rPr>
          <w:color w:val="0000FF"/>
        </w:rPr>
        <w:t>Coi——第i个污染物的环境空气质量浓度标准，ug/m</w:t>
      </w:r>
      <w:r>
        <w:rPr>
          <w:color w:val="0000FF"/>
          <w:vertAlign w:val="superscript"/>
        </w:rPr>
        <w:t>3</w:t>
      </w:r>
      <w:r>
        <w:rPr>
          <w:color w:val="0000FF"/>
        </w:rPr>
        <w:t>。选用GB3095中1小时平均质量浓度的二级浓度限值，如项目位于一类环境空气功能区，应选择相应的一级浓度限值；对该标准中未包含的污染物，使用各评价因子1h平均质量浓度限值。对仅有8h平均质量浓度限值、日平均质量浓度限值或年平均质量浓度限值的，可分别按2倍、3倍、6倍折算为1h平均质量浓度限值。</w:t>
      </w:r>
    </w:p>
    <w:p>
      <w:pPr>
        <w:bidi w:val="0"/>
        <w:rPr>
          <w:color w:val="0000FF"/>
        </w:rPr>
      </w:pPr>
      <w:r>
        <w:rPr>
          <w:color w:val="0000FF"/>
        </w:rPr>
        <w:t>（2）估算模型参数</w:t>
      </w:r>
    </w:p>
    <w:p>
      <w:pPr>
        <w:bidi w:val="0"/>
        <w:rPr>
          <w:color w:val="0000FF"/>
        </w:rPr>
      </w:pPr>
      <w:r>
        <w:rPr>
          <w:color w:val="0000FF"/>
        </w:rPr>
        <w:t>AERSCRREN估算模型参数选取详见表</w:t>
      </w:r>
      <w:r>
        <w:rPr>
          <w:rFonts w:hint="eastAsia"/>
          <w:color w:val="0000FF"/>
          <w:lang w:val="en-US" w:eastAsia="zh-CN"/>
        </w:rPr>
        <w:t>5</w:t>
      </w:r>
      <w:r>
        <w:rPr>
          <w:color w:val="0000FF"/>
        </w:rPr>
        <w:t>.2-</w:t>
      </w:r>
      <w:r>
        <w:rPr>
          <w:rFonts w:hint="eastAsia"/>
          <w:color w:val="0000FF"/>
          <w:lang w:val="en-US" w:eastAsia="zh-CN"/>
        </w:rPr>
        <w:t>6</w:t>
      </w:r>
      <w:r>
        <w:rPr>
          <w:color w:val="0000FF"/>
        </w:rPr>
        <w:t>。</w:t>
      </w:r>
    </w:p>
    <w:p>
      <w:pPr>
        <w:pStyle w:val="22"/>
        <w:bidi w:val="0"/>
        <w:rPr>
          <w:b/>
          <w:bCs/>
          <w:color w:val="0000FF"/>
        </w:rPr>
      </w:pPr>
      <w:r>
        <w:rPr>
          <w:b/>
          <w:bCs/>
          <w:color w:val="0000FF"/>
        </w:rPr>
        <w:t>表</w:t>
      </w:r>
      <w:r>
        <w:rPr>
          <w:rFonts w:hint="eastAsia"/>
          <w:b/>
          <w:bCs/>
          <w:color w:val="0000FF"/>
          <w:lang w:val="en-US" w:eastAsia="zh-CN"/>
        </w:rPr>
        <w:t>5</w:t>
      </w:r>
      <w:r>
        <w:rPr>
          <w:b/>
          <w:bCs/>
          <w:color w:val="0000FF"/>
        </w:rPr>
        <w:t>.2-</w:t>
      </w:r>
      <w:r>
        <w:rPr>
          <w:rFonts w:hint="eastAsia"/>
          <w:b/>
          <w:bCs/>
          <w:color w:val="0000FF"/>
          <w:lang w:val="en-US" w:eastAsia="zh-CN"/>
        </w:rPr>
        <w:t>6</w:t>
      </w:r>
      <w:r>
        <w:rPr>
          <w:b/>
          <w:bCs/>
          <w:color w:val="0000FF"/>
        </w:rPr>
        <w:t>估算模型参数表</w:t>
      </w:r>
    </w:p>
    <w:tbl>
      <w:tblPr>
        <w:tblStyle w:val="23"/>
        <w:tblW w:w="84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
        <w:gridCol w:w="2682"/>
        <w:gridCol w:w="84"/>
        <w:gridCol w:w="2705"/>
        <w:gridCol w:w="84"/>
        <w:gridCol w:w="2687"/>
        <w:gridCol w:w="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4" w:type="dxa"/>
          <w:trHeight w:val="408" w:hRule="atLeast"/>
          <w:jc w:val="center"/>
        </w:trPr>
        <w:tc>
          <w:tcPr>
            <w:tcW w:w="5555" w:type="dxa"/>
            <w:gridSpan w:val="4"/>
            <w:vAlign w:val="center"/>
          </w:tcPr>
          <w:p>
            <w:pPr>
              <w:pStyle w:val="22"/>
              <w:bidi w:val="0"/>
              <w:jc w:val="center"/>
              <w:rPr>
                <w:color w:val="0000FF"/>
              </w:rPr>
            </w:pPr>
            <w:r>
              <w:rPr>
                <w:color w:val="0000FF"/>
              </w:rPr>
              <w:t>参数</w:t>
            </w:r>
          </w:p>
        </w:tc>
        <w:tc>
          <w:tcPr>
            <w:tcW w:w="2771" w:type="dxa"/>
            <w:gridSpan w:val="2"/>
            <w:vAlign w:val="center"/>
          </w:tcPr>
          <w:p>
            <w:pPr>
              <w:pStyle w:val="22"/>
              <w:bidi w:val="0"/>
              <w:jc w:val="center"/>
              <w:rPr>
                <w:color w:val="0000FF"/>
              </w:rPr>
            </w:pPr>
            <w:r>
              <w:rPr>
                <w:color w:val="0000FF"/>
              </w:rPr>
              <w:t>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4" w:type="dxa"/>
          <w:trHeight w:val="402" w:hRule="atLeast"/>
          <w:jc w:val="center"/>
        </w:trPr>
        <w:tc>
          <w:tcPr>
            <w:tcW w:w="2766" w:type="dxa"/>
            <w:gridSpan w:val="2"/>
            <w:vMerge w:val="restart"/>
            <w:tcBorders>
              <w:bottom w:val="nil"/>
            </w:tcBorders>
            <w:vAlign w:val="center"/>
          </w:tcPr>
          <w:p>
            <w:pPr>
              <w:pStyle w:val="22"/>
              <w:bidi w:val="0"/>
              <w:jc w:val="center"/>
              <w:rPr>
                <w:color w:val="0000FF"/>
              </w:rPr>
            </w:pPr>
            <w:r>
              <w:rPr>
                <w:color w:val="0000FF"/>
              </w:rPr>
              <w:t>城市/农村选项</w:t>
            </w:r>
          </w:p>
        </w:tc>
        <w:tc>
          <w:tcPr>
            <w:tcW w:w="2789" w:type="dxa"/>
            <w:gridSpan w:val="2"/>
            <w:vAlign w:val="center"/>
          </w:tcPr>
          <w:p>
            <w:pPr>
              <w:pStyle w:val="22"/>
              <w:bidi w:val="0"/>
              <w:jc w:val="center"/>
              <w:rPr>
                <w:color w:val="0000FF"/>
              </w:rPr>
            </w:pPr>
            <w:r>
              <w:rPr>
                <w:color w:val="0000FF"/>
              </w:rPr>
              <w:t>城市/农村</w:t>
            </w:r>
          </w:p>
        </w:tc>
        <w:tc>
          <w:tcPr>
            <w:tcW w:w="2771" w:type="dxa"/>
            <w:gridSpan w:val="2"/>
            <w:vAlign w:val="center"/>
          </w:tcPr>
          <w:p>
            <w:pPr>
              <w:pStyle w:val="22"/>
              <w:bidi w:val="0"/>
              <w:jc w:val="center"/>
              <w:rPr>
                <w:color w:val="0000FF"/>
              </w:rPr>
            </w:pPr>
            <w:r>
              <w:rPr>
                <w:color w:val="0000FF"/>
              </w:rPr>
              <w:t>农村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4" w:type="dxa"/>
          <w:trHeight w:val="400" w:hRule="atLeast"/>
          <w:jc w:val="center"/>
        </w:trPr>
        <w:tc>
          <w:tcPr>
            <w:tcW w:w="2766" w:type="dxa"/>
            <w:gridSpan w:val="2"/>
            <w:vMerge w:val="continue"/>
            <w:tcBorders>
              <w:top w:val="nil"/>
            </w:tcBorders>
            <w:vAlign w:val="center"/>
          </w:tcPr>
          <w:p>
            <w:pPr>
              <w:pStyle w:val="22"/>
              <w:bidi w:val="0"/>
              <w:jc w:val="center"/>
              <w:rPr>
                <w:color w:val="0000FF"/>
              </w:rPr>
            </w:pPr>
          </w:p>
        </w:tc>
        <w:tc>
          <w:tcPr>
            <w:tcW w:w="2789" w:type="dxa"/>
            <w:gridSpan w:val="2"/>
            <w:vAlign w:val="center"/>
          </w:tcPr>
          <w:p>
            <w:pPr>
              <w:pStyle w:val="22"/>
              <w:bidi w:val="0"/>
              <w:jc w:val="center"/>
              <w:rPr>
                <w:color w:val="0000FF"/>
              </w:rPr>
            </w:pPr>
            <w:r>
              <w:rPr>
                <w:color w:val="0000FF"/>
              </w:rPr>
              <w:t>人口数（城市选项时）</w:t>
            </w:r>
          </w:p>
        </w:tc>
        <w:tc>
          <w:tcPr>
            <w:tcW w:w="2771" w:type="dxa"/>
            <w:gridSpan w:val="2"/>
            <w:vAlign w:val="center"/>
          </w:tcPr>
          <w:p>
            <w:pPr>
              <w:pStyle w:val="22"/>
              <w:bidi w:val="0"/>
              <w:jc w:val="center"/>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4" w:type="dxa"/>
          <w:trHeight w:val="402" w:hRule="atLeast"/>
          <w:jc w:val="center"/>
        </w:trPr>
        <w:tc>
          <w:tcPr>
            <w:tcW w:w="5555" w:type="dxa"/>
            <w:gridSpan w:val="4"/>
            <w:vAlign w:val="center"/>
          </w:tcPr>
          <w:p>
            <w:pPr>
              <w:pStyle w:val="22"/>
              <w:bidi w:val="0"/>
              <w:jc w:val="center"/>
              <w:rPr>
                <w:color w:val="0000FF"/>
              </w:rPr>
            </w:pPr>
            <w:r>
              <w:rPr>
                <w:color w:val="0000FF"/>
              </w:rPr>
              <w:t>最高环境温度/℃</w:t>
            </w:r>
          </w:p>
        </w:tc>
        <w:tc>
          <w:tcPr>
            <w:tcW w:w="2771" w:type="dxa"/>
            <w:gridSpan w:val="2"/>
            <w:vAlign w:val="center"/>
          </w:tcPr>
          <w:p>
            <w:pPr>
              <w:pStyle w:val="22"/>
              <w:bidi w:val="0"/>
              <w:jc w:val="center"/>
              <w:rPr>
                <w:color w:val="0000FF"/>
              </w:rPr>
            </w:pPr>
            <w:r>
              <w:rPr>
                <w:color w:val="0000FF"/>
              </w:rPr>
              <w:t>40.6℃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4" w:type="dxa"/>
          <w:trHeight w:val="400" w:hRule="atLeast"/>
          <w:jc w:val="center"/>
        </w:trPr>
        <w:tc>
          <w:tcPr>
            <w:tcW w:w="5555" w:type="dxa"/>
            <w:gridSpan w:val="4"/>
            <w:vAlign w:val="center"/>
          </w:tcPr>
          <w:p>
            <w:pPr>
              <w:pStyle w:val="22"/>
              <w:bidi w:val="0"/>
              <w:jc w:val="center"/>
              <w:rPr>
                <w:color w:val="0000FF"/>
              </w:rPr>
            </w:pPr>
            <w:r>
              <w:rPr>
                <w:color w:val="0000FF"/>
              </w:rPr>
              <w:t>最低环境温度/℃</w:t>
            </w:r>
          </w:p>
        </w:tc>
        <w:tc>
          <w:tcPr>
            <w:tcW w:w="2771" w:type="dxa"/>
            <w:gridSpan w:val="2"/>
            <w:vAlign w:val="center"/>
          </w:tcPr>
          <w:p>
            <w:pPr>
              <w:pStyle w:val="22"/>
              <w:bidi w:val="0"/>
              <w:jc w:val="center"/>
              <w:rPr>
                <w:color w:val="0000FF"/>
              </w:rPr>
            </w:pPr>
            <w:r>
              <w:rPr>
                <w:color w:val="0000FF"/>
              </w:rPr>
              <w:t>-22.8℃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4" w:type="dxa"/>
          <w:trHeight w:val="402" w:hRule="atLeast"/>
          <w:jc w:val="center"/>
        </w:trPr>
        <w:tc>
          <w:tcPr>
            <w:tcW w:w="5555" w:type="dxa"/>
            <w:gridSpan w:val="4"/>
            <w:vAlign w:val="center"/>
          </w:tcPr>
          <w:p>
            <w:pPr>
              <w:pStyle w:val="22"/>
              <w:bidi w:val="0"/>
              <w:jc w:val="center"/>
              <w:rPr>
                <w:color w:val="0000FF"/>
              </w:rPr>
            </w:pPr>
            <w:r>
              <w:rPr>
                <w:color w:val="0000FF"/>
              </w:rPr>
              <w:t>土地利用类型</w:t>
            </w:r>
          </w:p>
        </w:tc>
        <w:tc>
          <w:tcPr>
            <w:tcW w:w="2771" w:type="dxa"/>
            <w:gridSpan w:val="2"/>
            <w:vAlign w:val="center"/>
          </w:tcPr>
          <w:p>
            <w:pPr>
              <w:pStyle w:val="22"/>
              <w:bidi w:val="0"/>
              <w:jc w:val="center"/>
              <w:rPr>
                <w:rFonts w:hint="default" w:eastAsia="宋体"/>
                <w:color w:val="0000FF"/>
                <w:lang w:val="en-US" w:eastAsia="zh-CN"/>
              </w:rPr>
            </w:pPr>
            <w:r>
              <w:rPr>
                <w:rFonts w:hint="eastAsia"/>
                <w:color w:val="0000FF"/>
                <w:lang w:val="en-US" w:eastAsia="zh-CN"/>
              </w:rPr>
              <w:t>沙漠化荒地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4" w:type="dxa"/>
          <w:trHeight w:val="400" w:hRule="atLeast"/>
          <w:jc w:val="center"/>
        </w:trPr>
        <w:tc>
          <w:tcPr>
            <w:tcW w:w="5555" w:type="dxa"/>
            <w:gridSpan w:val="4"/>
            <w:vAlign w:val="center"/>
          </w:tcPr>
          <w:p>
            <w:pPr>
              <w:pStyle w:val="22"/>
              <w:bidi w:val="0"/>
              <w:jc w:val="center"/>
              <w:rPr>
                <w:color w:val="0000FF"/>
              </w:rPr>
            </w:pPr>
            <w:r>
              <w:rPr>
                <w:color w:val="0000FF"/>
              </w:rPr>
              <w:t>区域湿度条件</w:t>
            </w:r>
          </w:p>
        </w:tc>
        <w:tc>
          <w:tcPr>
            <w:tcW w:w="2771" w:type="dxa"/>
            <w:gridSpan w:val="2"/>
            <w:vAlign w:val="center"/>
          </w:tcPr>
          <w:p>
            <w:pPr>
              <w:pStyle w:val="22"/>
              <w:bidi w:val="0"/>
              <w:jc w:val="center"/>
              <w:rPr>
                <w:color w:val="0000FF"/>
              </w:rPr>
            </w:pPr>
            <w:r>
              <w:rPr>
                <w:color w:val="0000FF"/>
              </w:rPr>
              <w:t>干燥气候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4" w:type="dxa"/>
          <w:trHeight w:val="407" w:hRule="atLeast"/>
          <w:jc w:val="center"/>
        </w:trPr>
        <w:tc>
          <w:tcPr>
            <w:tcW w:w="2766" w:type="dxa"/>
            <w:gridSpan w:val="2"/>
            <w:vAlign w:val="center"/>
          </w:tcPr>
          <w:p>
            <w:pPr>
              <w:pStyle w:val="22"/>
              <w:bidi w:val="0"/>
              <w:jc w:val="center"/>
              <w:rPr>
                <w:color w:val="0000FF"/>
              </w:rPr>
            </w:pPr>
            <w:r>
              <w:rPr>
                <w:color w:val="0000FF"/>
              </w:rPr>
              <w:t>是否考虑地形</w:t>
            </w:r>
          </w:p>
        </w:tc>
        <w:tc>
          <w:tcPr>
            <w:tcW w:w="2789" w:type="dxa"/>
            <w:gridSpan w:val="2"/>
            <w:vAlign w:val="center"/>
          </w:tcPr>
          <w:p>
            <w:pPr>
              <w:pStyle w:val="22"/>
              <w:bidi w:val="0"/>
              <w:jc w:val="center"/>
              <w:rPr>
                <w:color w:val="0000FF"/>
              </w:rPr>
            </w:pPr>
            <w:r>
              <w:rPr>
                <w:color w:val="0000FF"/>
              </w:rPr>
              <w:t>考虑地形</w:t>
            </w:r>
          </w:p>
        </w:tc>
        <w:tc>
          <w:tcPr>
            <w:tcW w:w="2771" w:type="dxa"/>
            <w:gridSpan w:val="2"/>
            <w:vAlign w:val="center"/>
          </w:tcPr>
          <w:p>
            <w:pPr>
              <w:pStyle w:val="22"/>
              <w:bidi w:val="0"/>
              <w:jc w:val="center"/>
              <w:rPr>
                <w:color w:val="0000FF"/>
              </w:rPr>
            </w:pPr>
            <w:r>
              <w:rPr>
                <w:color w:val="0000FF"/>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4" w:type="dxa"/>
          <w:trHeight w:val="407" w:hRule="atLeast"/>
          <w:jc w:val="center"/>
        </w:trPr>
        <w:tc>
          <w:tcPr>
            <w:tcW w:w="2766" w:type="dxa"/>
            <w:gridSpan w:val="2"/>
            <w:vAlign w:val="center"/>
          </w:tcPr>
          <w:p>
            <w:pPr>
              <w:pStyle w:val="22"/>
              <w:bidi w:val="0"/>
              <w:jc w:val="center"/>
              <w:rPr>
                <w:color w:val="0000FF"/>
              </w:rPr>
            </w:pPr>
          </w:p>
        </w:tc>
        <w:tc>
          <w:tcPr>
            <w:tcW w:w="2789" w:type="dxa"/>
            <w:gridSpan w:val="2"/>
            <w:vAlign w:val="center"/>
          </w:tcPr>
          <w:p>
            <w:pPr>
              <w:pStyle w:val="22"/>
              <w:bidi w:val="0"/>
              <w:jc w:val="center"/>
              <w:rPr>
                <w:color w:val="0000FF"/>
              </w:rPr>
            </w:pPr>
            <w:r>
              <w:rPr>
                <w:color w:val="0000FF"/>
              </w:rPr>
              <w:t>地形数据分辨率/m</w:t>
            </w:r>
          </w:p>
        </w:tc>
        <w:tc>
          <w:tcPr>
            <w:tcW w:w="2771" w:type="dxa"/>
            <w:gridSpan w:val="2"/>
            <w:vAlign w:val="center"/>
          </w:tcPr>
          <w:p>
            <w:pPr>
              <w:pStyle w:val="22"/>
              <w:bidi w:val="0"/>
              <w:jc w:val="center"/>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4" w:type="dxa"/>
          <w:trHeight w:val="399" w:hRule="atLeast"/>
          <w:jc w:val="center"/>
        </w:trPr>
        <w:tc>
          <w:tcPr>
            <w:tcW w:w="2766" w:type="dxa"/>
            <w:gridSpan w:val="2"/>
            <w:vMerge w:val="restart"/>
            <w:tcBorders>
              <w:bottom w:val="nil"/>
            </w:tcBorders>
            <w:vAlign w:val="center"/>
          </w:tcPr>
          <w:p>
            <w:pPr>
              <w:pStyle w:val="22"/>
              <w:bidi w:val="0"/>
              <w:jc w:val="center"/>
              <w:rPr>
                <w:color w:val="0000FF"/>
              </w:rPr>
            </w:pPr>
          </w:p>
          <w:p>
            <w:pPr>
              <w:pStyle w:val="22"/>
              <w:bidi w:val="0"/>
              <w:jc w:val="center"/>
              <w:rPr>
                <w:color w:val="0000FF"/>
              </w:rPr>
            </w:pPr>
            <w:r>
              <w:rPr>
                <w:color w:val="0000FF"/>
              </w:rPr>
              <w:t>是否考虑岸线熏烟</w:t>
            </w:r>
          </w:p>
        </w:tc>
        <w:tc>
          <w:tcPr>
            <w:tcW w:w="2789" w:type="dxa"/>
            <w:gridSpan w:val="2"/>
            <w:vAlign w:val="center"/>
          </w:tcPr>
          <w:p>
            <w:pPr>
              <w:pStyle w:val="22"/>
              <w:bidi w:val="0"/>
              <w:jc w:val="center"/>
              <w:rPr>
                <w:color w:val="0000FF"/>
              </w:rPr>
            </w:pPr>
            <w:r>
              <w:rPr>
                <w:color w:val="0000FF"/>
              </w:rPr>
              <w:t>考虑岸线熏烟</w:t>
            </w:r>
          </w:p>
        </w:tc>
        <w:tc>
          <w:tcPr>
            <w:tcW w:w="2771" w:type="dxa"/>
            <w:gridSpan w:val="2"/>
            <w:vAlign w:val="center"/>
          </w:tcPr>
          <w:p>
            <w:pPr>
              <w:pStyle w:val="22"/>
              <w:bidi w:val="0"/>
              <w:jc w:val="center"/>
              <w:rPr>
                <w:color w:val="0000FF"/>
              </w:rPr>
            </w:pPr>
            <w:r>
              <w:rPr>
                <w:color w:val="0000FF"/>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4" w:type="dxa"/>
          <w:trHeight w:val="402" w:hRule="atLeast"/>
          <w:jc w:val="center"/>
        </w:trPr>
        <w:tc>
          <w:tcPr>
            <w:tcW w:w="2766" w:type="dxa"/>
            <w:gridSpan w:val="2"/>
            <w:vMerge w:val="continue"/>
            <w:tcBorders>
              <w:top w:val="nil"/>
              <w:bottom w:val="nil"/>
            </w:tcBorders>
            <w:vAlign w:val="center"/>
          </w:tcPr>
          <w:p>
            <w:pPr>
              <w:pStyle w:val="22"/>
              <w:bidi w:val="0"/>
              <w:jc w:val="center"/>
              <w:rPr>
                <w:color w:val="0000FF"/>
              </w:rPr>
            </w:pPr>
          </w:p>
        </w:tc>
        <w:tc>
          <w:tcPr>
            <w:tcW w:w="2789" w:type="dxa"/>
            <w:gridSpan w:val="2"/>
            <w:vAlign w:val="center"/>
          </w:tcPr>
          <w:p>
            <w:pPr>
              <w:pStyle w:val="22"/>
              <w:bidi w:val="0"/>
              <w:jc w:val="center"/>
              <w:rPr>
                <w:color w:val="0000FF"/>
              </w:rPr>
            </w:pPr>
            <w:r>
              <w:rPr>
                <w:color w:val="0000FF"/>
              </w:rPr>
              <w:t>岸线距离/km</w:t>
            </w:r>
          </w:p>
        </w:tc>
        <w:tc>
          <w:tcPr>
            <w:tcW w:w="2771" w:type="dxa"/>
            <w:gridSpan w:val="2"/>
            <w:vAlign w:val="center"/>
          </w:tcPr>
          <w:p>
            <w:pPr>
              <w:pStyle w:val="22"/>
              <w:bidi w:val="0"/>
              <w:jc w:val="center"/>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4" w:type="dxa"/>
          <w:trHeight w:val="406" w:hRule="atLeast"/>
          <w:jc w:val="center"/>
        </w:trPr>
        <w:tc>
          <w:tcPr>
            <w:tcW w:w="2766" w:type="dxa"/>
            <w:gridSpan w:val="2"/>
            <w:vMerge w:val="continue"/>
            <w:tcBorders>
              <w:top w:val="nil"/>
            </w:tcBorders>
            <w:vAlign w:val="center"/>
          </w:tcPr>
          <w:p>
            <w:pPr>
              <w:pStyle w:val="22"/>
              <w:bidi w:val="0"/>
              <w:jc w:val="center"/>
              <w:rPr>
                <w:color w:val="0000FF"/>
              </w:rPr>
            </w:pPr>
          </w:p>
        </w:tc>
        <w:tc>
          <w:tcPr>
            <w:tcW w:w="2789" w:type="dxa"/>
            <w:gridSpan w:val="2"/>
            <w:vAlign w:val="center"/>
          </w:tcPr>
          <w:p>
            <w:pPr>
              <w:pStyle w:val="22"/>
              <w:bidi w:val="0"/>
              <w:jc w:val="center"/>
              <w:rPr>
                <w:color w:val="0000FF"/>
              </w:rPr>
            </w:pPr>
            <w:r>
              <w:rPr>
                <w:color w:val="0000FF"/>
              </w:rPr>
              <w:t>岸线方向/º</w:t>
            </w:r>
          </w:p>
        </w:tc>
        <w:tc>
          <w:tcPr>
            <w:tcW w:w="2771" w:type="dxa"/>
            <w:gridSpan w:val="2"/>
            <w:vAlign w:val="center"/>
          </w:tcPr>
          <w:p>
            <w:pPr>
              <w:pStyle w:val="22"/>
              <w:bidi w:val="0"/>
              <w:jc w:val="center"/>
              <w:rPr>
                <w:color w:val="0000FF"/>
              </w:rPr>
            </w:pPr>
            <w:r>
              <w:rPr>
                <w:color w:val="0000FF"/>
              </w:rPr>
              <w:t>/</w:t>
            </w:r>
          </w:p>
        </w:tc>
      </w:tr>
    </w:tbl>
    <w:p>
      <w:pPr>
        <w:bidi w:val="0"/>
        <w:rPr>
          <w:color w:val="0000FF"/>
        </w:rPr>
      </w:pPr>
      <w:r>
        <w:rPr>
          <w:color w:val="0000FF"/>
        </w:rPr>
        <w:t>（3）源强：污水处理站废气源强详见下表。</w:t>
      </w:r>
    </w:p>
    <w:p>
      <w:pPr>
        <w:pStyle w:val="22"/>
        <w:bidi w:val="0"/>
        <w:rPr>
          <w:b/>
          <w:bCs/>
          <w:color w:val="0000FF"/>
        </w:rPr>
      </w:pPr>
      <w:r>
        <w:rPr>
          <w:b/>
          <w:bCs/>
          <w:color w:val="0000FF"/>
        </w:rPr>
        <w:t>表</w:t>
      </w:r>
      <w:r>
        <w:rPr>
          <w:rFonts w:hint="eastAsia"/>
          <w:b/>
          <w:bCs/>
          <w:color w:val="0000FF"/>
          <w:lang w:val="en-US" w:eastAsia="zh-CN"/>
        </w:rPr>
        <w:t>5</w:t>
      </w:r>
      <w:r>
        <w:rPr>
          <w:b/>
          <w:bCs/>
          <w:color w:val="0000FF"/>
        </w:rPr>
        <w:t>.2-</w:t>
      </w:r>
      <w:r>
        <w:rPr>
          <w:rFonts w:hint="eastAsia"/>
          <w:b/>
          <w:bCs/>
          <w:color w:val="0000FF"/>
          <w:lang w:val="en-US" w:eastAsia="zh-CN"/>
        </w:rPr>
        <w:t>7</w:t>
      </w:r>
      <w:r>
        <w:rPr>
          <w:b/>
          <w:bCs/>
          <w:color w:val="0000FF"/>
        </w:rPr>
        <w:t>面源参数表</w:t>
      </w:r>
    </w:p>
    <w:tbl>
      <w:tblPr>
        <w:tblStyle w:val="23"/>
        <w:tblW w:w="89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750"/>
        <w:gridCol w:w="911"/>
        <w:gridCol w:w="818"/>
        <w:gridCol w:w="722"/>
        <w:gridCol w:w="772"/>
        <w:gridCol w:w="583"/>
        <w:gridCol w:w="788"/>
        <w:gridCol w:w="655"/>
        <w:gridCol w:w="1108"/>
        <w:gridCol w:w="1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479" w:type="dxa"/>
            <w:vMerge w:val="restart"/>
            <w:tcBorders>
              <w:bottom w:val="nil"/>
            </w:tcBorders>
            <w:textDirection w:val="tbRlV"/>
            <w:vAlign w:val="center"/>
          </w:tcPr>
          <w:p>
            <w:pPr>
              <w:pStyle w:val="22"/>
              <w:bidi w:val="0"/>
              <w:rPr>
                <w:color w:val="0000FF"/>
              </w:rPr>
            </w:pPr>
            <w:r>
              <w:rPr>
                <w:color w:val="0000FF"/>
              </w:rPr>
              <w:t>编号</w:t>
            </w:r>
          </w:p>
        </w:tc>
        <w:tc>
          <w:tcPr>
            <w:tcW w:w="750" w:type="dxa"/>
            <w:vMerge w:val="restart"/>
            <w:tcBorders>
              <w:bottom w:val="nil"/>
            </w:tcBorders>
            <w:textDirection w:val="tbRlV"/>
            <w:vAlign w:val="center"/>
          </w:tcPr>
          <w:p>
            <w:pPr>
              <w:pStyle w:val="22"/>
              <w:bidi w:val="0"/>
              <w:rPr>
                <w:color w:val="0000FF"/>
              </w:rPr>
            </w:pPr>
            <w:r>
              <w:rPr>
                <w:color w:val="0000FF"/>
              </w:rPr>
              <w:t>名称</w:t>
            </w:r>
          </w:p>
        </w:tc>
        <w:tc>
          <w:tcPr>
            <w:tcW w:w="911" w:type="dxa"/>
            <w:vMerge w:val="restart"/>
            <w:tcBorders>
              <w:bottom w:val="nil"/>
            </w:tcBorders>
            <w:vAlign w:val="center"/>
          </w:tcPr>
          <w:p>
            <w:pPr>
              <w:pStyle w:val="22"/>
              <w:bidi w:val="0"/>
              <w:rPr>
                <w:color w:val="0000FF"/>
              </w:rPr>
            </w:pPr>
            <w:r>
              <w:rPr>
                <w:color w:val="0000FF"/>
              </w:rPr>
              <w:t>面源海拔</w:t>
            </w:r>
          </w:p>
          <w:p>
            <w:pPr>
              <w:pStyle w:val="22"/>
              <w:bidi w:val="0"/>
              <w:rPr>
                <w:color w:val="0000FF"/>
              </w:rPr>
            </w:pPr>
            <w:r>
              <w:rPr>
                <w:color w:val="0000FF"/>
              </w:rPr>
              <w:t>高度/m</w:t>
            </w:r>
          </w:p>
        </w:tc>
        <w:tc>
          <w:tcPr>
            <w:tcW w:w="818" w:type="dxa"/>
            <w:vMerge w:val="restart"/>
            <w:tcBorders>
              <w:bottom w:val="nil"/>
            </w:tcBorders>
            <w:vAlign w:val="center"/>
          </w:tcPr>
          <w:p>
            <w:pPr>
              <w:pStyle w:val="22"/>
              <w:bidi w:val="0"/>
              <w:jc w:val="center"/>
              <w:rPr>
                <w:color w:val="0000FF"/>
              </w:rPr>
            </w:pPr>
            <w:r>
              <w:rPr>
                <w:color w:val="0000FF"/>
              </w:rPr>
              <w:t>面源长度/m</w:t>
            </w:r>
          </w:p>
        </w:tc>
        <w:tc>
          <w:tcPr>
            <w:tcW w:w="722" w:type="dxa"/>
            <w:vMerge w:val="restart"/>
            <w:tcBorders>
              <w:bottom w:val="nil"/>
              <w:right w:val="single" w:color="000000" w:sz="4" w:space="0"/>
            </w:tcBorders>
            <w:vAlign w:val="center"/>
          </w:tcPr>
          <w:p>
            <w:pPr>
              <w:pStyle w:val="22"/>
              <w:bidi w:val="0"/>
              <w:jc w:val="center"/>
              <w:rPr>
                <w:color w:val="0000FF"/>
              </w:rPr>
            </w:pPr>
            <w:r>
              <w:rPr>
                <w:color w:val="0000FF"/>
              </w:rPr>
              <w:t>面源宽度/m</w:t>
            </w:r>
          </w:p>
        </w:tc>
        <w:tc>
          <w:tcPr>
            <w:tcW w:w="772" w:type="dxa"/>
            <w:vMerge w:val="restart"/>
            <w:tcBorders>
              <w:left w:val="single" w:color="000000" w:sz="4" w:space="0"/>
              <w:bottom w:val="nil"/>
            </w:tcBorders>
            <w:vAlign w:val="center"/>
          </w:tcPr>
          <w:p>
            <w:pPr>
              <w:pStyle w:val="22"/>
              <w:bidi w:val="0"/>
              <w:jc w:val="center"/>
              <w:rPr>
                <w:color w:val="0000FF"/>
              </w:rPr>
            </w:pPr>
            <w:r>
              <w:rPr>
                <w:color w:val="0000FF"/>
              </w:rPr>
              <w:t>与正北方向夹角/°</w:t>
            </w:r>
          </w:p>
        </w:tc>
        <w:tc>
          <w:tcPr>
            <w:tcW w:w="583" w:type="dxa"/>
            <w:vMerge w:val="restart"/>
            <w:tcBorders>
              <w:bottom w:val="nil"/>
            </w:tcBorders>
            <w:vAlign w:val="center"/>
          </w:tcPr>
          <w:p>
            <w:pPr>
              <w:pStyle w:val="22"/>
              <w:bidi w:val="0"/>
              <w:jc w:val="center"/>
              <w:rPr>
                <w:color w:val="0000FF"/>
              </w:rPr>
            </w:pPr>
            <w:r>
              <w:rPr>
                <w:color w:val="0000FF"/>
              </w:rPr>
              <w:t>面源有效排放高度/m</w:t>
            </w:r>
          </w:p>
        </w:tc>
        <w:tc>
          <w:tcPr>
            <w:tcW w:w="788" w:type="dxa"/>
            <w:vMerge w:val="restart"/>
            <w:tcBorders>
              <w:bottom w:val="nil"/>
            </w:tcBorders>
            <w:vAlign w:val="center"/>
          </w:tcPr>
          <w:p>
            <w:pPr>
              <w:pStyle w:val="22"/>
              <w:bidi w:val="0"/>
              <w:rPr>
                <w:color w:val="0000FF"/>
              </w:rPr>
            </w:pPr>
          </w:p>
          <w:p>
            <w:pPr>
              <w:pStyle w:val="22"/>
              <w:bidi w:val="0"/>
              <w:jc w:val="center"/>
              <w:rPr>
                <w:color w:val="0000FF"/>
              </w:rPr>
            </w:pPr>
            <w:r>
              <w:rPr>
                <w:color w:val="0000FF"/>
              </w:rPr>
              <w:t>年排放小时数/h</w:t>
            </w:r>
          </w:p>
        </w:tc>
        <w:tc>
          <w:tcPr>
            <w:tcW w:w="655" w:type="dxa"/>
            <w:vMerge w:val="restart"/>
            <w:tcBorders>
              <w:bottom w:val="nil"/>
            </w:tcBorders>
            <w:textDirection w:val="tbRlV"/>
            <w:vAlign w:val="center"/>
          </w:tcPr>
          <w:p>
            <w:pPr>
              <w:pStyle w:val="22"/>
              <w:bidi w:val="0"/>
              <w:rPr>
                <w:color w:val="0000FF"/>
              </w:rPr>
            </w:pPr>
            <w:r>
              <w:rPr>
                <w:color w:val="0000FF"/>
              </w:rPr>
              <w:t>排放工况</w:t>
            </w:r>
          </w:p>
        </w:tc>
        <w:tc>
          <w:tcPr>
            <w:tcW w:w="2497" w:type="dxa"/>
            <w:gridSpan w:val="2"/>
            <w:vAlign w:val="center"/>
          </w:tcPr>
          <w:p>
            <w:pPr>
              <w:pStyle w:val="22"/>
              <w:bidi w:val="0"/>
              <w:rPr>
                <w:color w:val="0000FF"/>
              </w:rPr>
            </w:pPr>
            <w:r>
              <w:rPr>
                <w:color w:val="0000FF"/>
              </w:rPr>
              <w:t>污染物排放速率</w:t>
            </w:r>
          </w:p>
          <w:p>
            <w:pPr>
              <w:pStyle w:val="22"/>
              <w:bidi w:val="0"/>
              <w:rPr>
                <w:color w:val="0000FF"/>
              </w:rPr>
            </w:pPr>
            <w:r>
              <w:rPr>
                <w:color w:val="0000FF"/>
              </w:rPr>
              <w:t>/(kg/a)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jc w:val="center"/>
        </w:trPr>
        <w:tc>
          <w:tcPr>
            <w:tcW w:w="479" w:type="dxa"/>
            <w:vMerge w:val="continue"/>
            <w:tcBorders>
              <w:top w:val="nil"/>
            </w:tcBorders>
            <w:textDirection w:val="tbRlV"/>
            <w:vAlign w:val="center"/>
          </w:tcPr>
          <w:p>
            <w:pPr>
              <w:pStyle w:val="22"/>
              <w:bidi w:val="0"/>
              <w:rPr>
                <w:color w:val="0000FF"/>
              </w:rPr>
            </w:pPr>
          </w:p>
        </w:tc>
        <w:tc>
          <w:tcPr>
            <w:tcW w:w="750" w:type="dxa"/>
            <w:vMerge w:val="continue"/>
            <w:tcBorders>
              <w:top w:val="nil"/>
            </w:tcBorders>
            <w:textDirection w:val="tbRlV"/>
            <w:vAlign w:val="center"/>
          </w:tcPr>
          <w:p>
            <w:pPr>
              <w:pStyle w:val="22"/>
              <w:bidi w:val="0"/>
              <w:rPr>
                <w:color w:val="0000FF"/>
              </w:rPr>
            </w:pPr>
          </w:p>
        </w:tc>
        <w:tc>
          <w:tcPr>
            <w:tcW w:w="911" w:type="dxa"/>
            <w:vMerge w:val="continue"/>
            <w:tcBorders>
              <w:top w:val="nil"/>
            </w:tcBorders>
            <w:vAlign w:val="center"/>
          </w:tcPr>
          <w:p>
            <w:pPr>
              <w:pStyle w:val="22"/>
              <w:bidi w:val="0"/>
              <w:rPr>
                <w:color w:val="0000FF"/>
              </w:rPr>
            </w:pPr>
          </w:p>
        </w:tc>
        <w:tc>
          <w:tcPr>
            <w:tcW w:w="818" w:type="dxa"/>
            <w:vMerge w:val="continue"/>
            <w:tcBorders>
              <w:top w:val="nil"/>
            </w:tcBorders>
            <w:vAlign w:val="center"/>
          </w:tcPr>
          <w:p>
            <w:pPr>
              <w:pStyle w:val="22"/>
              <w:bidi w:val="0"/>
              <w:rPr>
                <w:color w:val="0000FF"/>
              </w:rPr>
            </w:pPr>
          </w:p>
        </w:tc>
        <w:tc>
          <w:tcPr>
            <w:tcW w:w="722" w:type="dxa"/>
            <w:vMerge w:val="continue"/>
            <w:tcBorders>
              <w:top w:val="nil"/>
              <w:right w:val="single" w:color="000000" w:sz="4" w:space="0"/>
            </w:tcBorders>
            <w:vAlign w:val="center"/>
          </w:tcPr>
          <w:p>
            <w:pPr>
              <w:pStyle w:val="22"/>
              <w:bidi w:val="0"/>
              <w:rPr>
                <w:color w:val="0000FF"/>
              </w:rPr>
            </w:pPr>
          </w:p>
        </w:tc>
        <w:tc>
          <w:tcPr>
            <w:tcW w:w="772" w:type="dxa"/>
            <w:vMerge w:val="continue"/>
            <w:tcBorders>
              <w:top w:val="nil"/>
              <w:left w:val="single" w:color="000000" w:sz="4" w:space="0"/>
            </w:tcBorders>
            <w:vAlign w:val="center"/>
          </w:tcPr>
          <w:p>
            <w:pPr>
              <w:pStyle w:val="22"/>
              <w:bidi w:val="0"/>
              <w:rPr>
                <w:color w:val="0000FF"/>
              </w:rPr>
            </w:pPr>
          </w:p>
        </w:tc>
        <w:tc>
          <w:tcPr>
            <w:tcW w:w="583" w:type="dxa"/>
            <w:vMerge w:val="continue"/>
            <w:tcBorders>
              <w:top w:val="nil"/>
            </w:tcBorders>
            <w:vAlign w:val="center"/>
          </w:tcPr>
          <w:p>
            <w:pPr>
              <w:pStyle w:val="22"/>
              <w:bidi w:val="0"/>
              <w:rPr>
                <w:color w:val="0000FF"/>
              </w:rPr>
            </w:pPr>
          </w:p>
        </w:tc>
        <w:tc>
          <w:tcPr>
            <w:tcW w:w="788" w:type="dxa"/>
            <w:vMerge w:val="continue"/>
            <w:tcBorders>
              <w:top w:val="nil"/>
            </w:tcBorders>
            <w:vAlign w:val="center"/>
          </w:tcPr>
          <w:p>
            <w:pPr>
              <w:pStyle w:val="22"/>
              <w:bidi w:val="0"/>
              <w:rPr>
                <w:color w:val="0000FF"/>
              </w:rPr>
            </w:pPr>
          </w:p>
        </w:tc>
        <w:tc>
          <w:tcPr>
            <w:tcW w:w="655" w:type="dxa"/>
            <w:vMerge w:val="continue"/>
            <w:tcBorders>
              <w:top w:val="nil"/>
            </w:tcBorders>
            <w:textDirection w:val="tbRlV"/>
            <w:vAlign w:val="center"/>
          </w:tcPr>
          <w:p>
            <w:pPr>
              <w:pStyle w:val="22"/>
              <w:bidi w:val="0"/>
              <w:rPr>
                <w:color w:val="0000FF"/>
              </w:rPr>
            </w:pPr>
          </w:p>
        </w:tc>
        <w:tc>
          <w:tcPr>
            <w:tcW w:w="1108" w:type="dxa"/>
            <w:vAlign w:val="center"/>
          </w:tcPr>
          <w:p>
            <w:pPr>
              <w:pStyle w:val="22"/>
              <w:bidi w:val="0"/>
              <w:rPr>
                <w:color w:val="0000FF"/>
              </w:rPr>
            </w:pPr>
            <w:r>
              <w:rPr>
                <w:color w:val="0000FF"/>
              </w:rPr>
              <w:t>NH</w:t>
            </w:r>
            <w:r>
              <w:rPr>
                <w:color w:val="0000FF"/>
                <w:vertAlign w:val="subscript"/>
              </w:rPr>
              <w:t>3</w:t>
            </w:r>
          </w:p>
        </w:tc>
        <w:tc>
          <w:tcPr>
            <w:tcW w:w="1389" w:type="dxa"/>
            <w:vAlign w:val="center"/>
          </w:tcPr>
          <w:p>
            <w:pPr>
              <w:pStyle w:val="22"/>
              <w:bidi w:val="0"/>
              <w:rPr>
                <w:color w:val="0000FF"/>
              </w:rPr>
            </w:pPr>
            <w:r>
              <w:rPr>
                <w:color w:val="0000FF"/>
              </w:rPr>
              <w:t>H</w:t>
            </w:r>
            <w:r>
              <w:rPr>
                <w:color w:val="0000FF"/>
                <w:vertAlign w:val="subscript"/>
              </w:rPr>
              <w:t>2</w:t>
            </w:r>
            <w:r>
              <w:rPr>
                <w:color w:val="0000FF"/>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479" w:type="dxa"/>
            <w:vAlign w:val="center"/>
          </w:tcPr>
          <w:p>
            <w:pPr>
              <w:pStyle w:val="22"/>
              <w:bidi w:val="0"/>
              <w:rPr>
                <w:color w:val="0000FF"/>
              </w:rPr>
            </w:pPr>
            <w:r>
              <w:rPr>
                <w:color w:val="0000FF"/>
              </w:rPr>
              <w:t>1</w:t>
            </w:r>
          </w:p>
        </w:tc>
        <w:tc>
          <w:tcPr>
            <w:tcW w:w="750" w:type="dxa"/>
            <w:vAlign w:val="center"/>
          </w:tcPr>
          <w:p>
            <w:pPr>
              <w:pStyle w:val="22"/>
              <w:bidi w:val="0"/>
              <w:rPr>
                <w:rFonts w:hint="default"/>
                <w:color w:val="0000FF"/>
                <w:lang w:val="en-US" w:eastAsia="zh-CN"/>
              </w:rPr>
            </w:pPr>
            <w:r>
              <w:rPr>
                <w:rFonts w:hint="eastAsia"/>
                <w:color w:val="0000FF"/>
                <w:lang w:val="en-US" w:eastAsia="zh-CN"/>
              </w:rPr>
              <w:t>污水处理站</w:t>
            </w:r>
          </w:p>
        </w:tc>
        <w:tc>
          <w:tcPr>
            <w:tcW w:w="911" w:type="dxa"/>
            <w:vAlign w:val="center"/>
          </w:tcPr>
          <w:p>
            <w:pPr>
              <w:pStyle w:val="22"/>
              <w:bidi w:val="0"/>
              <w:rPr>
                <w:color w:val="0000FF"/>
              </w:rPr>
            </w:pPr>
            <w:r>
              <w:rPr>
                <w:color w:val="0000FF"/>
              </w:rPr>
              <w:t>1455</w:t>
            </w:r>
          </w:p>
        </w:tc>
        <w:tc>
          <w:tcPr>
            <w:tcW w:w="818" w:type="dxa"/>
            <w:vAlign w:val="center"/>
          </w:tcPr>
          <w:p>
            <w:pPr>
              <w:pStyle w:val="22"/>
              <w:bidi w:val="0"/>
              <w:rPr>
                <w:rFonts w:hint="default" w:eastAsia="宋体"/>
                <w:color w:val="0000FF"/>
                <w:lang w:val="en-US" w:eastAsia="zh-CN"/>
              </w:rPr>
            </w:pPr>
            <w:r>
              <w:rPr>
                <w:rFonts w:hint="eastAsia"/>
                <w:color w:val="0000FF"/>
                <w:lang w:val="en-US" w:eastAsia="zh-CN"/>
              </w:rPr>
              <w:t>2.5</w:t>
            </w:r>
          </w:p>
        </w:tc>
        <w:tc>
          <w:tcPr>
            <w:tcW w:w="722" w:type="dxa"/>
            <w:tcBorders>
              <w:right w:val="single" w:color="000000" w:sz="4" w:space="0"/>
            </w:tcBorders>
            <w:vAlign w:val="center"/>
          </w:tcPr>
          <w:p>
            <w:pPr>
              <w:pStyle w:val="22"/>
              <w:bidi w:val="0"/>
              <w:rPr>
                <w:rFonts w:hint="default" w:eastAsia="宋体"/>
                <w:color w:val="0000FF"/>
                <w:lang w:val="en-US" w:eastAsia="zh-CN"/>
              </w:rPr>
            </w:pPr>
            <w:r>
              <w:rPr>
                <w:rFonts w:hint="eastAsia"/>
                <w:color w:val="0000FF"/>
                <w:lang w:val="en-US" w:eastAsia="zh-CN"/>
              </w:rPr>
              <w:t>2</w:t>
            </w:r>
          </w:p>
        </w:tc>
        <w:tc>
          <w:tcPr>
            <w:tcW w:w="772" w:type="dxa"/>
            <w:tcBorders>
              <w:left w:val="single" w:color="000000" w:sz="4" w:space="0"/>
            </w:tcBorders>
            <w:vAlign w:val="center"/>
          </w:tcPr>
          <w:p>
            <w:pPr>
              <w:pStyle w:val="22"/>
              <w:bidi w:val="0"/>
              <w:rPr>
                <w:color w:val="0000FF"/>
              </w:rPr>
            </w:pPr>
            <w:r>
              <w:rPr>
                <w:color w:val="0000FF"/>
              </w:rPr>
              <w:t>0</w:t>
            </w:r>
          </w:p>
        </w:tc>
        <w:tc>
          <w:tcPr>
            <w:tcW w:w="583" w:type="dxa"/>
            <w:vAlign w:val="center"/>
          </w:tcPr>
          <w:p>
            <w:pPr>
              <w:pStyle w:val="22"/>
              <w:bidi w:val="0"/>
              <w:rPr>
                <w:color w:val="0000FF"/>
              </w:rPr>
            </w:pPr>
            <w:r>
              <w:rPr>
                <w:color w:val="0000FF"/>
              </w:rPr>
              <w:t>1</w:t>
            </w:r>
          </w:p>
        </w:tc>
        <w:tc>
          <w:tcPr>
            <w:tcW w:w="788" w:type="dxa"/>
            <w:vAlign w:val="center"/>
          </w:tcPr>
          <w:p>
            <w:pPr>
              <w:pStyle w:val="22"/>
              <w:bidi w:val="0"/>
              <w:rPr>
                <w:color w:val="0000FF"/>
              </w:rPr>
            </w:pPr>
            <w:r>
              <w:rPr>
                <w:color w:val="0000FF"/>
              </w:rPr>
              <w:t>8760</w:t>
            </w:r>
          </w:p>
        </w:tc>
        <w:tc>
          <w:tcPr>
            <w:tcW w:w="655" w:type="dxa"/>
            <w:textDirection w:val="tbRlV"/>
            <w:vAlign w:val="center"/>
          </w:tcPr>
          <w:p>
            <w:pPr>
              <w:pStyle w:val="22"/>
              <w:bidi w:val="0"/>
              <w:rPr>
                <w:color w:val="0000FF"/>
              </w:rPr>
            </w:pPr>
            <w:r>
              <w:rPr>
                <w:color w:val="0000FF"/>
              </w:rPr>
              <w:t>正常</w:t>
            </w:r>
          </w:p>
        </w:tc>
        <w:tc>
          <w:tcPr>
            <w:tcW w:w="1108" w:type="dxa"/>
            <w:vAlign w:val="center"/>
          </w:tcPr>
          <w:p>
            <w:pPr>
              <w:pStyle w:val="22"/>
              <w:bidi w:val="0"/>
              <w:rPr>
                <w:rFonts w:hint="default" w:eastAsia="宋体"/>
                <w:color w:val="0000FF"/>
                <w:lang w:val="en-US" w:eastAsia="zh-CN"/>
              </w:rPr>
            </w:pPr>
            <w:r>
              <w:rPr>
                <w:rFonts w:hint="eastAsia"/>
                <w:color w:val="0000FF"/>
                <w:lang w:val="en-US" w:eastAsia="zh-CN"/>
              </w:rPr>
              <w:t>0.05</w:t>
            </w:r>
          </w:p>
        </w:tc>
        <w:tc>
          <w:tcPr>
            <w:tcW w:w="1389" w:type="dxa"/>
            <w:vAlign w:val="center"/>
          </w:tcPr>
          <w:p>
            <w:pPr>
              <w:pStyle w:val="22"/>
              <w:bidi w:val="0"/>
              <w:rPr>
                <w:rFonts w:hint="default" w:eastAsia="宋体"/>
                <w:color w:val="0000FF"/>
                <w:lang w:val="en-US" w:eastAsia="zh-CN"/>
              </w:rPr>
            </w:pPr>
            <w:r>
              <w:rPr>
                <w:rFonts w:hint="eastAsia"/>
                <w:color w:val="0000FF"/>
                <w:lang w:val="en-US" w:eastAsia="zh-CN"/>
              </w:rPr>
              <w:t>0.002</w:t>
            </w:r>
          </w:p>
        </w:tc>
      </w:tr>
    </w:tbl>
    <w:p>
      <w:pPr>
        <w:bidi w:val="0"/>
        <w:rPr>
          <w:color w:val="0000FF"/>
        </w:rPr>
      </w:pPr>
      <w:r>
        <w:rPr>
          <w:color w:val="0000FF"/>
        </w:rPr>
        <w:t>（4）预测结果</w:t>
      </w:r>
    </w:p>
    <w:p>
      <w:pPr>
        <w:bidi w:val="0"/>
        <w:rPr>
          <w:color w:val="0000FF"/>
        </w:rPr>
      </w:pPr>
      <w:r>
        <w:rPr>
          <w:color w:val="0000FF"/>
        </w:rPr>
        <w:t>污水处理站废气影响预测详见下表。</w:t>
      </w:r>
    </w:p>
    <w:p>
      <w:pPr>
        <w:pStyle w:val="22"/>
        <w:bidi w:val="0"/>
        <w:rPr>
          <w:b/>
          <w:bCs/>
          <w:color w:val="0000FF"/>
        </w:rPr>
      </w:pPr>
      <w:r>
        <w:rPr>
          <w:b/>
          <w:bCs/>
          <w:color w:val="0000FF"/>
        </w:rPr>
        <w:t>表</w:t>
      </w:r>
      <w:r>
        <w:rPr>
          <w:rFonts w:hint="eastAsia"/>
          <w:b/>
          <w:bCs/>
          <w:color w:val="0000FF"/>
          <w:lang w:val="en-US" w:eastAsia="zh-CN"/>
        </w:rPr>
        <w:t>5</w:t>
      </w:r>
      <w:r>
        <w:rPr>
          <w:b/>
          <w:bCs/>
          <w:color w:val="0000FF"/>
        </w:rPr>
        <w:t>.2-</w:t>
      </w:r>
      <w:r>
        <w:rPr>
          <w:rFonts w:hint="eastAsia"/>
          <w:b/>
          <w:bCs/>
          <w:color w:val="0000FF"/>
          <w:lang w:val="en-US" w:eastAsia="zh-CN"/>
        </w:rPr>
        <w:t>8</w:t>
      </w:r>
      <w:r>
        <w:rPr>
          <w:b/>
          <w:bCs/>
          <w:color w:val="0000FF"/>
        </w:rPr>
        <w:t>项目区污水处理站废气估算模式计算结果表</w:t>
      </w:r>
    </w:p>
    <w:tbl>
      <w:tblPr>
        <w:tblStyle w:val="23"/>
        <w:tblW w:w="83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1"/>
        <w:gridCol w:w="1621"/>
        <w:gridCol w:w="1709"/>
        <w:gridCol w:w="1501"/>
        <w:gridCol w:w="15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2001" w:type="dxa"/>
            <w:vMerge w:val="restart"/>
            <w:tcBorders>
              <w:bottom w:val="nil"/>
              <w:tl2br w:val="single" w:color="000000" w:sz="2" w:space="0"/>
            </w:tcBorders>
            <w:vAlign w:val="center"/>
          </w:tcPr>
          <w:p>
            <w:pPr>
              <w:pStyle w:val="22"/>
              <w:bidi w:val="0"/>
              <w:jc w:val="center"/>
              <w:rPr>
                <w:color w:val="0000FF"/>
              </w:rPr>
            </w:pPr>
            <w:r>
              <w:rPr>
                <w:color w:val="0000FF"/>
              </w:rPr>
              <w:t>污染物</w:t>
            </w:r>
          </w:p>
          <w:p>
            <w:pPr>
              <w:pStyle w:val="22"/>
              <w:bidi w:val="0"/>
              <w:ind w:firstLine="210" w:firstLineChars="100"/>
              <w:jc w:val="both"/>
              <w:rPr>
                <w:color w:val="0000FF"/>
              </w:rPr>
            </w:pPr>
            <w:r>
              <w:rPr>
                <w:color w:val="0000FF"/>
              </w:rPr>
              <w:t>距离(米)</w:t>
            </w:r>
          </w:p>
        </w:tc>
        <w:tc>
          <w:tcPr>
            <w:tcW w:w="3330" w:type="dxa"/>
            <w:gridSpan w:val="2"/>
            <w:vAlign w:val="center"/>
          </w:tcPr>
          <w:p>
            <w:pPr>
              <w:pStyle w:val="22"/>
              <w:bidi w:val="0"/>
              <w:jc w:val="center"/>
              <w:rPr>
                <w:color w:val="0000FF"/>
              </w:rPr>
            </w:pPr>
            <w:r>
              <w:rPr>
                <w:color w:val="0000FF"/>
              </w:rPr>
              <w:t>NH</w:t>
            </w:r>
            <w:r>
              <w:rPr>
                <w:color w:val="0000FF"/>
                <w:vertAlign w:val="subscript"/>
              </w:rPr>
              <w:t>3</w:t>
            </w:r>
          </w:p>
        </w:tc>
        <w:tc>
          <w:tcPr>
            <w:tcW w:w="3008" w:type="dxa"/>
            <w:gridSpan w:val="2"/>
            <w:vAlign w:val="center"/>
          </w:tcPr>
          <w:p>
            <w:pPr>
              <w:pStyle w:val="22"/>
              <w:bidi w:val="0"/>
              <w:jc w:val="center"/>
              <w:rPr>
                <w:color w:val="0000FF"/>
              </w:rPr>
            </w:pPr>
            <w:r>
              <w:rPr>
                <w:color w:val="0000FF"/>
              </w:rPr>
              <w:t>H</w:t>
            </w:r>
            <w:r>
              <w:rPr>
                <w:color w:val="0000FF"/>
                <w:vertAlign w:val="subscript"/>
              </w:rPr>
              <w:t>2</w:t>
            </w:r>
            <w:r>
              <w:rPr>
                <w:color w:val="0000FF"/>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jc w:val="center"/>
        </w:trPr>
        <w:tc>
          <w:tcPr>
            <w:tcW w:w="2001" w:type="dxa"/>
            <w:vMerge w:val="continue"/>
            <w:tcBorders>
              <w:top w:val="nil"/>
              <w:tl2br w:val="single" w:color="000000" w:sz="2" w:space="0"/>
            </w:tcBorders>
            <w:vAlign w:val="center"/>
          </w:tcPr>
          <w:p>
            <w:pPr>
              <w:pStyle w:val="22"/>
              <w:bidi w:val="0"/>
              <w:jc w:val="center"/>
              <w:rPr>
                <w:color w:val="0000FF"/>
              </w:rPr>
            </w:pPr>
          </w:p>
        </w:tc>
        <w:tc>
          <w:tcPr>
            <w:tcW w:w="1621" w:type="dxa"/>
            <w:vAlign w:val="center"/>
          </w:tcPr>
          <w:p>
            <w:pPr>
              <w:pStyle w:val="22"/>
              <w:bidi w:val="0"/>
              <w:jc w:val="center"/>
              <w:rPr>
                <w:color w:val="0000FF"/>
              </w:rPr>
            </w:pPr>
            <w:r>
              <w:rPr>
                <w:color w:val="0000FF"/>
              </w:rPr>
              <w:t>浓度Ci(ug/m</w:t>
            </w:r>
            <w:r>
              <w:rPr>
                <w:color w:val="0000FF"/>
                <w:vertAlign w:val="superscript"/>
              </w:rPr>
              <w:t>3</w:t>
            </w:r>
            <w:r>
              <w:rPr>
                <w:color w:val="0000FF"/>
              </w:rPr>
              <w:t>)</w:t>
            </w:r>
          </w:p>
        </w:tc>
        <w:tc>
          <w:tcPr>
            <w:tcW w:w="1709" w:type="dxa"/>
            <w:vAlign w:val="center"/>
          </w:tcPr>
          <w:p>
            <w:pPr>
              <w:pStyle w:val="22"/>
              <w:bidi w:val="0"/>
              <w:jc w:val="center"/>
              <w:rPr>
                <w:color w:val="0000FF"/>
              </w:rPr>
            </w:pPr>
            <w:r>
              <w:rPr>
                <w:color w:val="0000FF"/>
              </w:rPr>
              <w:t>占标率Pi(%)</w:t>
            </w:r>
          </w:p>
        </w:tc>
        <w:tc>
          <w:tcPr>
            <w:tcW w:w="1501" w:type="dxa"/>
            <w:vAlign w:val="center"/>
          </w:tcPr>
          <w:p>
            <w:pPr>
              <w:pStyle w:val="22"/>
              <w:bidi w:val="0"/>
              <w:jc w:val="center"/>
              <w:rPr>
                <w:color w:val="0000FF"/>
              </w:rPr>
            </w:pPr>
            <w:r>
              <w:rPr>
                <w:color w:val="0000FF"/>
              </w:rPr>
              <w:t>浓度Ci(ug/m</w:t>
            </w:r>
            <w:r>
              <w:rPr>
                <w:color w:val="0000FF"/>
                <w:vertAlign w:val="superscript"/>
              </w:rPr>
              <w:t>3</w:t>
            </w:r>
            <w:r>
              <w:rPr>
                <w:color w:val="0000FF"/>
              </w:rPr>
              <w:t>)</w:t>
            </w:r>
          </w:p>
        </w:tc>
        <w:tc>
          <w:tcPr>
            <w:tcW w:w="1507" w:type="dxa"/>
            <w:vAlign w:val="center"/>
          </w:tcPr>
          <w:p>
            <w:pPr>
              <w:pStyle w:val="22"/>
              <w:bidi w:val="0"/>
              <w:jc w:val="center"/>
              <w:rPr>
                <w:color w:val="0000FF"/>
              </w:rPr>
            </w:pPr>
            <w:r>
              <w:rPr>
                <w:color w:val="0000FF"/>
              </w:rPr>
              <w:t>占标率Pi(%)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001" w:type="dxa"/>
            <w:vAlign w:val="center"/>
          </w:tcPr>
          <w:p>
            <w:pPr>
              <w:pStyle w:val="22"/>
              <w:bidi w:val="0"/>
              <w:jc w:val="center"/>
              <w:rPr>
                <w:color w:val="0000FF"/>
              </w:rPr>
            </w:pPr>
            <w:r>
              <w:rPr>
                <w:color w:val="0000FF"/>
              </w:rPr>
              <w:t>10</w:t>
            </w:r>
          </w:p>
        </w:tc>
        <w:tc>
          <w:tcPr>
            <w:tcW w:w="1621" w:type="dxa"/>
            <w:vAlign w:val="center"/>
          </w:tcPr>
          <w:p>
            <w:pPr>
              <w:pStyle w:val="22"/>
              <w:bidi w:val="0"/>
              <w:jc w:val="center"/>
              <w:rPr>
                <w:color w:val="0000FF"/>
              </w:rPr>
            </w:pPr>
            <w:r>
              <w:rPr>
                <w:rFonts w:hint="eastAsia"/>
                <w:color w:val="0000FF"/>
              </w:rPr>
              <w:t>0.37507</w:t>
            </w:r>
          </w:p>
        </w:tc>
        <w:tc>
          <w:tcPr>
            <w:tcW w:w="1709" w:type="dxa"/>
            <w:vAlign w:val="center"/>
          </w:tcPr>
          <w:p>
            <w:pPr>
              <w:pStyle w:val="22"/>
              <w:bidi w:val="0"/>
              <w:jc w:val="center"/>
              <w:rPr>
                <w:color w:val="0000FF"/>
              </w:rPr>
            </w:pPr>
            <w:r>
              <w:rPr>
                <w:rFonts w:hint="eastAsia"/>
                <w:color w:val="0000FF"/>
              </w:rPr>
              <w:t>0.19</w:t>
            </w:r>
          </w:p>
        </w:tc>
        <w:tc>
          <w:tcPr>
            <w:tcW w:w="1501" w:type="dxa"/>
            <w:vAlign w:val="center"/>
          </w:tcPr>
          <w:p>
            <w:pPr>
              <w:pStyle w:val="22"/>
              <w:bidi w:val="0"/>
              <w:jc w:val="center"/>
              <w:rPr>
                <w:color w:val="0000FF"/>
              </w:rPr>
            </w:pPr>
            <w:r>
              <w:rPr>
                <w:rFonts w:hint="eastAsia"/>
                <w:color w:val="0000FF"/>
              </w:rPr>
              <w:t>0.014997</w:t>
            </w:r>
          </w:p>
        </w:tc>
        <w:tc>
          <w:tcPr>
            <w:tcW w:w="1507" w:type="dxa"/>
            <w:vAlign w:val="center"/>
          </w:tcPr>
          <w:p>
            <w:pPr>
              <w:pStyle w:val="22"/>
              <w:bidi w:val="0"/>
              <w:jc w:val="center"/>
              <w:rPr>
                <w:color w:val="0000FF"/>
              </w:rPr>
            </w:pPr>
            <w:r>
              <w:rPr>
                <w:rFonts w:hint="eastAsia"/>
                <w:color w:val="0000FF"/>
              </w:rPr>
              <w:t>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1" w:type="dxa"/>
            <w:vAlign w:val="center"/>
          </w:tcPr>
          <w:p>
            <w:pPr>
              <w:pStyle w:val="22"/>
              <w:bidi w:val="0"/>
              <w:jc w:val="center"/>
              <w:rPr>
                <w:color w:val="0000FF"/>
              </w:rPr>
            </w:pPr>
            <w:r>
              <w:rPr>
                <w:color w:val="0000FF"/>
              </w:rPr>
              <w:t>25</w:t>
            </w:r>
          </w:p>
        </w:tc>
        <w:tc>
          <w:tcPr>
            <w:tcW w:w="1621" w:type="dxa"/>
            <w:vAlign w:val="center"/>
          </w:tcPr>
          <w:p>
            <w:pPr>
              <w:pStyle w:val="22"/>
              <w:bidi w:val="0"/>
              <w:jc w:val="center"/>
              <w:rPr>
                <w:color w:val="0000FF"/>
              </w:rPr>
            </w:pPr>
            <w:r>
              <w:rPr>
                <w:rFonts w:hint="eastAsia"/>
                <w:color w:val="0000FF"/>
              </w:rPr>
              <w:t>0.21181</w:t>
            </w:r>
          </w:p>
        </w:tc>
        <w:tc>
          <w:tcPr>
            <w:tcW w:w="1709" w:type="dxa"/>
            <w:vAlign w:val="center"/>
          </w:tcPr>
          <w:p>
            <w:pPr>
              <w:pStyle w:val="22"/>
              <w:bidi w:val="0"/>
              <w:jc w:val="center"/>
              <w:rPr>
                <w:rFonts w:hint="eastAsia" w:eastAsia="宋体"/>
                <w:color w:val="0000FF"/>
                <w:lang w:val="en-US" w:eastAsia="zh-CN"/>
              </w:rPr>
            </w:pPr>
            <w:r>
              <w:rPr>
                <w:rFonts w:hint="eastAsia"/>
                <w:color w:val="0000FF"/>
              </w:rPr>
              <w:t>0.1</w:t>
            </w:r>
            <w:r>
              <w:rPr>
                <w:rFonts w:hint="eastAsia"/>
                <w:color w:val="0000FF"/>
                <w:lang w:val="en-US" w:eastAsia="zh-CN"/>
              </w:rPr>
              <w:t>1</w:t>
            </w:r>
          </w:p>
        </w:tc>
        <w:tc>
          <w:tcPr>
            <w:tcW w:w="1501" w:type="dxa"/>
            <w:vAlign w:val="center"/>
          </w:tcPr>
          <w:p>
            <w:pPr>
              <w:pStyle w:val="22"/>
              <w:bidi w:val="0"/>
              <w:jc w:val="center"/>
              <w:rPr>
                <w:color w:val="0000FF"/>
              </w:rPr>
            </w:pPr>
            <w:r>
              <w:rPr>
                <w:rFonts w:hint="eastAsia"/>
                <w:color w:val="0000FF"/>
              </w:rPr>
              <w:t>0.008469</w:t>
            </w:r>
          </w:p>
        </w:tc>
        <w:tc>
          <w:tcPr>
            <w:tcW w:w="1507" w:type="dxa"/>
            <w:vAlign w:val="center"/>
          </w:tcPr>
          <w:p>
            <w:pPr>
              <w:pStyle w:val="22"/>
              <w:bidi w:val="0"/>
              <w:jc w:val="center"/>
              <w:rPr>
                <w:color w:val="0000FF"/>
              </w:rPr>
            </w:pPr>
            <w:r>
              <w:rPr>
                <w:rFonts w:hint="eastAsia"/>
                <w:color w:val="0000FF"/>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1" w:type="dxa"/>
            <w:vAlign w:val="center"/>
          </w:tcPr>
          <w:p>
            <w:pPr>
              <w:pStyle w:val="22"/>
              <w:bidi w:val="0"/>
              <w:jc w:val="center"/>
              <w:rPr>
                <w:color w:val="0000FF"/>
              </w:rPr>
            </w:pPr>
            <w:r>
              <w:rPr>
                <w:color w:val="0000FF"/>
              </w:rPr>
              <w:t>50</w:t>
            </w:r>
          </w:p>
        </w:tc>
        <w:tc>
          <w:tcPr>
            <w:tcW w:w="1621" w:type="dxa"/>
            <w:vAlign w:val="center"/>
          </w:tcPr>
          <w:p>
            <w:pPr>
              <w:pStyle w:val="22"/>
              <w:bidi w:val="0"/>
              <w:jc w:val="center"/>
              <w:rPr>
                <w:color w:val="0000FF"/>
              </w:rPr>
            </w:pPr>
            <w:r>
              <w:rPr>
                <w:rFonts w:hint="eastAsia"/>
                <w:color w:val="0000FF"/>
              </w:rPr>
              <w:t>0.11114</w:t>
            </w:r>
          </w:p>
        </w:tc>
        <w:tc>
          <w:tcPr>
            <w:tcW w:w="1709" w:type="dxa"/>
            <w:vAlign w:val="center"/>
          </w:tcPr>
          <w:p>
            <w:pPr>
              <w:pStyle w:val="22"/>
              <w:bidi w:val="0"/>
              <w:jc w:val="center"/>
              <w:rPr>
                <w:color w:val="0000FF"/>
              </w:rPr>
            </w:pPr>
            <w:r>
              <w:rPr>
                <w:rFonts w:hint="eastAsia"/>
                <w:color w:val="0000FF"/>
              </w:rPr>
              <w:t>0.06</w:t>
            </w:r>
          </w:p>
        </w:tc>
        <w:tc>
          <w:tcPr>
            <w:tcW w:w="1501" w:type="dxa"/>
            <w:vAlign w:val="center"/>
          </w:tcPr>
          <w:p>
            <w:pPr>
              <w:pStyle w:val="22"/>
              <w:bidi w:val="0"/>
              <w:jc w:val="center"/>
              <w:rPr>
                <w:color w:val="0000FF"/>
              </w:rPr>
            </w:pPr>
            <w:r>
              <w:rPr>
                <w:rFonts w:hint="eastAsia"/>
                <w:color w:val="0000FF"/>
              </w:rPr>
              <w:t>0.004444</w:t>
            </w:r>
          </w:p>
        </w:tc>
        <w:tc>
          <w:tcPr>
            <w:tcW w:w="1507" w:type="dxa"/>
            <w:vAlign w:val="center"/>
          </w:tcPr>
          <w:p>
            <w:pPr>
              <w:pStyle w:val="22"/>
              <w:bidi w:val="0"/>
              <w:jc w:val="center"/>
              <w:rPr>
                <w:color w:val="0000FF"/>
              </w:rPr>
            </w:pPr>
            <w:r>
              <w:rPr>
                <w:rFonts w:hint="eastAsia"/>
                <w:color w:val="0000FF"/>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1" w:type="dxa"/>
            <w:vAlign w:val="center"/>
          </w:tcPr>
          <w:p>
            <w:pPr>
              <w:pStyle w:val="22"/>
              <w:bidi w:val="0"/>
              <w:jc w:val="center"/>
              <w:rPr>
                <w:rFonts w:hint="default" w:eastAsia="宋体"/>
                <w:color w:val="0000FF"/>
                <w:lang w:val="en-US" w:eastAsia="zh-CN"/>
              </w:rPr>
            </w:pPr>
            <w:r>
              <w:rPr>
                <w:rFonts w:hint="eastAsia"/>
                <w:color w:val="0000FF"/>
                <w:lang w:val="en-US" w:eastAsia="zh-CN"/>
              </w:rPr>
              <w:t>100</w:t>
            </w:r>
          </w:p>
        </w:tc>
        <w:tc>
          <w:tcPr>
            <w:tcW w:w="1621" w:type="dxa"/>
            <w:vAlign w:val="center"/>
          </w:tcPr>
          <w:p>
            <w:pPr>
              <w:pStyle w:val="22"/>
              <w:bidi w:val="0"/>
              <w:jc w:val="center"/>
              <w:rPr>
                <w:rFonts w:hint="eastAsia"/>
                <w:color w:val="0000FF"/>
              </w:rPr>
            </w:pPr>
            <w:r>
              <w:rPr>
                <w:rFonts w:hint="eastAsia"/>
                <w:color w:val="0000FF"/>
              </w:rPr>
              <w:t>0.049543</w:t>
            </w:r>
          </w:p>
        </w:tc>
        <w:tc>
          <w:tcPr>
            <w:tcW w:w="1709" w:type="dxa"/>
            <w:vAlign w:val="center"/>
          </w:tcPr>
          <w:p>
            <w:pPr>
              <w:pStyle w:val="22"/>
              <w:bidi w:val="0"/>
              <w:jc w:val="center"/>
              <w:rPr>
                <w:color w:val="0000FF"/>
              </w:rPr>
            </w:pPr>
            <w:r>
              <w:rPr>
                <w:rFonts w:hint="eastAsia"/>
                <w:color w:val="0000FF"/>
              </w:rPr>
              <w:t>0.02</w:t>
            </w:r>
          </w:p>
        </w:tc>
        <w:tc>
          <w:tcPr>
            <w:tcW w:w="1501" w:type="dxa"/>
            <w:vAlign w:val="center"/>
          </w:tcPr>
          <w:p>
            <w:pPr>
              <w:pStyle w:val="22"/>
              <w:bidi w:val="0"/>
              <w:jc w:val="center"/>
              <w:rPr>
                <w:color w:val="0000FF"/>
              </w:rPr>
            </w:pPr>
            <w:r>
              <w:rPr>
                <w:rFonts w:hint="eastAsia"/>
                <w:color w:val="0000FF"/>
              </w:rPr>
              <w:t>0.001981</w:t>
            </w:r>
          </w:p>
        </w:tc>
        <w:tc>
          <w:tcPr>
            <w:tcW w:w="1507" w:type="dxa"/>
            <w:vAlign w:val="center"/>
          </w:tcPr>
          <w:p>
            <w:pPr>
              <w:pStyle w:val="22"/>
              <w:bidi w:val="0"/>
              <w:jc w:val="center"/>
              <w:rPr>
                <w:color w:val="0000FF"/>
              </w:rPr>
            </w:pPr>
            <w:r>
              <w:rPr>
                <w:rFonts w:hint="eastAsia"/>
                <w:color w:val="0000FF"/>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2001" w:type="dxa"/>
            <w:vAlign w:val="center"/>
          </w:tcPr>
          <w:p>
            <w:pPr>
              <w:pStyle w:val="22"/>
              <w:bidi w:val="0"/>
              <w:jc w:val="center"/>
              <w:rPr>
                <w:color w:val="0000FF"/>
              </w:rPr>
            </w:pPr>
            <w:r>
              <w:rPr>
                <w:color w:val="0000FF"/>
              </w:rPr>
              <w:t>200</w:t>
            </w:r>
          </w:p>
        </w:tc>
        <w:tc>
          <w:tcPr>
            <w:tcW w:w="1621" w:type="dxa"/>
            <w:vAlign w:val="center"/>
          </w:tcPr>
          <w:p>
            <w:pPr>
              <w:pStyle w:val="22"/>
              <w:bidi w:val="0"/>
              <w:jc w:val="center"/>
              <w:rPr>
                <w:color w:val="0000FF"/>
              </w:rPr>
            </w:pPr>
            <w:r>
              <w:rPr>
                <w:rFonts w:hint="eastAsia"/>
                <w:color w:val="0000FF"/>
              </w:rPr>
              <w:t>0.020379</w:t>
            </w:r>
          </w:p>
        </w:tc>
        <w:tc>
          <w:tcPr>
            <w:tcW w:w="1709" w:type="dxa"/>
            <w:vAlign w:val="center"/>
          </w:tcPr>
          <w:p>
            <w:pPr>
              <w:pStyle w:val="22"/>
              <w:bidi w:val="0"/>
              <w:jc w:val="center"/>
              <w:rPr>
                <w:color w:val="0000FF"/>
              </w:rPr>
            </w:pPr>
            <w:r>
              <w:rPr>
                <w:rFonts w:hint="eastAsia"/>
                <w:color w:val="0000FF"/>
              </w:rPr>
              <w:t>0.01</w:t>
            </w:r>
          </w:p>
        </w:tc>
        <w:tc>
          <w:tcPr>
            <w:tcW w:w="1501" w:type="dxa"/>
            <w:vAlign w:val="center"/>
          </w:tcPr>
          <w:p>
            <w:pPr>
              <w:pStyle w:val="22"/>
              <w:bidi w:val="0"/>
              <w:jc w:val="center"/>
              <w:rPr>
                <w:color w:val="0000FF"/>
              </w:rPr>
            </w:pPr>
            <w:r>
              <w:rPr>
                <w:rFonts w:hint="eastAsia"/>
                <w:color w:val="0000FF"/>
              </w:rPr>
              <w:t>0.000815</w:t>
            </w:r>
          </w:p>
        </w:tc>
        <w:tc>
          <w:tcPr>
            <w:tcW w:w="1507" w:type="dxa"/>
            <w:vAlign w:val="center"/>
          </w:tcPr>
          <w:p>
            <w:pPr>
              <w:pStyle w:val="22"/>
              <w:bidi w:val="0"/>
              <w:jc w:val="center"/>
              <w:rPr>
                <w:color w:val="0000FF"/>
              </w:rPr>
            </w:pPr>
            <w:r>
              <w:rPr>
                <w:rFonts w:hint="eastAsia"/>
                <w:color w:val="0000FF"/>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2001" w:type="dxa"/>
            <w:vAlign w:val="center"/>
          </w:tcPr>
          <w:p>
            <w:pPr>
              <w:pStyle w:val="22"/>
              <w:bidi w:val="0"/>
              <w:jc w:val="center"/>
              <w:rPr>
                <w:color w:val="0000FF"/>
              </w:rPr>
            </w:pPr>
            <w:r>
              <w:rPr>
                <w:color w:val="0000FF"/>
              </w:rPr>
              <w:t>300</w:t>
            </w:r>
          </w:p>
        </w:tc>
        <w:tc>
          <w:tcPr>
            <w:tcW w:w="1621" w:type="dxa"/>
            <w:vAlign w:val="center"/>
          </w:tcPr>
          <w:p>
            <w:pPr>
              <w:pStyle w:val="22"/>
              <w:bidi w:val="0"/>
              <w:jc w:val="center"/>
              <w:rPr>
                <w:color w:val="0000FF"/>
              </w:rPr>
            </w:pPr>
            <w:r>
              <w:rPr>
                <w:rFonts w:hint="eastAsia"/>
                <w:color w:val="0000FF"/>
              </w:rPr>
              <w:t>0.01192</w:t>
            </w:r>
          </w:p>
        </w:tc>
        <w:tc>
          <w:tcPr>
            <w:tcW w:w="1709" w:type="dxa"/>
            <w:vAlign w:val="center"/>
          </w:tcPr>
          <w:p>
            <w:pPr>
              <w:pStyle w:val="22"/>
              <w:bidi w:val="0"/>
              <w:jc w:val="center"/>
              <w:rPr>
                <w:color w:val="0000FF"/>
              </w:rPr>
            </w:pPr>
            <w:r>
              <w:rPr>
                <w:rFonts w:hint="eastAsia"/>
                <w:color w:val="0000FF"/>
              </w:rPr>
              <w:t>0.01</w:t>
            </w:r>
          </w:p>
        </w:tc>
        <w:tc>
          <w:tcPr>
            <w:tcW w:w="1501" w:type="dxa"/>
            <w:vAlign w:val="center"/>
          </w:tcPr>
          <w:p>
            <w:pPr>
              <w:pStyle w:val="22"/>
              <w:bidi w:val="0"/>
              <w:jc w:val="center"/>
              <w:rPr>
                <w:color w:val="0000FF"/>
              </w:rPr>
            </w:pPr>
            <w:r>
              <w:rPr>
                <w:rFonts w:hint="eastAsia"/>
                <w:color w:val="0000FF"/>
              </w:rPr>
              <w:t>0.000477</w:t>
            </w:r>
          </w:p>
        </w:tc>
        <w:tc>
          <w:tcPr>
            <w:tcW w:w="1507" w:type="dxa"/>
            <w:vAlign w:val="center"/>
          </w:tcPr>
          <w:p>
            <w:pPr>
              <w:pStyle w:val="22"/>
              <w:bidi w:val="0"/>
              <w:jc w:val="center"/>
              <w:rPr>
                <w:color w:val="0000FF"/>
              </w:rPr>
            </w:pPr>
            <w:r>
              <w:rPr>
                <w:rFonts w:hint="eastAsia"/>
                <w:color w:val="0000FF"/>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001" w:type="dxa"/>
            <w:vAlign w:val="center"/>
          </w:tcPr>
          <w:p>
            <w:pPr>
              <w:pStyle w:val="22"/>
              <w:bidi w:val="0"/>
              <w:jc w:val="center"/>
              <w:rPr>
                <w:color w:val="0000FF"/>
              </w:rPr>
            </w:pPr>
            <w:r>
              <w:rPr>
                <w:color w:val="0000FF"/>
              </w:rPr>
              <w:t>400</w:t>
            </w:r>
          </w:p>
        </w:tc>
        <w:tc>
          <w:tcPr>
            <w:tcW w:w="1621" w:type="dxa"/>
            <w:vAlign w:val="center"/>
          </w:tcPr>
          <w:p>
            <w:pPr>
              <w:pStyle w:val="22"/>
              <w:bidi w:val="0"/>
              <w:jc w:val="center"/>
              <w:rPr>
                <w:color w:val="0000FF"/>
              </w:rPr>
            </w:pPr>
            <w:r>
              <w:rPr>
                <w:rFonts w:hint="eastAsia"/>
                <w:color w:val="0000FF"/>
              </w:rPr>
              <w:t>0.008115</w:t>
            </w:r>
          </w:p>
        </w:tc>
        <w:tc>
          <w:tcPr>
            <w:tcW w:w="1709" w:type="dxa"/>
            <w:vAlign w:val="center"/>
          </w:tcPr>
          <w:p>
            <w:pPr>
              <w:pStyle w:val="22"/>
              <w:bidi w:val="0"/>
              <w:jc w:val="center"/>
              <w:rPr>
                <w:rFonts w:hint="eastAsia" w:eastAsia="宋体"/>
                <w:color w:val="0000FF"/>
                <w:lang w:eastAsia="zh-CN"/>
              </w:rPr>
            </w:pPr>
            <w:r>
              <w:rPr>
                <w:rFonts w:hint="eastAsia"/>
                <w:color w:val="0000FF"/>
                <w:lang w:val="en-US" w:eastAsia="zh-CN"/>
              </w:rPr>
              <w:t>0</w:t>
            </w:r>
          </w:p>
        </w:tc>
        <w:tc>
          <w:tcPr>
            <w:tcW w:w="1501" w:type="dxa"/>
            <w:vAlign w:val="center"/>
          </w:tcPr>
          <w:p>
            <w:pPr>
              <w:pStyle w:val="22"/>
              <w:bidi w:val="0"/>
              <w:jc w:val="center"/>
              <w:rPr>
                <w:color w:val="0000FF"/>
              </w:rPr>
            </w:pPr>
            <w:r>
              <w:rPr>
                <w:rFonts w:hint="eastAsia"/>
                <w:color w:val="0000FF"/>
              </w:rPr>
              <w:t>0.000324</w:t>
            </w:r>
          </w:p>
        </w:tc>
        <w:tc>
          <w:tcPr>
            <w:tcW w:w="1507" w:type="dxa"/>
            <w:vAlign w:val="center"/>
          </w:tcPr>
          <w:p>
            <w:pPr>
              <w:pStyle w:val="22"/>
              <w:bidi w:val="0"/>
              <w:jc w:val="center"/>
              <w:rPr>
                <w:rFonts w:hint="eastAsia" w:eastAsia="宋体"/>
                <w:color w:val="0000FF"/>
                <w:lang w:eastAsia="zh-CN"/>
              </w:rPr>
            </w:pPr>
            <w:r>
              <w:rPr>
                <w:rFonts w:hint="eastAsia"/>
                <w:color w:val="0000FF"/>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001" w:type="dxa"/>
            <w:vAlign w:val="center"/>
          </w:tcPr>
          <w:p>
            <w:pPr>
              <w:pStyle w:val="22"/>
              <w:bidi w:val="0"/>
              <w:jc w:val="center"/>
              <w:rPr>
                <w:color w:val="0000FF"/>
              </w:rPr>
            </w:pPr>
            <w:r>
              <w:rPr>
                <w:color w:val="0000FF"/>
              </w:rPr>
              <w:t>500</w:t>
            </w:r>
          </w:p>
        </w:tc>
        <w:tc>
          <w:tcPr>
            <w:tcW w:w="1621" w:type="dxa"/>
            <w:vAlign w:val="center"/>
          </w:tcPr>
          <w:p>
            <w:pPr>
              <w:pStyle w:val="22"/>
              <w:bidi w:val="0"/>
              <w:jc w:val="center"/>
              <w:rPr>
                <w:color w:val="0000FF"/>
              </w:rPr>
            </w:pPr>
            <w:r>
              <w:rPr>
                <w:rFonts w:hint="eastAsia"/>
                <w:color w:val="0000FF"/>
              </w:rPr>
              <w:t>0.006013</w:t>
            </w:r>
          </w:p>
        </w:tc>
        <w:tc>
          <w:tcPr>
            <w:tcW w:w="1709" w:type="dxa"/>
            <w:vAlign w:val="center"/>
          </w:tcPr>
          <w:p>
            <w:pPr>
              <w:pStyle w:val="22"/>
              <w:bidi w:val="0"/>
              <w:jc w:val="center"/>
              <w:rPr>
                <w:rFonts w:hint="eastAsia" w:eastAsia="宋体"/>
                <w:color w:val="0000FF"/>
                <w:lang w:eastAsia="zh-CN"/>
              </w:rPr>
            </w:pPr>
            <w:r>
              <w:rPr>
                <w:rFonts w:hint="eastAsia"/>
                <w:color w:val="0000FF"/>
                <w:lang w:val="en-US" w:eastAsia="zh-CN"/>
              </w:rPr>
              <w:t>0</w:t>
            </w:r>
          </w:p>
        </w:tc>
        <w:tc>
          <w:tcPr>
            <w:tcW w:w="1501" w:type="dxa"/>
            <w:vAlign w:val="center"/>
          </w:tcPr>
          <w:p>
            <w:pPr>
              <w:pStyle w:val="22"/>
              <w:bidi w:val="0"/>
              <w:jc w:val="center"/>
              <w:rPr>
                <w:color w:val="0000FF"/>
              </w:rPr>
            </w:pPr>
            <w:r>
              <w:rPr>
                <w:rFonts w:hint="eastAsia"/>
                <w:color w:val="0000FF"/>
              </w:rPr>
              <w:t>0.00024</w:t>
            </w:r>
          </w:p>
        </w:tc>
        <w:tc>
          <w:tcPr>
            <w:tcW w:w="1507" w:type="dxa"/>
            <w:vAlign w:val="center"/>
          </w:tcPr>
          <w:p>
            <w:pPr>
              <w:pStyle w:val="22"/>
              <w:bidi w:val="0"/>
              <w:jc w:val="center"/>
              <w:rPr>
                <w:rFonts w:hint="eastAsia" w:eastAsia="宋体"/>
                <w:color w:val="0000FF"/>
                <w:lang w:eastAsia="zh-CN"/>
              </w:rPr>
            </w:pPr>
            <w:r>
              <w:rPr>
                <w:rFonts w:hint="eastAsia"/>
                <w:color w:val="0000FF"/>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001" w:type="dxa"/>
            <w:vAlign w:val="center"/>
          </w:tcPr>
          <w:p>
            <w:pPr>
              <w:pStyle w:val="22"/>
              <w:bidi w:val="0"/>
              <w:jc w:val="center"/>
              <w:rPr>
                <w:color w:val="0000FF"/>
              </w:rPr>
            </w:pPr>
            <w:r>
              <w:rPr>
                <w:color w:val="0000FF"/>
              </w:rPr>
              <w:t>800</w:t>
            </w:r>
          </w:p>
        </w:tc>
        <w:tc>
          <w:tcPr>
            <w:tcW w:w="1621" w:type="dxa"/>
            <w:vAlign w:val="center"/>
          </w:tcPr>
          <w:p>
            <w:pPr>
              <w:pStyle w:val="22"/>
              <w:bidi w:val="0"/>
              <w:jc w:val="center"/>
              <w:rPr>
                <w:color w:val="0000FF"/>
              </w:rPr>
            </w:pPr>
            <w:r>
              <w:rPr>
                <w:rFonts w:hint="eastAsia"/>
                <w:color w:val="0000FF"/>
              </w:rPr>
              <w:t>0.003189</w:t>
            </w:r>
          </w:p>
        </w:tc>
        <w:tc>
          <w:tcPr>
            <w:tcW w:w="1709" w:type="dxa"/>
            <w:vAlign w:val="center"/>
          </w:tcPr>
          <w:p>
            <w:pPr>
              <w:pStyle w:val="22"/>
              <w:bidi w:val="0"/>
              <w:jc w:val="center"/>
              <w:rPr>
                <w:rFonts w:hint="eastAsia" w:eastAsia="宋体"/>
                <w:color w:val="0000FF"/>
                <w:lang w:eastAsia="zh-CN"/>
              </w:rPr>
            </w:pPr>
            <w:r>
              <w:rPr>
                <w:rFonts w:hint="eastAsia"/>
                <w:color w:val="0000FF"/>
                <w:lang w:val="en-US" w:eastAsia="zh-CN"/>
              </w:rPr>
              <w:t>0</w:t>
            </w:r>
          </w:p>
        </w:tc>
        <w:tc>
          <w:tcPr>
            <w:tcW w:w="1501" w:type="dxa"/>
            <w:vAlign w:val="center"/>
          </w:tcPr>
          <w:p>
            <w:pPr>
              <w:pStyle w:val="22"/>
              <w:bidi w:val="0"/>
              <w:jc w:val="center"/>
              <w:rPr>
                <w:color w:val="0000FF"/>
              </w:rPr>
            </w:pPr>
            <w:r>
              <w:rPr>
                <w:rFonts w:hint="eastAsia"/>
                <w:color w:val="0000FF"/>
              </w:rPr>
              <w:t>0.000127</w:t>
            </w:r>
          </w:p>
        </w:tc>
        <w:tc>
          <w:tcPr>
            <w:tcW w:w="1507" w:type="dxa"/>
            <w:vAlign w:val="center"/>
          </w:tcPr>
          <w:p>
            <w:pPr>
              <w:pStyle w:val="22"/>
              <w:bidi w:val="0"/>
              <w:jc w:val="center"/>
              <w:rPr>
                <w:rFonts w:hint="eastAsia" w:eastAsia="宋体"/>
                <w:color w:val="0000FF"/>
                <w:lang w:eastAsia="zh-CN"/>
              </w:rPr>
            </w:pPr>
            <w:r>
              <w:rPr>
                <w:rFonts w:hint="eastAsia"/>
                <w:color w:val="0000FF"/>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001" w:type="dxa"/>
            <w:vAlign w:val="center"/>
          </w:tcPr>
          <w:p>
            <w:pPr>
              <w:pStyle w:val="22"/>
              <w:bidi w:val="0"/>
              <w:jc w:val="center"/>
              <w:rPr>
                <w:color w:val="0000FF"/>
              </w:rPr>
            </w:pPr>
            <w:r>
              <w:rPr>
                <w:color w:val="0000FF"/>
              </w:rPr>
              <w:t>1000</w:t>
            </w:r>
          </w:p>
        </w:tc>
        <w:tc>
          <w:tcPr>
            <w:tcW w:w="1621" w:type="dxa"/>
            <w:vAlign w:val="center"/>
          </w:tcPr>
          <w:p>
            <w:pPr>
              <w:pStyle w:val="22"/>
              <w:bidi w:val="0"/>
              <w:jc w:val="center"/>
              <w:rPr>
                <w:color w:val="0000FF"/>
              </w:rPr>
            </w:pPr>
            <w:r>
              <w:rPr>
                <w:rFonts w:hint="eastAsia"/>
                <w:color w:val="0000FF"/>
              </w:rPr>
              <w:t>0.002357</w:t>
            </w:r>
          </w:p>
        </w:tc>
        <w:tc>
          <w:tcPr>
            <w:tcW w:w="1709" w:type="dxa"/>
            <w:vAlign w:val="center"/>
          </w:tcPr>
          <w:p>
            <w:pPr>
              <w:pStyle w:val="22"/>
              <w:bidi w:val="0"/>
              <w:jc w:val="center"/>
              <w:rPr>
                <w:rFonts w:hint="eastAsia" w:eastAsia="宋体"/>
                <w:color w:val="0000FF"/>
                <w:lang w:eastAsia="zh-CN"/>
              </w:rPr>
            </w:pPr>
            <w:r>
              <w:rPr>
                <w:rFonts w:hint="eastAsia"/>
                <w:color w:val="0000FF"/>
                <w:lang w:val="en-US" w:eastAsia="zh-CN"/>
              </w:rPr>
              <w:t>0</w:t>
            </w:r>
          </w:p>
        </w:tc>
        <w:tc>
          <w:tcPr>
            <w:tcW w:w="1501" w:type="dxa"/>
            <w:vAlign w:val="center"/>
          </w:tcPr>
          <w:p>
            <w:pPr>
              <w:pStyle w:val="22"/>
              <w:bidi w:val="0"/>
              <w:jc w:val="center"/>
              <w:rPr>
                <w:color w:val="0000FF"/>
              </w:rPr>
            </w:pPr>
            <w:r>
              <w:rPr>
                <w:rFonts w:hint="eastAsia"/>
                <w:color w:val="0000FF"/>
              </w:rPr>
              <w:t>0.000094</w:t>
            </w:r>
          </w:p>
        </w:tc>
        <w:tc>
          <w:tcPr>
            <w:tcW w:w="1507" w:type="dxa"/>
            <w:vAlign w:val="center"/>
          </w:tcPr>
          <w:p>
            <w:pPr>
              <w:pStyle w:val="22"/>
              <w:bidi w:val="0"/>
              <w:jc w:val="center"/>
              <w:rPr>
                <w:rFonts w:hint="eastAsia" w:eastAsia="宋体"/>
                <w:color w:val="0000FF"/>
                <w:lang w:eastAsia="zh-CN"/>
              </w:rPr>
            </w:pPr>
            <w:r>
              <w:rPr>
                <w:rFonts w:hint="eastAsia"/>
                <w:color w:val="0000FF"/>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001" w:type="dxa"/>
            <w:vAlign w:val="center"/>
          </w:tcPr>
          <w:p>
            <w:pPr>
              <w:pStyle w:val="22"/>
              <w:bidi w:val="0"/>
              <w:jc w:val="center"/>
              <w:rPr>
                <w:color w:val="0000FF"/>
              </w:rPr>
            </w:pPr>
            <w:r>
              <w:rPr>
                <w:color w:val="0000FF"/>
              </w:rPr>
              <w:t>1</w:t>
            </w:r>
            <w:r>
              <w:rPr>
                <w:rFonts w:hint="eastAsia"/>
                <w:color w:val="0000FF"/>
                <w:lang w:val="en-US" w:eastAsia="zh-CN"/>
              </w:rPr>
              <w:t>5</w:t>
            </w:r>
            <w:r>
              <w:rPr>
                <w:color w:val="0000FF"/>
              </w:rPr>
              <w:t>00</w:t>
            </w:r>
          </w:p>
        </w:tc>
        <w:tc>
          <w:tcPr>
            <w:tcW w:w="1621" w:type="dxa"/>
            <w:vAlign w:val="center"/>
          </w:tcPr>
          <w:p>
            <w:pPr>
              <w:pStyle w:val="22"/>
              <w:bidi w:val="0"/>
              <w:jc w:val="center"/>
              <w:rPr>
                <w:color w:val="0000FF"/>
              </w:rPr>
            </w:pPr>
            <w:r>
              <w:rPr>
                <w:rFonts w:hint="eastAsia"/>
                <w:color w:val="0000FF"/>
              </w:rPr>
              <w:t>0.00136</w:t>
            </w:r>
          </w:p>
        </w:tc>
        <w:tc>
          <w:tcPr>
            <w:tcW w:w="1709" w:type="dxa"/>
            <w:vAlign w:val="center"/>
          </w:tcPr>
          <w:p>
            <w:pPr>
              <w:pStyle w:val="22"/>
              <w:bidi w:val="0"/>
              <w:jc w:val="center"/>
              <w:rPr>
                <w:rFonts w:hint="eastAsia" w:eastAsia="宋体"/>
                <w:color w:val="0000FF"/>
                <w:lang w:eastAsia="zh-CN"/>
              </w:rPr>
            </w:pPr>
            <w:r>
              <w:rPr>
                <w:rFonts w:hint="eastAsia"/>
                <w:color w:val="0000FF"/>
                <w:lang w:val="en-US" w:eastAsia="zh-CN"/>
              </w:rPr>
              <w:t>0</w:t>
            </w:r>
          </w:p>
        </w:tc>
        <w:tc>
          <w:tcPr>
            <w:tcW w:w="1501" w:type="dxa"/>
            <w:vAlign w:val="center"/>
          </w:tcPr>
          <w:p>
            <w:pPr>
              <w:pStyle w:val="22"/>
              <w:bidi w:val="0"/>
              <w:jc w:val="center"/>
              <w:rPr>
                <w:color w:val="0000FF"/>
              </w:rPr>
            </w:pPr>
            <w:r>
              <w:rPr>
                <w:rFonts w:hint="eastAsia"/>
                <w:color w:val="0000FF"/>
              </w:rPr>
              <w:t>0.000054</w:t>
            </w:r>
          </w:p>
        </w:tc>
        <w:tc>
          <w:tcPr>
            <w:tcW w:w="1507" w:type="dxa"/>
            <w:vAlign w:val="center"/>
          </w:tcPr>
          <w:p>
            <w:pPr>
              <w:pStyle w:val="22"/>
              <w:bidi w:val="0"/>
              <w:jc w:val="center"/>
              <w:rPr>
                <w:rFonts w:hint="eastAsia" w:eastAsia="宋体"/>
                <w:color w:val="0000FF"/>
                <w:lang w:eastAsia="zh-CN"/>
              </w:rPr>
            </w:pPr>
            <w:r>
              <w:rPr>
                <w:rFonts w:hint="eastAsia"/>
                <w:color w:val="0000FF"/>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001" w:type="dxa"/>
            <w:vAlign w:val="center"/>
          </w:tcPr>
          <w:p>
            <w:pPr>
              <w:pStyle w:val="22"/>
              <w:bidi w:val="0"/>
              <w:jc w:val="center"/>
              <w:rPr>
                <w:color w:val="0000FF"/>
              </w:rPr>
            </w:pPr>
            <w:r>
              <w:rPr>
                <w:color w:val="0000FF"/>
              </w:rPr>
              <w:t>2000</w:t>
            </w:r>
          </w:p>
        </w:tc>
        <w:tc>
          <w:tcPr>
            <w:tcW w:w="1621" w:type="dxa"/>
            <w:vAlign w:val="center"/>
          </w:tcPr>
          <w:p>
            <w:pPr>
              <w:pStyle w:val="22"/>
              <w:bidi w:val="0"/>
              <w:jc w:val="center"/>
              <w:rPr>
                <w:color w:val="0000FF"/>
              </w:rPr>
            </w:pPr>
            <w:r>
              <w:rPr>
                <w:rFonts w:hint="eastAsia"/>
                <w:color w:val="0000FF"/>
              </w:rPr>
              <w:t>0.00092</w:t>
            </w:r>
          </w:p>
        </w:tc>
        <w:tc>
          <w:tcPr>
            <w:tcW w:w="1709" w:type="dxa"/>
            <w:vAlign w:val="center"/>
          </w:tcPr>
          <w:p>
            <w:pPr>
              <w:pStyle w:val="22"/>
              <w:bidi w:val="0"/>
              <w:jc w:val="center"/>
              <w:rPr>
                <w:rFonts w:hint="eastAsia" w:eastAsia="宋体"/>
                <w:color w:val="0000FF"/>
                <w:lang w:eastAsia="zh-CN"/>
              </w:rPr>
            </w:pPr>
            <w:r>
              <w:rPr>
                <w:rFonts w:hint="eastAsia"/>
                <w:color w:val="0000FF"/>
                <w:lang w:val="en-US" w:eastAsia="zh-CN"/>
              </w:rPr>
              <w:t>0</w:t>
            </w:r>
          </w:p>
        </w:tc>
        <w:tc>
          <w:tcPr>
            <w:tcW w:w="1501" w:type="dxa"/>
            <w:vAlign w:val="center"/>
          </w:tcPr>
          <w:p>
            <w:pPr>
              <w:pStyle w:val="22"/>
              <w:bidi w:val="0"/>
              <w:jc w:val="center"/>
              <w:rPr>
                <w:color w:val="0000FF"/>
              </w:rPr>
            </w:pPr>
            <w:r>
              <w:rPr>
                <w:rFonts w:hint="eastAsia"/>
                <w:color w:val="0000FF"/>
              </w:rPr>
              <w:t>0.000037</w:t>
            </w:r>
          </w:p>
        </w:tc>
        <w:tc>
          <w:tcPr>
            <w:tcW w:w="1507" w:type="dxa"/>
            <w:vAlign w:val="center"/>
          </w:tcPr>
          <w:p>
            <w:pPr>
              <w:pStyle w:val="22"/>
              <w:bidi w:val="0"/>
              <w:jc w:val="center"/>
              <w:rPr>
                <w:rFonts w:hint="eastAsia" w:eastAsia="宋体"/>
                <w:color w:val="0000FF"/>
                <w:lang w:eastAsia="zh-CN"/>
              </w:rPr>
            </w:pPr>
            <w:r>
              <w:rPr>
                <w:rFonts w:hint="eastAsia"/>
                <w:color w:val="0000FF"/>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001" w:type="dxa"/>
            <w:vAlign w:val="center"/>
          </w:tcPr>
          <w:p>
            <w:pPr>
              <w:pStyle w:val="22"/>
              <w:bidi w:val="0"/>
              <w:jc w:val="center"/>
              <w:rPr>
                <w:color w:val="0000FF"/>
              </w:rPr>
            </w:pPr>
            <w:r>
              <w:rPr>
                <w:color w:val="0000FF"/>
              </w:rPr>
              <w:t>2500</w:t>
            </w:r>
          </w:p>
        </w:tc>
        <w:tc>
          <w:tcPr>
            <w:tcW w:w="1621" w:type="dxa"/>
            <w:vAlign w:val="center"/>
          </w:tcPr>
          <w:p>
            <w:pPr>
              <w:pStyle w:val="22"/>
              <w:bidi w:val="0"/>
              <w:jc w:val="center"/>
              <w:rPr>
                <w:color w:val="0000FF"/>
              </w:rPr>
            </w:pPr>
            <w:r>
              <w:rPr>
                <w:rFonts w:hint="eastAsia"/>
                <w:color w:val="0000FF"/>
              </w:rPr>
              <w:t>0.000679</w:t>
            </w:r>
          </w:p>
        </w:tc>
        <w:tc>
          <w:tcPr>
            <w:tcW w:w="1709" w:type="dxa"/>
            <w:vAlign w:val="center"/>
          </w:tcPr>
          <w:p>
            <w:pPr>
              <w:pStyle w:val="22"/>
              <w:bidi w:val="0"/>
              <w:jc w:val="center"/>
              <w:rPr>
                <w:rFonts w:hint="eastAsia" w:eastAsia="宋体"/>
                <w:color w:val="0000FF"/>
                <w:lang w:eastAsia="zh-CN"/>
              </w:rPr>
            </w:pPr>
            <w:r>
              <w:rPr>
                <w:rFonts w:hint="eastAsia"/>
                <w:color w:val="0000FF"/>
                <w:lang w:val="en-US" w:eastAsia="zh-CN"/>
              </w:rPr>
              <w:t>0</w:t>
            </w:r>
          </w:p>
        </w:tc>
        <w:tc>
          <w:tcPr>
            <w:tcW w:w="1501" w:type="dxa"/>
            <w:vAlign w:val="center"/>
          </w:tcPr>
          <w:p>
            <w:pPr>
              <w:pStyle w:val="22"/>
              <w:bidi w:val="0"/>
              <w:jc w:val="center"/>
              <w:rPr>
                <w:color w:val="0000FF"/>
              </w:rPr>
            </w:pPr>
            <w:r>
              <w:rPr>
                <w:rFonts w:hint="eastAsia"/>
                <w:color w:val="0000FF"/>
              </w:rPr>
              <w:t>0.000027</w:t>
            </w:r>
          </w:p>
        </w:tc>
        <w:tc>
          <w:tcPr>
            <w:tcW w:w="1507" w:type="dxa"/>
            <w:vAlign w:val="center"/>
          </w:tcPr>
          <w:p>
            <w:pPr>
              <w:pStyle w:val="22"/>
              <w:bidi w:val="0"/>
              <w:jc w:val="center"/>
              <w:rPr>
                <w:rFonts w:hint="eastAsia" w:eastAsia="宋体"/>
                <w:color w:val="0000FF"/>
                <w:lang w:eastAsia="zh-CN"/>
              </w:rPr>
            </w:pPr>
            <w:r>
              <w:rPr>
                <w:rFonts w:hint="eastAsia"/>
                <w:color w:val="0000FF"/>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2001" w:type="dxa"/>
            <w:vAlign w:val="center"/>
          </w:tcPr>
          <w:p>
            <w:pPr>
              <w:pStyle w:val="22"/>
              <w:bidi w:val="0"/>
              <w:jc w:val="center"/>
              <w:rPr>
                <w:color w:val="0000FF"/>
              </w:rPr>
            </w:pPr>
            <w:r>
              <w:rPr>
                <w:color w:val="0000FF"/>
              </w:rPr>
              <w:t>下风向最大质量浓度及占标率/%</w:t>
            </w:r>
          </w:p>
        </w:tc>
        <w:tc>
          <w:tcPr>
            <w:tcW w:w="1621" w:type="dxa"/>
            <w:vAlign w:val="center"/>
          </w:tcPr>
          <w:p>
            <w:pPr>
              <w:pStyle w:val="22"/>
              <w:bidi w:val="0"/>
              <w:ind w:firstLine="0" w:firstLineChars="0"/>
              <w:jc w:val="center"/>
              <w:rPr>
                <w:color w:val="0000FF"/>
              </w:rPr>
            </w:pPr>
            <w:r>
              <w:rPr>
                <w:rFonts w:hint="eastAsia"/>
                <w:color w:val="0000FF"/>
              </w:rPr>
              <w:t>0.37507</w:t>
            </w:r>
          </w:p>
        </w:tc>
        <w:tc>
          <w:tcPr>
            <w:tcW w:w="1709" w:type="dxa"/>
            <w:vAlign w:val="center"/>
          </w:tcPr>
          <w:p>
            <w:pPr>
              <w:pStyle w:val="22"/>
              <w:bidi w:val="0"/>
              <w:ind w:firstLine="0" w:firstLineChars="0"/>
              <w:jc w:val="center"/>
              <w:rPr>
                <w:color w:val="0000FF"/>
              </w:rPr>
            </w:pPr>
            <w:r>
              <w:rPr>
                <w:rFonts w:hint="eastAsia"/>
                <w:color w:val="0000FF"/>
              </w:rPr>
              <w:t>0.19</w:t>
            </w:r>
          </w:p>
        </w:tc>
        <w:tc>
          <w:tcPr>
            <w:tcW w:w="1501" w:type="dxa"/>
            <w:vAlign w:val="center"/>
          </w:tcPr>
          <w:p>
            <w:pPr>
              <w:pStyle w:val="22"/>
              <w:bidi w:val="0"/>
              <w:ind w:firstLine="0" w:firstLineChars="0"/>
              <w:jc w:val="center"/>
              <w:rPr>
                <w:color w:val="0000FF"/>
              </w:rPr>
            </w:pPr>
            <w:r>
              <w:rPr>
                <w:rFonts w:hint="eastAsia"/>
                <w:color w:val="0000FF"/>
              </w:rPr>
              <w:t>0.014997</w:t>
            </w:r>
          </w:p>
        </w:tc>
        <w:tc>
          <w:tcPr>
            <w:tcW w:w="1507" w:type="dxa"/>
            <w:vAlign w:val="center"/>
          </w:tcPr>
          <w:p>
            <w:pPr>
              <w:pStyle w:val="22"/>
              <w:bidi w:val="0"/>
              <w:ind w:firstLine="0" w:firstLineChars="0"/>
              <w:jc w:val="center"/>
              <w:rPr>
                <w:color w:val="0000FF"/>
              </w:rPr>
            </w:pPr>
            <w:r>
              <w:rPr>
                <w:rFonts w:hint="eastAsia"/>
                <w:color w:val="0000FF"/>
              </w:rPr>
              <w:t>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jc w:val="center"/>
        </w:trPr>
        <w:tc>
          <w:tcPr>
            <w:tcW w:w="2001" w:type="dxa"/>
            <w:vAlign w:val="center"/>
          </w:tcPr>
          <w:p>
            <w:pPr>
              <w:pStyle w:val="22"/>
              <w:bidi w:val="0"/>
              <w:jc w:val="center"/>
              <w:rPr>
                <w:color w:val="0000FF"/>
              </w:rPr>
            </w:pPr>
            <w:r>
              <w:rPr>
                <w:color w:val="0000FF"/>
              </w:rPr>
              <w:t>下风向最大落地浓度距离/m</w:t>
            </w:r>
          </w:p>
        </w:tc>
        <w:tc>
          <w:tcPr>
            <w:tcW w:w="3330" w:type="dxa"/>
            <w:gridSpan w:val="2"/>
            <w:vAlign w:val="center"/>
          </w:tcPr>
          <w:p>
            <w:pPr>
              <w:pStyle w:val="22"/>
              <w:bidi w:val="0"/>
              <w:jc w:val="center"/>
              <w:rPr>
                <w:color w:val="0000FF"/>
              </w:rPr>
            </w:pPr>
            <w:r>
              <w:rPr>
                <w:color w:val="0000FF"/>
              </w:rPr>
              <w:t>10</w:t>
            </w:r>
          </w:p>
        </w:tc>
        <w:tc>
          <w:tcPr>
            <w:tcW w:w="3008" w:type="dxa"/>
            <w:gridSpan w:val="2"/>
            <w:vAlign w:val="center"/>
          </w:tcPr>
          <w:p>
            <w:pPr>
              <w:pStyle w:val="22"/>
              <w:bidi w:val="0"/>
              <w:jc w:val="center"/>
              <w:rPr>
                <w:color w:val="0000FF"/>
              </w:rPr>
            </w:pPr>
            <w:r>
              <w:rPr>
                <w:color w:val="0000FF"/>
              </w:rPr>
              <w:t>10</w:t>
            </w:r>
          </w:p>
        </w:tc>
      </w:tr>
    </w:tbl>
    <w:p>
      <w:pPr>
        <w:bidi w:val="0"/>
        <w:rPr>
          <w:color w:val="0000FF"/>
        </w:rPr>
      </w:pPr>
      <w:r>
        <w:rPr>
          <w:color w:val="0000FF"/>
        </w:rPr>
        <w:t>本项目运营期NH</w:t>
      </w:r>
      <w:r>
        <w:rPr>
          <w:color w:val="0000FF"/>
          <w:vertAlign w:val="subscript"/>
        </w:rPr>
        <w:t>3</w:t>
      </w:r>
      <w:r>
        <w:rPr>
          <w:color w:val="0000FF"/>
        </w:rPr>
        <w:t>、H</w:t>
      </w:r>
      <w:r>
        <w:rPr>
          <w:color w:val="0000FF"/>
          <w:vertAlign w:val="subscript"/>
        </w:rPr>
        <w:t>2</w:t>
      </w:r>
      <w:r>
        <w:rPr>
          <w:color w:val="0000FF"/>
        </w:rPr>
        <w:t>S在下风向地面小时最大落地浓度分别为</w:t>
      </w:r>
      <w:r>
        <w:rPr>
          <w:rFonts w:hint="eastAsia"/>
          <w:color w:val="0000FF"/>
        </w:rPr>
        <w:t>0.37507</w:t>
      </w:r>
      <w:r>
        <w:rPr>
          <w:color w:val="0000FF"/>
        </w:rPr>
        <w:t>ug/m</w:t>
      </w:r>
      <w:r>
        <w:rPr>
          <w:color w:val="0000FF"/>
          <w:vertAlign w:val="superscript"/>
        </w:rPr>
        <w:t>3</w:t>
      </w:r>
      <w:r>
        <w:rPr>
          <w:color w:val="0000FF"/>
        </w:rPr>
        <w:t>、</w:t>
      </w:r>
      <w:r>
        <w:rPr>
          <w:rFonts w:hint="eastAsia"/>
          <w:color w:val="0000FF"/>
        </w:rPr>
        <w:t>0.014997</w:t>
      </w:r>
      <w:r>
        <w:rPr>
          <w:color w:val="0000FF"/>
        </w:rPr>
        <w:t>ug/m</w:t>
      </w:r>
      <w:r>
        <w:rPr>
          <w:color w:val="0000FF"/>
          <w:vertAlign w:val="superscript"/>
        </w:rPr>
        <w:t>3</w:t>
      </w:r>
      <w:r>
        <w:rPr>
          <w:color w:val="0000FF"/>
        </w:rPr>
        <w:t>；占标率分别为0.1</w:t>
      </w:r>
      <w:r>
        <w:rPr>
          <w:rFonts w:hint="eastAsia"/>
          <w:color w:val="0000FF"/>
          <w:lang w:val="en-US" w:eastAsia="zh-CN"/>
        </w:rPr>
        <w:t>9</w:t>
      </w:r>
      <w:r>
        <w:rPr>
          <w:color w:val="0000FF"/>
        </w:rPr>
        <w:t>%、0.</w:t>
      </w:r>
      <w:r>
        <w:rPr>
          <w:rFonts w:hint="eastAsia"/>
          <w:color w:val="0000FF"/>
          <w:lang w:val="en-US" w:eastAsia="zh-CN"/>
        </w:rPr>
        <w:t>15</w:t>
      </w:r>
      <w:r>
        <w:rPr>
          <w:color w:val="0000FF"/>
        </w:rPr>
        <w:t>%，出现在厂区下风向10m处；污水处理站废气排放满足《医疗机构水污染物排放标准》（GB18466-2005）中表3中“污水处理站周边大气污染物最高允许浓度”相应标准要求，且根据表2.5-1项目主要环境保护目标一览表中大气环境保护目标，距离项目最近的</w:t>
      </w:r>
      <w:r>
        <w:rPr>
          <w:rFonts w:hint="eastAsia"/>
          <w:color w:val="0000FF"/>
          <w:lang w:val="en-US" w:eastAsia="zh-CN"/>
        </w:rPr>
        <w:t>225团医院</w:t>
      </w:r>
      <w:r>
        <w:rPr>
          <w:color w:val="0000FF"/>
        </w:rPr>
        <w:t>在</w:t>
      </w:r>
      <w:r>
        <w:rPr>
          <w:rFonts w:hint="eastAsia"/>
          <w:color w:val="0000FF"/>
          <w:lang w:val="en-US" w:eastAsia="zh-CN"/>
        </w:rPr>
        <w:t>50</w:t>
      </w:r>
      <w:r>
        <w:rPr>
          <w:color w:val="0000FF"/>
        </w:rPr>
        <w:t>m外，对周边大气环境及敏感点影响较小。计算已考虑了最不利的气象条件，因此建项目对周围大气环境质量影响不大。根据《环境影响评价技术导则</w:t>
      </w:r>
      <w:r>
        <w:rPr>
          <w:rFonts w:hint="eastAsia"/>
          <w:color w:val="0000FF"/>
          <w:lang w:val="en-US" w:eastAsia="zh-CN"/>
        </w:rPr>
        <w:t xml:space="preserve"> </w:t>
      </w:r>
      <w:r>
        <w:rPr>
          <w:color w:val="0000FF"/>
        </w:rPr>
        <w:t>大气环境》（HJ/2.2-2018）的大气评价工作分级依据，本项目大气评价等级应为三级，因此不再进行进一步预测与评价。</w:t>
      </w:r>
    </w:p>
    <w:p>
      <w:pPr>
        <w:pStyle w:val="7"/>
        <w:bidi w:val="0"/>
        <w:rPr>
          <w:color w:val="0000FF"/>
        </w:rPr>
      </w:pPr>
      <w:r>
        <w:rPr>
          <w:rFonts w:hint="eastAsia"/>
          <w:color w:val="0000FF"/>
          <w:lang w:val="en-US" w:eastAsia="zh-CN"/>
        </w:rPr>
        <w:t>5</w:t>
      </w:r>
      <w:r>
        <w:rPr>
          <w:color w:val="0000FF"/>
        </w:rPr>
        <w:t>.2.</w:t>
      </w:r>
      <w:r>
        <w:rPr>
          <w:rFonts w:hint="eastAsia"/>
          <w:color w:val="0000FF"/>
          <w:lang w:val="en-US" w:eastAsia="zh-CN"/>
        </w:rPr>
        <w:t>1</w:t>
      </w:r>
      <w:r>
        <w:rPr>
          <w:color w:val="0000FF"/>
        </w:rPr>
        <w:t>.</w:t>
      </w:r>
      <w:r>
        <w:rPr>
          <w:rFonts w:hint="eastAsia"/>
          <w:color w:val="0000FF"/>
          <w:lang w:val="en-US" w:eastAsia="zh-CN"/>
        </w:rPr>
        <w:t>3</w:t>
      </w:r>
      <w:r>
        <w:rPr>
          <w:color w:val="0000FF"/>
        </w:rPr>
        <w:t>防护距离</w:t>
      </w:r>
    </w:p>
    <w:p>
      <w:pPr>
        <w:rPr>
          <w:color w:val="0000FF"/>
        </w:rPr>
      </w:pPr>
      <w:r>
        <w:rPr>
          <w:color w:val="0000FF"/>
        </w:rPr>
        <w:t>根据《环境影响评价技术导则</w:t>
      </w:r>
      <w:r>
        <w:rPr>
          <w:rFonts w:hint="eastAsia"/>
          <w:color w:val="0000FF"/>
          <w:lang w:val="en-US" w:eastAsia="zh-CN"/>
        </w:rPr>
        <w:t xml:space="preserve"> </w:t>
      </w:r>
      <w:r>
        <w:rPr>
          <w:color w:val="0000FF"/>
        </w:rPr>
        <w:t>大气环境》(HJ2.2-2018)的规定，大气防护距离采用进一步预测模式确定，本项目大气环境影响评价等级为三级，不进行进一步预测与评价，因此不需设置大气环境防护距离。</w:t>
      </w:r>
    </w:p>
    <w:p>
      <w:pPr>
        <w:pStyle w:val="22"/>
        <w:bidi w:val="0"/>
        <w:rPr>
          <w:b/>
          <w:bCs/>
          <w:color w:val="0000FF"/>
        </w:rPr>
      </w:pPr>
      <w:r>
        <w:rPr>
          <w:b/>
          <w:bCs/>
          <w:color w:val="0000FF"/>
        </w:rPr>
        <w:t>表5.2.</w:t>
      </w:r>
      <w:r>
        <w:rPr>
          <w:rFonts w:hint="eastAsia"/>
          <w:b/>
          <w:bCs/>
          <w:color w:val="0000FF"/>
          <w:lang w:val="en-US" w:eastAsia="zh-CN"/>
        </w:rPr>
        <w:t>9</w:t>
      </w:r>
      <w:r>
        <w:rPr>
          <w:b/>
          <w:bCs/>
          <w:color w:val="0000FF"/>
        </w:rPr>
        <w:t>大气环境影响评价自查表</w:t>
      </w:r>
    </w:p>
    <w:tbl>
      <w:tblPr>
        <w:tblStyle w:val="17"/>
        <w:tblW w:w="85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1593"/>
        <w:gridCol w:w="920"/>
        <w:gridCol w:w="355"/>
        <w:gridCol w:w="108"/>
        <w:gridCol w:w="130"/>
        <w:gridCol w:w="232"/>
        <w:gridCol w:w="113"/>
        <w:gridCol w:w="266"/>
        <w:gridCol w:w="265"/>
        <w:gridCol w:w="249"/>
        <w:gridCol w:w="108"/>
        <w:gridCol w:w="102"/>
        <w:gridCol w:w="485"/>
        <w:gridCol w:w="389"/>
        <w:gridCol w:w="174"/>
        <w:gridCol w:w="107"/>
        <w:gridCol w:w="429"/>
        <w:gridCol w:w="63"/>
        <w:gridCol w:w="1"/>
        <w:gridCol w:w="383"/>
        <w:gridCol w:w="1"/>
        <w:gridCol w:w="457"/>
        <w:gridCol w:w="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2517" w:type="dxa"/>
            <w:gridSpan w:val="2"/>
            <w:tcBorders>
              <w:tl2br w:val="nil"/>
              <w:tr2bl w:val="nil"/>
            </w:tcBorders>
            <w:noWrap w:val="0"/>
            <w:vAlign w:val="center"/>
          </w:tcPr>
          <w:p>
            <w:pPr>
              <w:pStyle w:val="22"/>
              <w:bidi w:val="0"/>
              <w:rPr>
                <w:rFonts w:hint="eastAsia"/>
                <w:color w:val="0000FF"/>
              </w:rPr>
            </w:pPr>
            <w:r>
              <w:rPr>
                <w:rFonts w:hint="eastAsia"/>
                <w:color w:val="0000FF"/>
              </w:rPr>
              <w:t>工作内容</w:t>
            </w:r>
          </w:p>
        </w:tc>
        <w:tc>
          <w:tcPr>
            <w:tcW w:w="6022" w:type="dxa"/>
            <w:gridSpan w:val="22"/>
            <w:tcBorders>
              <w:tl2br w:val="nil"/>
              <w:tr2bl w:val="nil"/>
            </w:tcBorders>
            <w:noWrap w:val="0"/>
            <w:vAlign w:val="center"/>
          </w:tcPr>
          <w:p>
            <w:pPr>
              <w:pStyle w:val="22"/>
              <w:bidi w:val="0"/>
              <w:rPr>
                <w:rFonts w:hint="eastAsia"/>
                <w:color w:val="0000FF"/>
              </w:rPr>
            </w:pPr>
            <w:r>
              <w:rPr>
                <w:rFonts w:hint="eastAsia"/>
                <w:color w:val="0000FF"/>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924" w:type="dxa"/>
            <w:vMerge w:val="restart"/>
            <w:tcBorders>
              <w:tl2br w:val="nil"/>
              <w:tr2bl w:val="nil"/>
            </w:tcBorders>
            <w:noWrap w:val="0"/>
            <w:vAlign w:val="center"/>
          </w:tcPr>
          <w:p>
            <w:pPr>
              <w:pStyle w:val="22"/>
              <w:bidi w:val="0"/>
              <w:rPr>
                <w:rFonts w:hint="eastAsia"/>
                <w:color w:val="0000FF"/>
              </w:rPr>
            </w:pPr>
            <w:r>
              <w:rPr>
                <w:rFonts w:hint="eastAsia"/>
                <w:color w:val="0000FF"/>
              </w:rPr>
              <w:t>评价等级与范围</w:t>
            </w:r>
          </w:p>
        </w:tc>
        <w:tc>
          <w:tcPr>
            <w:tcW w:w="1593" w:type="dxa"/>
            <w:tcBorders>
              <w:tl2br w:val="nil"/>
              <w:tr2bl w:val="nil"/>
            </w:tcBorders>
            <w:noWrap w:val="0"/>
            <w:vAlign w:val="center"/>
          </w:tcPr>
          <w:p>
            <w:pPr>
              <w:pStyle w:val="22"/>
              <w:bidi w:val="0"/>
              <w:rPr>
                <w:rFonts w:hint="eastAsia"/>
                <w:color w:val="0000FF"/>
              </w:rPr>
            </w:pPr>
            <w:r>
              <w:rPr>
                <w:rFonts w:hint="eastAsia"/>
                <w:color w:val="0000FF"/>
              </w:rPr>
              <w:t>评价等级</w:t>
            </w:r>
          </w:p>
        </w:tc>
        <w:tc>
          <w:tcPr>
            <w:tcW w:w="2389" w:type="dxa"/>
            <w:gridSpan w:val="8"/>
            <w:tcBorders>
              <w:tl2br w:val="nil"/>
              <w:tr2bl w:val="nil"/>
            </w:tcBorders>
            <w:noWrap w:val="0"/>
            <w:vAlign w:val="center"/>
          </w:tcPr>
          <w:p>
            <w:pPr>
              <w:pStyle w:val="22"/>
              <w:bidi w:val="0"/>
              <w:rPr>
                <w:rFonts w:hint="eastAsia"/>
                <w:color w:val="0000FF"/>
              </w:rPr>
            </w:pPr>
            <w:r>
              <w:rPr>
                <w:rFonts w:hint="eastAsia"/>
                <w:color w:val="0000FF"/>
              </w:rPr>
              <w:t>一级□</w:t>
            </w:r>
          </w:p>
        </w:tc>
        <w:tc>
          <w:tcPr>
            <w:tcW w:w="2107" w:type="dxa"/>
            <w:gridSpan w:val="10"/>
            <w:tcBorders>
              <w:tl2br w:val="nil"/>
              <w:tr2bl w:val="nil"/>
            </w:tcBorders>
            <w:noWrap w:val="0"/>
            <w:vAlign w:val="center"/>
          </w:tcPr>
          <w:p>
            <w:pPr>
              <w:pStyle w:val="22"/>
              <w:bidi w:val="0"/>
              <w:rPr>
                <w:rFonts w:hint="eastAsia"/>
                <w:color w:val="0000FF"/>
              </w:rPr>
            </w:pPr>
            <w:r>
              <w:rPr>
                <w:rFonts w:hint="eastAsia"/>
                <w:color w:val="0000FF"/>
              </w:rPr>
              <w:t>二级□</w:t>
            </w:r>
          </w:p>
        </w:tc>
        <w:tc>
          <w:tcPr>
            <w:tcW w:w="1526" w:type="dxa"/>
            <w:gridSpan w:val="4"/>
            <w:tcBorders>
              <w:tl2br w:val="nil"/>
              <w:tr2bl w:val="nil"/>
            </w:tcBorders>
            <w:noWrap w:val="0"/>
            <w:vAlign w:val="center"/>
          </w:tcPr>
          <w:p>
            <w:pPr>
              <w:pStyle w:val="22"/>
              <w:bidi w:val="0"/>
              <w:rPr>
                <w:rFonts w:hint="eastAsia"/>
                <w:color w:val="0000FF"/>
              </w:rPr>
            </w:pPr>
            <w:r>
              <w:rPr>
                <w:rFonts w:hint="eastAsia"/>
                <w:color w:val="0000FF"/>
              </w:rPr>
              <w:t>三级</w:t>
            </w:r>
            <w:r>
              <w:rPr>
                <w:rFonts w:hint="eastAsia"/>
                <w:color w:val="0000FF"/>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评价范围</w:t>
            </w:r>
          </w:p>
        </w:tc>
        <w:tc>
          <w:tcPr>
            <w:tcW w:w="2389" w:type="dxa"/>
            <w:gridSpan w:val="8"/>
            <w:tcBorders>
              <w:tl2br w:val="nil"/>
              <w:tr2bl w:val="nil"/>
            </w:tcBorders>
            <w:noWrap w:val="0"/>
            <w:vAlign w:val="center"/>
          </w:tcPr>
          <w:p>
            <w:pPr>
              <w:pStyle w:val="22"/>
              <w:bidi w:val="0"/>
              <w:rPr>
                <w:rFonts w:hint="eastAsia"/>
                <w:color w:val="0000FF"/>
              </w:rPr>
            </w:pPr>
            <w:r>
              <w:rPr>
                <w:rFonts w:hint="eastAsia"/>
                <w:color w:val="0000FF"/>
              </w:rPr>
              <w:t>边长=50km□</w:t>
            </w:r>
          </w:p>
        </w:tc>
        <w:tc>
          <w:tcPr>
            <w:tcW w:w="2107" w:type="dxa"/>
            <w:gridSpan w:val="10"/>
            <w:tcBorders>
              <w:tl2br w:val="nil"/>
              <w:tr2bl w:val="nil"/>
            </w:tcBorders>
            <w:noWrap w:val="0"/>
            <w:vAlign w:val="center"/>
          </w:tcPr>
          <w:p>
            <w:pPr>
              <w:pStyle w:val="22"/>
              <w:bidi w:val="0"/>
              <w:rPr>
                <w:rFonts w:hint="eastAsia"/>
                <w:color w:val="0000FF"/>
              </w:rPr>
            </w:pPr>
            <w:r>
              <w:rPr>
                <w:rFonts w:hint="eastAsia"/>
                <w:color w:val="0000FF"/>
              </w:rPr>
              <w:t>边长5～50km□</w:t>
            </w:r>
          </w:p>
        </w:tc>
        <w:tc>
          <w:tcPr>
            <w:tcW w:w="1526" w:type="dxa"/>
            <w:gridSpan w:val="4"/>
            <w:tcBorders>
              <w:tl2br w:val="nil"/>
              <w:tr2bl w:val="nil"/>
            </w:tcBorders>
            <w:noWrap w:val="0"/>
            <w:vAlign w:val="center"/>
          </w:tcPr>
          <w:p>
            <w:pPr>
              <w:pStyle w:val="22"/>
              <w:bidi w:val="0"/>
              <w:rPr>
                <w:rFonts w:hint="eastAsia"/>
                <w:color w:val="0000FF"/>
              </w:rPr>
            </w:pPr>
            <w:r>
              <w:rPr>
                <w:rFonts w:hint="eastAsia"/>
                <w:color w:val="0000FF"/>
              </w:rPr>
              <w:t>边长=5km</w:t>
            </w:r>
            <w:r>
              <w:rPr>
                <w:rFonts w:hint="eastAsia"/>
                <w:color w:val="0000FF"/>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924" w:type="dxa"/>
            <w:vMerge w:val="restart"/>
            <w:tcBorders>
              <w:tl2br w:val="nil"/>
              <w:tr2bl w:val="nil"/>
            </w:tcBorders>
            <w:noWrap w:val="0"/>
            <w:vAlign w:val="center"/>
          </w:tcPr>
          <w:p>
            <w:pPr>
              <w:pStyle w:val="22"/>
              <w:bidi w:val="0"/>
              <w:rPr>
                <w:rFonts w:hint="eastAsia"/>
                <w:color w:val="0000FF"/>
              </w:rPr>
            </w:pPr>
            <w:r>
              <w:rPr>
                <w:rFonts w:hint="eastAsia"/>
                <w:color w:val="0000FF"/>
              </w:rPr>
              <w:t>评价因子</w:t>
            </w:r>
          </w:p>
        </w:tc>
        <w:tc>
          <w:tcPr>
            <w:tcW w:w="1593" w:type="dxa"/>
            <w:tcBorders>
              <w:tl2br w:val="nil"/>
              <w:tr2bl w:val="nil"/>
            </w:tcBorders>
            <w:noWrap w:val="0"/>
            <w:vAlign w:val="center"/>
          </w:tcPr>
          <w:p>
            <w:pPr>
              <w:pStyle w:val="22"/>
              <w:bidi w:val="0"/>
              <w:rPr>
                <w:rFonts w:hint="eastAsia"/>
                <w:color w:val="0000FF"/>
              </w:rPr>
            </w:pPr>
            <w:r>
              <w:rPr>
                <w:rFonts w:hint="eastAsia"/>
                <w:color w:val="0000FF"/>
              </w:rPr>
              <w:t>SO2+NOx排放量</w:t>
            </w:r>
          </w:p>
        </w:tc>
        <w:tc>
          <w:tcPr>
            <w:tcW w:w="1275" w:type="dxa"/>
            <w:gridSpan w:val="2"/>
            <w:tcBorders>
              <w:tl2br w:val="nil"/>
              <w:tr2bl w:val="nil"/>
            </w:tcBorders>
            <w:noWrap w:val="0"/>
            <w:vAlign w:val="center"/>
          </w:tcPr>
          <w:p>
            <w:pPr>
              <w:pStyle w:val="22"/>
              <w:bidi w:val="0"/>
              <w:rPr>
                <w:rFonts w:hint="eastAsia"/>
                <w:color w:val="0000FF"/>
              </w:rPr>
            </w:pPr>
            <w:r>
              <w:rPr>
                <w:rFonts w:hint="eastAsia"/>
                <w:color w:val="0000FF"/>
              </w:rPr>
              <w:t>≥2000t/a□</w:t>
            </w:r>
          </w:p>
        </w:tc>
        <w:tc>
          <w:tcPr>
            <w:tcW w:w="3221" w:type="dxa"/>
            <w:gridSpan w:val="16"/>
            <w:tcBorders>
              <w:tl2br w:val="nil"/>
              <w:tr2bl w:val="nil"/>
            </w:tcBorders>
            <w:noWrap w:val="0"/>
            <w:vAlign w:val="center"/>
          </w:tcPr>
          <w:p>
            <w:pPr>
              <w:pStyle w:val="22"/>
              <w:bidi w:val="0"/>
              <w:rPr>
                <w:rFonts w:hint="eastAsia"/>
                <w:color w:val="0000FF"/>
              </w:rPr>
            </w:pPr>
            <w:r>
              <w:rPr>
                <w:rFonts w:hint="eastAsia"/>
                <w:color w:val="0000FF"/>
              </w:rPr>
              <w:t>500~2000t/a□</w:t>
            </w:r>
          </w:p>
        </w:tc>
        <w:tc>
          <w:tcPr>
            <w:tcW w:w="1526" w:type="dxa"/>
            <w:gridSpan w:val="4"/>
            <w:tcBorders>
              <w:tl2br w:val="nil"/>
              <w:tr2bl w:val="nil"/>
            </w:tcBorders>
            <w:noWrap w:val="0"/>
            <w:vAlign w:val="center"/>
          </w:tcPr>
          <w:p>
            <w:pPr>
              <w:pStyle w:val="22"/>
              <w:bidi w:val="0"/>
              <w:rPr>
                <w:rFonts w:hint="eastAsia"/>
                <w:color w:val="0000FF"/>
              </w:rPr>
            </w:pPr>
            <w:r>
              <w:rPr>
                <w:rFonts w:hint="eastAsia"/>
                <w:color w:val="0000FF"/>
              </w:rPr>
              <w:t>＜500t/a</w:t>
            </w:r>
            <w:r>
              <w:rPr>
                <w:rFonts w:hint="eastAsia"/>
                <w:color w:val="0000FF"/>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评价因子</w:t>
            </w:r>
          </w:p>
        </w:tc>
        <w:tc>
          <w:tcPr>
            <w:tcW w:w="3333" w:type="dxa"/>
            <w:gridSpan w:val="12"/>
            <w:tcBorders>
              <w:tl2br w:val="nil"/>
              <w:tr2bl w:val="nil"/>
            </w:tcBorders>
            <w:noWrap w:val="0"/>
            <w:vAlign w:val="center"/>
          </w:tcPr>
          <w:p>
            <w:pPr>
              <w:pStyle w:val="22"/>
              <w:bidi w:val="0"/>
              <w:rPr>
                <w:color w:val="0000FF"/>
              </w:rPr>
            </w:pPr>
            <w:r>
              <w:rPr>
                <w:color w:val="0000FF"/>
              </w:rPr>
              <w:t>基本污染物（）</w:t>
            </w:r>
          </w:p>
          <w:p>
            <w:pPr>
              <w:pStyle w:val="22"/>
              <w:bidi w:val="0"/>
              <w:rPr>
                <w:rFonts w:hint="eastAsia"/>
                <w:color w:val="0000FF"/>
              </w:rPr>
            </w:pPr>
            <w:r>
              <w:rPr>
                <w:color w:val="0000FF"/>
              </w:rPr>
              <w:t>其他污染物（NH</w:t>
            </w:r>
            <w:r>
              <w:rPr>
                <w:color w:val="0000FF"/>
                <w:vertAlign w:val="subscript"/>
              </w:rPr>
              <w:t>3</w:t>
            </w:r>
            <w:r>
              <w:rPr>
                <w:rFonts w:hint="eastAsia"/>
                <w:color w:val="0000FF"/>
                <w:lang w:eastAsia="zh-CN"/>
              </w:rPr>
              <w:t>、</w:t>
            </w:r>
            <w:r>
              <w:rPr>
                <w:color w:val="0000FF"/>
              </w:rPr>
              <w:t>H</w:t>
            </w:r>
            <w:r>
              <w:rPr>
                <w:color w:val="0000FF"/>
                <w:vertAlign w:val="subscript"/>
              </w:rPr>
              <w:t>2</w:t>
            </w:r>
            <w:r>
              <w:rPr>
                <w:color w:val="0000FF"/>
              </w:rPr>
              <w:t>S）</w:t>
            </w:r>
          </w:p>
        </w:tc>
        <w:tc>
          <w:tcPr>
            <w:tcW w:w="2689" w:type="dxa"/>
            <w:gridSpan w:val="10"/>
            <w:tcBorders>
              <w:tl2br w:val="nil"/>
              <w:tr2bl w:val="nil"/>
            </w:tcBorders>
            <w:noWrap w:val="0"/>
            <w:vAlign w:val="center"/>
          </w:tcPr>
          <w:p>
            <w:pPr>
              <w:pStyle w:val="22"/>
              <w:bidi w:val="0"/>
              <w:rPr>
                <w:rFonts w:hint="eastAsia"/>
                <w:color w:val="0000FF"/>
              </w:rPr>
            </w:pPr>
            <w:r>
              <w:rPr>
                <w:rFonts w:hint="eastAsia"/>
                <w:color w:val="0000FF"/>
              </w:rPr>
              <w:t>包括二次PM2.5□</w:t>
            </w:r>
          </w:p>
          <w:p>
            <w:pPr>
              <w:pStyle w:val="22"/>
              <w:bidi w:val="0"/>
              <w:rPr>
                <w:rFonts w:hint="eastAsia"/>
                <w:color w:val="0000FF"/>
              </w:rPr>
            </w:pPr>
            <w:r>
              <w:rPr>
                <w:rFonts w:hint="eastAsia"/>
                <w:color w:val="0000FF"/>
              </w:rPr>
              <w:t>不包括二次PM2.5</w:t>
            </w:r>
            <w:r>
              <w:rPr>
                <w:rFonts w:hint="eastAsia"/>
                <w:color w:val="0000FF"/>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4" w:type="dxa"/>
            <w:tcBorders>
              <w:tl2br w:val="nil"/>
              <w:tr2bl w:val="nil"/>
            </w:tcBorders>
            <w:noWrap w:val="0"/>
            <w:vAlign w:val="center"/>
          </w:tcPr>
          <w:p>
            <w:pPr>
              <w:pStyle w:val="22"/>
              <w:bidi w:val="0"/>
              <w:rPr>
                <w:rFonts w:hint="eastAsia"/>
                <w:color w:val="0000FF"/>
              </w:rPr>
            </w:pPr>
            <w:r>
              <w:rPr>
                <w:rFonts w:hint="eastAsia"/>
                <w:color w:val="0000FF"/>
              </w:rPr>
              <w:t>评价标准</w:t>
            </w:r>
          </w:p>
        </w:tc>
        <w:tc>
          <w:tcPr>
            <w:tcW w:w="1593" w:type="dxa"/>
            <w:tcBorders>
              <w:tl2br w:val="nil"/>
              <w:tr2bl w:val="nil"/>
            </w:tcBorders>
            <w:noWrap w:val="0"/>
            <w:vAlign w:val="center"/>
          </w:tcPr>
          <w:p>
            <w:pPr>
              <w:pStyle w:val="22"/>
              <w:bidi w:val="0"/>
              <w:rPr>
                <w:rFonts w:hint="eastAsia"/>
                <w:color w:val="0000FF"/>
              </w:rPr>
            </w:pPr>
            <w:r>
              <w:rPr>
                <w:rFonts w:hint="eastAsia"/>
                <w:color w:val="0000FF"/>
              </w:rPr>
              <w:t>评价标准</w:t>
            </w:r>
          </w:p>
        </w:tc>
        <w:tc>
          <w:tcPr>
            <w:tcW w:w="1858" w:type="dxa"/>
            <w:gridSpan w:val="6"/>
            <w:tcBorders>
              <w:tl2br w:val="nil"/>
              <w:tr2bl w:val="nil"/>
            </w:tcBorders>
            <w:noWrap w:val="0"/>
            <w:vAlign w:val="center"/>
          </w:tcPr>
          <w:p>
            <w:pPr>
              <w:pStyle w:val="22"/>
              <w:bidi w:val="0"/>
              <w:rPr>
                <w:rFonts w:hint="eastAsia"/>
                <w:color w:val="0000FF"/>
              </w:rPr>
            </w:pPr>
            <w:r>
              <w:rPr>
                <w:rFonts w:hint="eastAsia"/>
                <w:color w:val="0000FF"/>
              </w:rPr>
              <w:t>国家标准</w:t>
            </w:r>
            <w:r>
              <w:rPr>
                <w:rFonts w:hint="eastAsia"/>
                <w:color w:val="0000FF"/>
              </w:rPr>
              <w:sym w:font="Wingdings" w:char="00FE"/>
            </w:r>
          </w:p>
        </w:tc>
        <w:tc>
          <w:tcPr>
            <w:tcW w:w="1475" w:type="dxa"/>
            <w:gridSpan w:val="6"/>
            <w:tcBorders>
              <w:tl2br w:val="nil"/>
              <w:tr2bl w:val="nil"/>
            </w:tcBorders>
            <w:noWrap w:val="0"/>
            <w:vAlign w:val="center"/>
          </w:tcPr>
          <w:p>
            <w:pPr>
              <w:pStyle w:val="22"/>
              <w:bidi w:val="0"/>
              <w:rPr>
                <w:rFonts w:hint="eastAsia"/>
                <w:color w:val="0000FF"/>
              </w:rPr>
            </w:pPr>
            <w:r>
              <w:rPr>
                <w:rFonts w:hint="eastAsia"/>
                <w:color w:val="0000FF"/>
              </w:rPr>
              <w:t>地方标准□</w:t>
            </w:r>
          </w:p>
        </w:tc>
        <w:tc>
          <w:tcPr>
            <w:tcW w:w="1547" w:type="dxa"/>
            <w:gridSpan w:val="8"/>
            <w:tcBorders>
              <w:tl2br w:val="nil"/>
              <w:tr2bl w:val="nil"/>
            </w:tcBorders>
            <w:noWrap w:val="0"/>
            <w:vAlign w:val="center"/>
          </w:tcPr>
          <w:p>
            <w:pPr>
              <w:pStyle w:val="22"/>
              <w:bidi w:val="0"/>
              <w:rPr>
                <w:rFonts w:hint="eastAsia"/>
                <w:color w:val="0000FF"/>
              </w:rPr>
            </w:pPr>
            <w:r>
              <w:rPr>
                <w:rFonts w:hint="eastAsia"/>
                <w:color w:val="0000FF"/>
              </w:rPr>
              <w:t>附录D□</w:t>
            </w:r>
          </w:p>
        </w:tc>
        <w:tc>
          <w:tcPr>
            <w:tcW w:w="1142" w:type="dxa"/>
            <w:gridSpan w:val="2"/>
            <w:tcBorders>
              <w:tl2br w:val="nil"/>
              <w:tr2bl w:val="nil"/>
            </w:tcBorders>
            <w:noWrap w:val="0"/>
            <w:vAlign w:val="center"/>
          </w:tcPr>
          <w:p>
            <w:pPr>
              <w:pStyle w:val="22"/>
              <w:bidi w:val="0"/>
              <w:rPr>
                <w:rFonts w:hint="eastAsia"/>
                <w:color w:val="0000FF"/>
              </w:rPr>
            </w:pPr>
            <w:r>
              <w:rPr>
                <w:rFonts w:hint="eastAsia"/>
                <w:color w:val="0000FF"/>
              </w:rPr>
              <w:t>其他标准□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4" w:type="dxa"/>
            <w:vMerge w:val="restart"/>
            <w:tcBorders>
              <w:tl2br w:val="nil"/>
              <w:tr2bl w:val="nil"/>
            </w:tcBorders>
            <w:noWrap w:val="0"/>
            <w:vAlign w:val="center"/>
          </w:tcPr>
          <w:p>
            <w:pPr>
              <w:pStyle w:val="22"/>
              <w:bidi w:val="0"/>
              <w:rPr>
                <w:rFonts w:hint="eastAsia"/>
                <w:color w:val="0000FF"/>
              </w:rPr>
            </w:pPr>
            <w:r>
              <w:rPr>
                <w:rFonts w:hint="eastAsia"/>
                <w:color w:val="0000FF"/>
              </w:rPr>
              <w:t>现状评价</w:t>
            </w:r>
          </w:p>
        </w:tc>
        <w:tc>
          <w:tcPr>
            <w:tcW w:w="1593" w:type="dxa"/>
            <w:tcBorders>
              <w:tl2br w:val="nil"/>
              <w:tr2bl w:val="nil"/>
            </w:tcBorders>
            <w:noWrap w:val="0"/>
            <w:vAlign w:val="center"/>
          </w:tcPr>
          <w:p>
            <w:pPr>
              <w:pStyle w:val="22"/>
              <w:bidi w:val="0"/>
              <w:rPr>
                <w:rFonts w:hint="eastAsia"/>
                <w:color w:val="0000FF"/>
              </w:rPr>
            </w:pPr>
            <w:r>
              <w:rPr>
                <w:rFonts w:hint="eastAsia"/>
                <w:color w:val="0000FF"/>
              </w:rPr>
              <w:t>环境功能区</w:t>
            </w:r>
          </w:p>
        </w:tc>
        <w:tc>
          <w:tcPr>
            <w:tcW w:w="2389" w:type="dxa"/>
            <w:gridSpan w:val="8"/>
            <w:tcBorders>
              <w:tl2br w:val="nil"/>
              <w:tr2bl w:val="nil"/>
            </w:tcBorders>
            <w:noWrap w:val="0"/>
            <w:vAlign w:val="center"/>
          </w:tcPr>
          <w:p>
            <w:pPr>
              <w:pStyle w:val="22"/>
              <w:bidi w:val="0"/>
              <w:rPr>
                <w:rFonts w:hint="eastAsia"/>
                <w:color w:val="0000FF"/>
              </w:rPr>
            </w:pPr>
            <w:r>
              <w:rPr>
                <w:rFonts w:hint="eastAsia"/>
                <w:color w:val="0000FF"/>
              </w:rPr>
              <w:t>一类区□</w:t>
            </w:r>
          </w:p>
        </w:tc>
        <w:tc>
          <w:tcPr>
            <w:tcW w:w="2043" w:type="dxa"/>
            <w:gridSpan w:val="8"/>
            <w:tcBorders>
              <w:tl2br w:val="nil"/>
              <w:tr2bl w:val="nil"/>
            </w:tcBorders>
            <w:noWrap w:val="0"/>
            <w:vAlign w:val="center"/>
          </w:tcPr>
          <w:p>
            <w:pPr>
              <w:pStyle w:val="22"/>
              <w:bidi w:val="0"/>
              <w:rPr>
                <w:rFonts w:hint="eastAsia"/>
                <w:color w:val="0000FF"/>
              </w:rPr>
            </w:pPr>
            <w:r>
              <w:rPr>
                <w:rFonts w:hint="eastAsia"/>
                <w:color w:val="0000FF"/>
              </w:rPr>
              <w:t>二类区</w:t>
            </w:r>
            <w:r>
              <w:rPr>
                <w:rFonts w:hint="eastAsia"/>
                <w:color w:val="0000FF"/>
              </w:rPr>
              <w:sym w:font="Wingdings" w:char="00FE"/>
            </w:r>
          </w:p>
        </w:tc>
        <w:tc>
          <w:tcPr>
            <w:tcW w:w="1590" w:type="dxa"/>
            <w:gridSpan w:val="6"/>
            <w:tcBorders>
              <w:tl2br w:val="nil"/>
              <w:tr2bl w:val="nil"/>
            </w:tcBorders>
            <w:noWrap w:val="0"/>
            <w:vAlign w:val="center"/>
          </w:tcPr>
          <w:p>
            <w:pPr>
              <w:pStyle w:val="22"/>
              <w:bidi w:val="0"/>
              <w:rPr>
                <w:rFonts w:hint="eastAsia"/>
                <w:color w:val="0000FF"/>
              </w:rPr>
            </w:pPr>
            <w:r>
              <w:rPr>
                <w:rFonts w:hint="eastAsia"/>
                <w:color w:val="0000FF"/>
              </w:rPr>
              <w:t>一类区和二类区□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评价基准年</w:t>
            </w:r>
          </w:p>
        </w:tc>
        <w:tc>
          <w:tcPr>
            <w:tcW w:w="6022" w:type="dxa"/>
            <w:gridSpan w:val="22"/>
            <w:tcBorders>
              <w:tl2br w:val="nil"/>
              <w:tr2bl w:val="nil"/>
            </w:tcBorders>
            <w:noWrap w:val="0"/>
            <w:vAlign w:val="center"/>
          </w:tcPr>
          <w:p>
            <w:pPr>
              <w:pStyle w:val="22"/>
              <w:bidi w:val="0"/>
              <w:rPr>
                <w:rFonts w:hint="eastAsia"/>
                <w:color w:val="0000FF"/>
              </w:rPr>
            </w:pPr>
            <w:r>
              <w:rPr>
                <w:rFonts w:hint="eastAsia"/>
                <w:color w:val="0000FF"/>
              </w:rPr>
              <w:t>（20</w:t>
            </w:r>
            <w:r>
              <w:rPr>
                <w:rFonts w:hint="eastAsia"/>
                <w:color w:val="0000FF"/>
                <w:lang w:val="en-US" w:eastAsia="zh-CN"/>
              </w:rPr>
              <w:t>20</w:t>
            </w:r>
            <w:r>
              <w:rPr>
                <w:rFonts w:hint="eastAsia"/>
                <w:color w:val="0000FF"/>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环境空气质量</w:t>
            </w:r>
          </w:p>
          <w:p>
            <w:pPr>
              <w:pStyle w:val="22"/>
              <w:bidi w:val="0"/>
              <w:rPr>
                <w:rFonts w:hint="eastAsia"/>
                <w:color w:val="0000FF"/>
              </w:rPr>
            </w:pPr>
            <w:r>
              <w:rPr>
                <w:rFonts w:hint="eastAsia"/>
                <w:color w:val="0000FF"/>
              </w:rPr>
              <w:t>现状调查数据来源</w:t>
            </w:r>
          </w:p>
        </w:tc>
        <w:tc>
          <w:tcPr>
            <w:tcW w:w="2389" w:type="dxa"/>
            <w:gridSpan w:val="8"/>
            <w:tcBorders>
              <w:tl2br w:val="nil"/>
              <w:tr2bl w:val="nil"/>
            </w:tcBorders>
            <w:noWrap w:val="0"/>
            <w:vAlign w:val="center"/>
          </w:tcPr>
          <w:p>
            <w:pPr>
              <w:pStyle w:val="22"/>
              <w:bidi w:val="0"/>
              <w:rPr>
                <w:rFonts w:hint="eastAsia"/>
                <w:color w:val="0000FF"/>
              </w:rPr>
            </w:pPr>
            <w:r>
              <w:rPr>
                <w:rFonts w:hint="eastAsia"/>
                <w:color w:val="0000FF"/>
              </w:rPr>
              <w:t>长期例行监测数据□</w:t>
            </w:r>
          </w:p>
        </w:tc>
        <w:tc>
          <w:tcPr>
            <w:tcW w:w="2106" w:type="dxa"/>
            <w:gridSpan w:val="9"/>
            <w:tcBorders>
              <w:tl2br w:val="nil"/>
              <w:tr2bl w:val="nil"/>
            </w:tcBorders>
            <w:noWrap w:val="0"/>
            <w:vAlign w:val="center"/>
          </w:tcPr>
          <w:p>
            <w:pPr>
              <w:pStyle w:val="22"/>
              <w:bidi w:val="0"/>
              <w:rPr>
                <w:rFonts w:hint="eastAsia"/>
                <w:color w:val="0000FF"/>
              </w:rPr>
            </w:pPr>
            <w:r>
              <w:rPr>
                <w:rFonts w:hint="eastAsia"/>
                <w:color w:val="0000FF"/>
              </w:rPr>
              <w:t>主管部门发布的数据</w:t>
            </w:r>
            <w:r>
              <w:rPr>
                <w:rFonts w:hint="eastAsia"/>
                <w:color w:val="0000FF"/>
              </w:rPr>
              <w:sym w:font="Wingdings" w:char="00FE"/>
            </w:r>
          </w:p>
        </w:tc>
        <w:tc>
          <w:tcPr>
            <w:tcW w:w="1527" w:type="dxa"/>
            <w:gridSpan w:val="5"/>
            <w:tcBorders>
              <w:tl2br w:val="nil"/>
              <w:tr2bl w:val="nil"/>
            </w:tcBorders>
            <w:noWrap w:val="0"/>
            <w:vAlign w:val="center"/>
          </w:tcPr>
          <w:p>
            <w:pPr>
              <w:pStyle w:val="22"/>
              <w:bidi w:val="0"/>
              <w:rPr>
                <w:rFonts w:hint="eastAsia"/>
                <w:color w:val="0000FF"/>
              </w:rPr>
            </w:pPr>
            <w:r>
              <w:rPr>
                <w:rFonts w:hint="eastAsia"/>
                <w:color w:val="0000FF"/>
              </w:rPr>
              <w:t>现状补充监测</w:t>
            </w:r>
            <w:r>
              <w:rPr>
                <w:rFonts w:hint="eastAsia"/>
                <w:color w:val="0000FF"/>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现状评价</w:t>
            </w:r>
          </w:p>
        </w:tc>
        <w:tc>
          <w:tcPr>
            <w:tcW w:w="3333" w:type="dxa"/>
            <w:gridSpan w:val="12"/>
            <w:tcBorders>
              <w:tl2br w:val="nil"/>
              <w:tr2bl w:val="nil"/>
            </w:tcBorders>
            <w:noWrap w:val="0"/>
            <w:vAlign w:val="center"/>
          </w:tcPr>
          <w:p>
            <w:pPr>
              <w:pStyle w:val="22"/>
              <w:bidi w:val="0"/>
              <w:rPr>
                <w:rFonts w:hint="eastAsia"/>
                <w:color w:val="0000FF"/>
              </w:rPr>
            </w:pPr>
            <w:r>
              <w:rPr>
                <w:rFonts w:hint="eastAsia"/>
                <w:color w:val="0000FF"/>
              </w:rPr>
              <w:t>达标区□</w:t>
            </w:r>
          </w:p>
        </w:tc>
        <w:tc>
          <w:tcPr>
            <w:tcW w:w="2689" w:type="dxa"/>
            <w:gridSpan w:val="10"/>
            <w:tcBorders>
              <w:tl2br w:val="nil"/>
              <w:tr2bl w:val="nil"/>
            </w:tcBorders>
            <w:noWrap w:val="0"/>
            <w:vAlign w:val="center"/>
          </w:tcPr>
          <w:p>
            <w:pPr>
              <w:pStyle w:val="22"/>
              <w:bidi w:val="0"/>
              <w:rPr>
                <w:rFonts w:hint="eastAsia"/>
                <w:color w:val="0000FF"/>
              </w:rPr>
            </w:pPr>
            <w:r>
              <w:rPr>
                <w:rFonts w:hint="eastAsia"/>
                <w:color w:val="0000FF"/>
              </w:rPr>
              <w:t>不达标区</w:t>
            </w:r>
            <w:r>
              <w:rPr>
                <w:rFonts w:hint="eastAsia"/>
                <w:color w:val="0000FF"/>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924" w:type="dxa"/>
            <w:tcBorders>
              <w:tl2br w:val="nil"/>
              <w:tr2bl w:val="nil"/>
            </w:tcBorders>
            <w:noWrap w:val="0"/>
            <w:vAlign w:val="center"/>
          </w:tcPr>
          <w:p>
            <w:pPr>
              <w:pStyle w:val="22"/>
              <w:bidi w:val="0"/>
              <w:rPr>
                <w:rFonts w:hint="eastAsia"/>
                <w:color w:val="0000FF"/>
              </w:rPr>
            </w:pPr>
            <w:r>
              <w:rPr>
                <w:rFonts w:hint="eastAsia"/>
                <w:color w:val="0000FF"/>
              </w:rPr>
              <w:t>污染</w:t>
            </w:r>
          </w:p>
          <w:p>
            <w:pPr>
              <w:pStyle w:val="22"/>
              <w:bidi w:val="0"/>
              <w:rPr>
                <w:rFonts w:hint="eastAsia"/>
                <w:color w:val="0000FF"/>
              </w:rPr>
            </w:pPr>
            <w:r>
              <w:rPr>
                <w:rFonts w:hint="eastAsia"/>
                <w:color w:val="0000FF"/>
              </w:rPr>
              <w:t>源调查</w:t>
            </w:r>
          </w:p>
        </w:tc>
        <w:tc>
          <w:tcPr>
            <w:tcW w:w="1593" w:type="dxa"/>
            <w:tcBorders>
              <w:tl2br w:val="nil"/>
              <w:tr2bl w:val="nil"/>
            </w:tcBorders>
            <w:noWrap w:val="0"/>
            <w:vAlign w:val="center"/>
          </w:tcPr>
          <w:p>
            <w:pPr>
              <w:pStyle w:val="22"/>
              <w:bidi w:val="0"/>
              <w:rPr>
                <w:rFonts w:hint="eastAsia"/>
                <w:color w:val="0000FF"/>
              </w:rPr>
            </w:pPr>
            <w:r>
              <w:rPr>
                <w:rFonts w:hint="eastAsia"/>
                <w:color w:val="0000FF"/>
              </w:rPr>
              <w:t>调查内容</w:t>
            </w:r>
          </w:p>
        </w:tc>
        <w:tc>
          <w:tcPr>
            <w:tcW w:w="2124" w:type="dxa"/>
            <w:gridSpan w:val="7"/>
            <w:tcBorders>
              <w:tl2br w:val="nil"/>
              <w:tr2bl w:val="nil"/>
            </w:tcBorders>
            <w:noWrap w:val="0"/>
            <w:vAlign w:val="center"/>
          </w:tcPr>
          <w:p>
            <w:pPr>
              <w:pStyle w:val="22"/>
              <w:bidi w:val="0"/>
              <w:rPr>
                <w:rFonts w:hint="eastAsia"/>
                <w:color w:val="0000FF"/>
              </w:rPr>
            </w:pPr>
            <w:r>
              <w:rPr>
                <w:rFonts w:hint="eastAsia"/>
                <w:color w:val="0000FF"/>
              </w:rPr>
              <w:t>本项目正常排放源</w:t>
            </w:r>
            <w:r>
              <w:rPr>
                <w:rFonts w:hint="eastAsia"/>
                <w:color w:val="0000FF"/>
              </w:rPr>
              <w:sym w:font="Wingdings" w:char="00FE"/>
            </w:r>
          </w:p>
          <w:p>
            <w:pPr>
              <w:pStyle w:val="22"/>
              <w:bidi w:val="0"/>
              <w:rPr>
                <w:rFonts w:hint="eastAsia"/>
                <w:color w:val="0000FF"/>
              </w:rPr>
            </w:pPr>
            <w:r>
              <w:rPr>
                <w:rFonts w:hint="eastAsia"/>
                <w:color w:val="0000FF"/>
              </w:rPr>
              <w:t>本项目非正常排放源□</w:t>
            </w:r>
          </w:p>
          <w:p>
            <w:pPr>
              <w:pStyle w:val="22"/>
              <w:bidi w:val="0"/>
              <w:rPr>
                <w:rFonts w:hint="eastAsia"/>
                <w:color w:val="0000FF"/>
              </w:rPr>
            </w:pPr>
            <w:r>
              <w:rPr>
                <w:rFonts w:hint="eastAsia"/>
                <w:color w:val="0000FF"/>
              </w:rPr>
              <w:t>现有污染源□</w:t>
            </w:r>
          </w:p>
        </w:tc>
        <w:tc>
          <w:tcPr>
            <w:tcW w:w="1209" w:type="dxa"/>
            <w:gridSpan w:val="5"/>
            <w:tcBorders>
              <w:tl2br w:val="nil"/>
              <w:tr2bl w:val="nil"/>
            </w:tcBorders>
            <w:noWrap w:val="0"/>
            <w:vAlign w:val="center"/>
          </w:tcPr>
          <w:p>
            <w:pPr>
              <w:pStyle w:val="22"/>
              <w:bidi w:val="0"/>
              <w:rPr>
                <w:rFonts w:hint="eastAsia"/>
                <w:color w:val="0000FF"/>
              </w:rPr>
            </w:pPr>
            <w:r>
              <w:rPr>
                <w:rFonts w:hint="eastAsia"/>
                <w:color w:val="0000FF"/>
              </w:rPr>
              <w:t>拟替代的污染源□</w:t>
            </w:r>
          </w:p>
        </w:tc>
        <w:tc>
          <w:tcPr>
            <w:tcW w:w="1547" w:type="dxa"/>
            <w:gridSpan w:val="8"/>
            <w:tcBorders>
              <w:tl2br w:val="nil"/>
              <w:tr2bl w:val="nil"/>
            </w:tcBorders>
            <w:noWrap w:val="0"/>
            <w:vAlign w:val="center"/>
          </w:tcPr>
          <w:p>
            <w:pPr>
              <w:pStyle w:val="22"/>
              <w:bidi w:val="0"/>
              <w:rPr>
                <w:rFonts w:hint="eastAsia"/>
                <w:color w:val="0000FF"/>
              </w:rPr>
            </w:pPr>
            <w:r>
              <w:rPr>
                <w:rFonts w:hint="eastAsia"/>
                <w:color w:val="0000FF"/>
              </w:rPr>
              <w:t>其他在建、拟建项目污染源□</w:t>
            </w:r>
          </w:p>
        </w:tc>
        <w:tc>
          <w:tcPr>
            <w:tcW w:w="1142" w:type="dxa"/>
            <w:gridSpan w:val="2"/>
            <w:tcBorders>
              <w:tl2br w:val="nil"/>
              <w:tr2bl w:val="nil"/>
            </w:tcBorders>
            <w:noWrap w:val="0"/>
            <w:vAlign w:val="center"/>
          </w:tcPr>
          <w:p>
            <w:pPr>
              <w:pStyle w:val="22"/>
              <w:bidi w:val="0"/>
              <w:rPr>
                <w:rFonts w:hint="eastAsia"/>
                <w:color w:val="0000FF"/>
              </w:rPr>
            </w:pPr>
            <w:r>
              <w:rPr>
                <w:rFonts w:hint="eastAsia"/>
                <w:color w:val="0000FF"/>
              </w:rPr>
              <w:t>区域污染源□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924" w:type="dxa"/>
            <w:vMerge w:val="restart"/>
            <w:tcBorders>
              <w:tl2br w:val="nil"/>
              <w:tr2bl w:val="nil"/>
            </w:tcBorders>
            <w:noWrap w:val="0"/>
            <w:vAlign w:val="center"/>
          </w:tcPr>
          <w:p>
            <w:pPr>
              <w:pStyle w:val="22"/>
              <w:bidi w:val="0"/>
              <w:rPr>
                <w:rFonts w:hint="eastAsia"/>
                <w:color w:val="0000FF"/>
              </w:rPr>
            </w:pPr>
            <w:r>
              <w:rPr>
                <w:rFonts w:hint="eastAsia"/>
                <w:color w:val="0000FF"/>
              </w:rPr>
              <w:t>大气环境影响预测与评价</w:t>
            </w:r>
          </w:p>
        </w:tc>
        <w:tc>
          <w:tcPr>
            <w:tcW w:w="1593" w:type="dxa"/>
            <w:tcBorders>
              <w:tl2br w:val="nil"/>
              <w:tr2bl w:val="nil"/>
            </w:tcBorders>
            <w:noWrap w:val="0"/>
            <w:vAlign w:val="center"/>
          </w:tcPr>
          <w:p>
            <w:pPr>
              <w:pStyle w:val="22"/>
              <w:bidi w:val="0"/>
              <w:rPr>
                <w:rFonts w:hint="eastAsia"/>
                <w:color w:val="0000FF"/>
              </w:rPr>
            </w:pPr>
            <w:r>
              <w:rPr>
                <w:rFonts w:hint="eastAsia"/>
                <w:color w:val="0000FF"/>
              </w:rPr>
              <w:t>预测模型</w:t>
            </w:r>
          </w:p>
        </w:tc>
        <w:tc>
          <w:tcPr>
            <w:tcW w:w="920" w:type="dxa"/>
            <w:tcBorders>
              <w:tl2br w:val="nil"/>
              <w:tr2bl w:val="nil"/>
            </w:tcBorders>
            <w:noWrap w:val="0"/>
            <w:vAlign w:val="center"/>
          </w:tcPr>
          <w:p>
            <w:pPr>
              <w:pStyle w:val="22"/>
              <w:bidi w:val="0"/>
              <w:rPr>
                <w:rFonts w:hint="eastAsia"/>
                <w:color w:val="0000FF"/>
              </w:rPr>
            </w:pPr>
            <w:r>
              <w:rPr>
                <w:rFonts w:hint="eastAsia"/>
                <w:color w:val="0000FF"/>
              </w:rPr>
              <w:t>AERMOD</w:t>
            </w:r>
          </w:p>
          <w:p>
            <w:pPr>
              <w:pStyle w:val="22"/>
              <w:bidi w:val="0"/>
              <w:rPr>
                <w:rFonts w:hint="eastAsia"/>
                <w:color w:val="0000FF"/>
              </w:rPr>
            </w:pPr>
            <w:r>
              <w:rPr>
                <w:rFonts w:hint="eastAsia"/>
                <w:color w:val="0000FF"/>
              </w:rPr>
              <w:t>□</w:t>
            </w:r>
          </w:p>
        </w:tc>
        <w:tc>
          <w:tcPr>
            <w:tcW w:w="825" w:type="dxa"/>
            <w:gridSpan w:val="4"/>
            <w:tcBorders>
              <w:tl2br w:val="nil"/>
              <w:tr2bl w:val="nil"/>
            </w:tcBorders>
            <w:noWrap w:val="0"/>
            <w:vAlign w:val="center"/>
          </w:tcPr>
          <w:p>
            <w:pPr>
              <w:pStyle w:val="22"/>
              <w:bidi w:val="0"/>
              <w:rPr>
                <w:rFonts w:hint="eastAsia"/>
                <w:color w:val="0000FF"/>
              </w:rPr>
            </w:pPr>
            <w:r>
              <w:rPr>
                <w:rFonts w:hint="eastAsia"/>
                <w:color w:val="0000FF"/>
              </w:rPr>
              <w:t>ADMS</w:t>
            </w:r>
          </w:p>
          <w:p>
            <w:pPr>
              <w:pStyle w:val="22"/>
              <w:bidi w:val="0"/>
              <w:rPr>
                <w:rFonts w:hint="eastAsia"/>
                <w:color w:val="0000FF"/>
              </w:rPr>
            </w:pPr>
            <w:r>
              <w:rPr>
                <w:rFonts w:hint="eastAsia"/>
                <w:color w:val="0000FF"/>
              </w:rPr>
              <w:t>□</w:t>
            </w:r>
          </w:p>
        </w:tc>
        <w:tc>
          <w:tcPr>
            <w:tcW w:w="1001" w:type="dxa"/>
            <w:gridSpan w:val="5"/>
            <w:tcBorders>
              <w:tl2br w:val="nil"/>
              <w:tr2bl w:val="nil"/>
            </w:tcBorders>
            <w:noWrap w:val="0"/>
            <w:vAlign w:val="center"/>
          </w:tcPr>
          <w:p>
            <w:pPr>
              <w:pStyle w:val="22"/>
              <w:bidi w:val="0"/>
              <w:rPr>
                <w:rFonts w:hint="eastAsia"/>
                <w:color w:val="0000FF"/>
              </w:rPr>
            </w:pPr>
            <w:r>
              <w:rPr>
                <w:rFonts w:hint="eastAsia"/>
                <w:color w:val="0000FF"/>
              </w:rPr>
              <w:t>AUSTAL2000□</w:t>
            </w:r>
          </w:p>
        </w:tc>
        <w:tc>
          <w:tcPr>
            <w:tcW w:w="976" w:type="dxa"/>
            <w:gridSpan w:val="3"/>
            <w:tcBorders>
              <w:tl2br w:val="nil"/>
              <w:tr2bl w:val="nil"/>
            </w:tcBorders>
            <w:noWrap w:val="0"/>
            <w:vAlign w:val="center"/>
          </w:tcPr>
          <w:p>
            <w:pPr>
              <w:pStyle w:val="22"/>
              <w:bidi w:val="0"/>
              <w:rPr>
                <w:rFonts w:hint="eastAsia"/>
                <w:color w:val="0000FF"/>
              </w:rPr>
            </w:pPr>
            <w:r>
              <w:rPr>
                <w:rFonts w:hint="eastAsia"/>
                <w:color w:val="0000FF"/>
              </w:rPr>
              <w:t>EDMS/AEDT□</w:t>
            </w:r>
          </w:p>
        </w:tc>
        <w:tc>
          <w:tcPr>
            <w:tcW w:w="773" w:type="dxa"/>
            <w:gridSpan w:val="4"/>
            <w:tcBorders>
              <w:tl2br w:val="nil"/>
              <w:tr2bl w:val="nil"/>
            </w:tcBorders>
            <w:noWrap w:val="0"/>
            <w:vAlign w:val="center"/>
          </w:tcPr>
          <w:p>
            <w:pPr>
              <w:pStyle w:val="22"/>
              <w:bidi w:val="0"/>
              <w:rPr>
                <w:rFonts w:hint="eastAsia"/>
                <w:color w:val="0000FF"/>
              </w:rPr>
            </w:pPr>
            <w:r>
              <w:rPr>
                <w:rFonts w:hint="eastAsia"/>
                <w:color w:val="0000FF"/>
              </w:rPr>
              <w:t>CALPUFF□</w:t>
            </w:r>
          </w:p>
        </w:tc>
        <w:tc>
          <w:tcPr>
            <w:tcW w:w="842" w:type="dxa"/>
            <w:gridSpan w:val="4"/>
            <w:tcBorders>
              <w:tl2br w:val="nil"/>
              <w:tr2bl w:val="nil"/>
            </w:tcBorders>
            <w:noWrap w:val="0"/>
            <w:vAlign w:val="center"/>
          </w:tcPr>
          <w:p>
            <w:pPr>
              <w:pStyle w:val="22"/>
              <w:bidi w:val="0"/>
              <w:rPr>
                <w:rFonts w:hint="eastAsia"/>
                <w:color w:val="0000FF"/>
              </w:rPr>
            </w:pPr>
            <w:r>
              <w:rPr>
                <w:rFonts w:hint="eastAsia"/>
                <w:color w:val="0000FF"/>
              </w:rPr>
              <w:t>网格模型□</w:t>
            </w:r>
          </w:p>
        </w:tc>
        <w:tc>
          <w:tcPr>
            <w:tcW w:w="685" w:type="dxa"/>
            <w:tcBorders>
              <w:tl2br w:val="nil"/>
              <w:tr2bl w:val="nil"/>
            </w:tcBorders>
            <w:noWrap w:val="0"/>
            <w:vAlign w:val="center"/>
          </w:tcPr>
          <w:p>
            <w:pPr>
              <w:pStyle w:val="22"/>
              <w:bidi w:val="0"/>
              <w:rPr>
                <w:rFonts w:hint="eastAsia"/>
                <w:color w:val="0000FF"/>
              </w:rPr>
            </w:pPr>
            <w:r>
              <w:rPr>
                <w:rFonts w:hint="eastAsia"/>
                <w:color w:val="0000FF"/>
              </w:rPr>
              <w:t>其他</w:t>
            </w:r>
            <w:r>
              <w:rPr>
                <w:rFonts w:hint="eastAsia"/>
                <w:color w:val="0000FF"/>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预测范围</w:t>
            </w:r>
          </w:p>
        </w:tc>
        <w:tc>
          <w:tcPr>
            <w:tcW w:w="1745" w:type="dxa"/>
            <w:gridSpan w:val="5"/>
            <w:tcBorders>
              <w:tl2br w:val="nil"/>
              <w:tr2bl w:val="nil"/>
            </w:tcBorders>
            <w:noWrap w:val="0"/>
            <w:vAlign w:val="center"/>
          </w:tcPr>
          <w:p>
            <w:pPr>
              <w:pStyle w:val="22"/>
              <w:bidi w:val="0"/>
              <w:rPr>
                <w:rFonts w:hint="eastAsia"/>
                <w:color w:val="0000FF"/>
              </w:rPr>
            </w:pPr>
            <w:r>
              <w:rPr>
                <w:rFonts w:hint="eastAsia"/>
                <w:color w:val="0000FF"/>
              </w:rPr>
              <w:t>边长≥50km□</w:t>
            </w:r>
          </w:p>
        </w:tc>
        <w:tc>
          <w:tcPr>
            <w:tcW w:w="2750" w:type="dxa"/>
            <w:gridSpan w:val="12"/>
            <w:tcBorders>
              <w:tl2br w:val="nil"/>
              <w:tr2bl w:val="nil"/>
            </w:tcBorders>
            <w:noWrap w:val="0"/>
            <w:vAlign w:val="center"/>
          </w:tcPr>
          <w:p>
            <w:pPr>
              <w:pStyle w:val="22"/>
              <w:bidi w:val="0"/>
              <w:rPr>
                <w:rFonts w:hint="eastAsia"/>
                <w:color w:val="0000FF"/>
              </w:rPr>
            </w:pPr>
            <w:r>
              <w:rPr>
                <w:rFonts w:hint="eastAsia"/>
                <w:color w:val="0000FF"/>
              </w:rPr>
              <w:t>边长5～50km□</w:t>
            </w:r>
          </w:p>
        </w:tc>
        <w:tc>
          <w:tcPr>
            <w:tcW w:w="1527" w:type="dxa"/>
            <w:gridSpan w:val="5"/>
            <w:tcBorders>
              <w:tl2br w:val="nil"/>
              <w:tr2bl w:val="nil"/>
            </w:tcBorders>
            <w:noWrap w:val="0"/>
            <w:vAlign w:val="center"/>
          </w:tcPr>
          <w:p>
            <w:pPr>
              <w:pStyle w:val="22"/>
              <w:bidi w:val="0"/>
              <w:rPr>
                <w:rFonts w:hint="eastAsia"/>
                <w:color w:val="0000FF"/>
              </w:rPr>
            </w:pPr>
            <w:r>
              <w:rPr>
                <w:rFonts w:hint="eastAsia"/>
                <w:color w:val="0000FF"/>
              </w:rPr>
              <w:t>边长=5km</w:t>
            </w:r>
            <w:r>
              <w:rPr>
                <w:rFonts w:hint="eastAsia"/>
                <w:color w:val="0000FF"/>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预测因子</w:t>
            </w:r>
          </w:p>
        </w:tc>
        <w:tc>
          <w:tcPr>
            <w:tcW w:w="3333" w:type="dxa"/>
            <w:gridSpan w:val="12"/>
            <w:tcBorders>
              <w:tl2br w:val="nil"/>
              <w:tr2bl w:val="nil"/>
            </w:tcBorders>
            <w:noWrap w:val="0"/>
            <w:vAlign w:val="center"/>
          </w:tcPr>
          <w:p>
            <w:pPr>
              <w:pStyle w:val="22"/>
              <w:bidi w:val="0"/>
              <w:rPr>
                <w:rFonts w:hint="eastAsia"/>
                <w:color w:val="0000FF"/>
              </w:rPr>
            </w:pPr>
            <w:r>
              <w:rPr>
                <w:rFonts w:hint="eastAsia"/>
                <w:color w:val="0000FF"/>
              </w:rPr>
              <w:t>预测因子（</w:t>
            </w:r>
            <w:r>
              <w:rPr>
                <w:rFonts w:hint="eastAsia"/>
                <w:color w:val="0000FF"/>
                <w:lang w:val="en-US" w:eastAsia="zh-CN"/>
              </w:rPr>
              <w:t>NH</w:t>
            </w:r>
            <w:r>
              <w:rPr>
                <w:rFonts w:hint="eastAsia"/>
                <w:color w:val="0000FF"/>
                <w:vertAlign w:val="subscript"/>
                <w:lang w:val="en-US" w:eastAsia="zh-CN"/>
              </w:rPr>
              <w:t>3</w:t>
            </w:r>
            <w:r>
              <w:rPr>
                <w:rFonts w:hint="eastAsia"/>
                <w:color w:val="0000FF"/>
                <w:lang w:val="en-US" w:eastAsia="zh-CN"/>
              </w:rPr>
              <w:t>、H</w:t>
            </w:r>
            <w:r>
              <w:rPr>
                <w:rFonts w:hint="eastAsia"/>
                <w:color w:val="0000FF"/>
                <w:vertAlign w:val="subscript"/>
                <w:lang w:val="en-US" w:eastAsia="zh-CN"/>
              </w:rPr>
              <w:t>2</w:t>
            </w:r>
            <w:r>
              <w:rPr>
                <w:rFonts w:hint="eastAsia"/>
                <w:color w:val="0000FF"/>
                <w:lang w:val="en-US" w:eastAsia="zh-CN"/>
              </w:rPr>
              <w:t>S和非甲烷总烃</w:t>
            </w:r>
            <w:r>
              <w:rPr>
                <w:rFonts w:hint="eastAsia"/>
                <w:color w:val="0000FF"/>
              </w:rPr>
              <w:t>）</w:t>
            </w:r>
          </w:p>
        </w:tc>
        <w:tc>
          <w:tcPr>
            <w:tcW w:w="2689" w:type="dxa"/>
            <w:gridSpan w:val="10"/>
            <w:tcBorders>
              <w:tl2br w:val="nil"/>
              <w:tr2bl w:val="nil"/>
            </w:tcBorders>
            <w:noWrap w:val="0"/>
            <w:vAlign w:val="center"/>
          </w:tcPr>
          <w:p>
            <w:pPr>
              <w:pStyle w:val="22"/>
              <w:bidi w:val="0"/>
              <w:rPr>
                <w:rFonts w:hint="eastAsia"/>
                <w:color w:val="0000FF"/>
              </w:rPr>
            </w:pPr>
            <w:r>
              <w:rPr>
                <w:rFonts w:hint="eastAsia"/>
                <w:color w:val="0000FF"/>
              </w:rPr>
              <w:t>包括二次PM2.5□</w:t>
            </w:r>
          </w:p>
          <w:p>
            <w:pPr>
              <w:pStyle w:val="22"/>
              <w:bidi w:val="0"/>
              <w:rPr>
                <w:rFonts w:hint="eastAsia"/>
                <w:color w:val="0000FF"/>
              </w:rPr>
            </w:pPr>
            <w:r>
              <w:rPr>
                <w:rFonts w:hint="eastAsia"/>
                <w:color w:val="0000FF"/>
              </w:rPr>
              <w:t>不包括二次PM2.5</w:t>
            </w:r>
            <w:r>
              <w:rPr>
                <w:rFonts w:hint="eastAsia"/>
                <w:color w:val="0000FF"/>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正常排放短期浓度贡献值</w:t>
            </w:r>
          </w:p>
        </w:tc>
        <w:tc>
          <w:tcPr>
            <w:tcW w:w="3333" w:type="dxa"/>
            <w:gridSpan w:val="12"/>
            <w:tcBorders>
              <w:tl2br w:val="nil"/>
              <w:tr2bl w:val="nil"/>
            </w:tcBorders>
            <w:noWrap w:val="0"/>
            <w:vAlign w:val="center"/>
          </w:tcPr>
          <w:p>
            <w:pPr>
              <w:pStyle w:val="22"/>
              <w:bidi w:val="0"/>
              <w:rPr>
                <w:rFonts w:hint="eastAsia"/>
                <w:color w:val="0000FF"/>
              </w:rPr>
            </w:pPr>
            <w:r>
              <w:rPr>
                <w:rFonts w:hint="eastAsia"/>
                <w:color w:val="0000FF"/>
              </w:rPr>
              <w:t>C本项目最大占标率≤100%</w:t>
            </w:r>
            <w:r>
              <w:rPr>
                <w:rFonts w:hint="eastAsia"/>
                <w:color w:val="0000FF"/>
              </w:rPr>
              <w:sym w:font="Wingdings" w:char="00FE"/>
            </w:r>
          </w:p>
        </w:tc>
        <w:tc>
          <w:tcPr>
            <w:tcW w:w="2689" w:type="dxa"/>
            <w:gridSpan w:val="10"/>
            <w:tcBorders>
              <w:tl2br w:val="nil"/>
              <w:tr2bl w:val="nil"/>
            </w:tcBorders>
            <w:noWrap w:val="0"/>
            <w:vAlign w:val="center"/>
          </w:tcPr>
          <w:p>
            <w:pPr>
              <w:pStyle w:val="22"/>
              <w:bidi w:val="0"/>
              <w:rPr>
                <w:rFonts w:hint="eastAsia"/>
                <w:color w:val="0000FF"/>
              </w:rPr>
            </w:pPr>
            <w:r>
              <w:rPr>
                <w:rFonts w:hint="eastAsia"/>
                <w:color w:val="0000FF"/>
              </w:rPr>
              <w:t>C本项目最大占标率＞100%□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vMerge w:val="restart"/>
            <w:tcBorders>
              <w:tl2br w:val="nil"/>
              <w:tr2bl w:val="nil"/>
            </w:tcBorders>
            <w:noWrap w:val="0"/>
            <w:vAlign w:val="center"/>
          </w:tcPr>
          <w:p>
            <w:pPr>
              <w:pStyle w:val="22"/>
              <w:bidi w:val="0"/>
              <w:rPr>
                <w:rFonts w:hint="eastAsia"/>
                <w:color w:val="0000FF"/>
              </w:rPr>
            </w:pPr>
            <w:r>
              <w:rPr>
                <w:rFonts w:hint="eastAsia"/>
                <w:color w:val="0000FF"/>
              </w:rPr>
              <w:t>正常排放</w:t>
            </w:r>
          </w:p>
          <w:p>
            <w:pPr>
              <w:pStyle w:val="22"/>
              <w:bidi w:val="0"/>
              <w:rPr>
                <w:rFonts w:hint="eastAsia"/>
                <w:color w:val="0000FF"/>
              </w:rPr>
            </w:pPr>
            <w:r>
              <w:rPr>
                <w:rFonts w:hint="eastAsia"/>
                <w:color w:val="0000FF"/>
              </w:rPr>
              <w:t>年均浓度贡献值</w:t>
            </w:r>
          </w:p>
        </w:tc>
        <w:tc>
          <w:tcPr>
            <w:tcW w:w="920" w:type="dxa"/>
            <w:tcBorders>
              <w:tl2br w:val="nil"/>
              <w:tr2bl w:val="nil"/>
            </w:tcBorders>
            <w:noWrap w:val="0"/>
            <w:vAlign w:val="center"/>
          </w:tcPr>
          <w:p>
            <w:pPr>
              <w:pStyle w:val="22"/>
              <w:bidi w:val="0"/>
              <w:rPr>
                <w:rFonts w:hint="eastAsia"/>
                <w:color w:val="0000FF"/>
              </w:rPr>
            </w:pPr>
            <w:r>
              <w:rPr>
                <w:rFonts w:hint="eastAsia"/>
                <w:color w:val="0000FF"/>
              </w:rPr>
              <w:t>一类区</w:t>
            </w:r>
          </w:p>
        </w:tc>
        <w:tc>
          <w:tcPr>
            <w:tcW w:w="2413" w:type="dxa"/>
            <w:gridSpan w:val="11"/>
            <w:tcBorders>
              <w:tl2br w:val="nil"/>
              <w:tr2bl w:val="nil"/>
            </w:tcBorders>
            <w:noWrap w:val="0"/>
            <w:vAlign w:val="center"/>
          </w:tcPr>
          <w:p>
            <w:pPr>
              <w:pStyle w:val="22"/>
              <w:bidi w:val="0"/>
              <w:rPr>
                <w:rFonts w:hint="eastAsia"/>
                <w:color w:val="0000FF"/>
              </w:rPr>
            </w:pPr>
            <w:r>
              <w:rPr>
                <w:rFonts w:hint="eastAsia"/>
                <w:color w:val="0000FF"/>
              </w:rPr>
              <w:t>C本项目最大占标率≤10%□</w:t>
            </w:r>
          </w:p>
        </w:tc>
        <w:tc>
          <w:tcPr>
            <w:tcW w:w="2689" w:type="dxa"/>
            <w:gridSpan w:val="10"/>
            <w:tcBorders>
              <w:tl2br w:val="nil"/>
              <w:tr2bl w:val="nil"/>
            </w:tcBorders>
            <w:noWrap w:val="0"/>
            <w:vAlign w:val="center"/>
          </w:tcPr>
          <w:p>
            <w:pPr>
              <w:pStyle w:val="22"/>
              <w:bidi w:val="0"/>
              <w:rPr>
                <w:rFonts w:hint="eastAsia"/>
                <w:color w:val="0000FF"/>
              </w:rPr>
            </w:pPr>
            <w:r>
              <w:rPr>
                <w:rFonts w:hint="eastAsia"/>
                <w:color w:val="0000FF"/>
              </w:rPr>
              <w:t>C本项目最大标率＞10%□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vMerge w:val="continue"/>
            <w:tcBorders>
              <w:tl2br w:val="nil"/>
              <w:tr2bl w:val="nil"/>
            </w:tcBorders>
            <w:noWrap w:val="0"/>
            <w:vAlign w:val="center"/>
          </w:tcPr>
          <w:p>
            <w:pPr>
              <w:pStyle w:val="22"/>
              <w:bidi w:val="0"/>
              <w:rPr>
                <w:rFonts w:hint="eastAsia"/>
                <w:color w:val="0000FF"/>
              </w:rPr>
            </w:pPr>
          </w:p>
        </w:tc>
        <w:tc>
          <w:tcPr>
            <w:tcW w:w="920" w:type="dxa"/>
            <w:tcBorders>
              <w:tl2br w:val="nil"/>
              <w:tr2bl w:val="nil"/>
            </w:tcBorders>
            <w:noWrap w:val="0"/>
            <w:vAlign w:val="center"/>
          </w:tcPr>
          <w:p>
            <w:pPr>
              <w:pStyle w:val="22"/>
              <w:bidi w:val="0"/>
              <w:rPr>
                <w:rFonts w:hint="eastAsia"/>
                <w:color w:val="0000FF"/>
              </w:rPr>
            </w:pPr>
            <w:r>
              <w:rPr>
                <w:rFonts w:hint="eastAsia"/>
                <w:color w:val="0000FF"/>
              </w:rPr>
              <w:t>二类区</w:t>
            </w:r>
          </w:p>
        </w:tc>
        <w:tc>
          <w:tcPr>
            <w:tcW w:w="2413" w:type="dxa"/>
            <w:gridSpan w:val="11"/>
            <w:tcBorders>
              <w:tl2br w:val="nil"/>
              <w:tr2bl w:val="nil"/>
            </w:tcBorders>
            <w:noWrap w:val="0"/>
            <w:vAlign w:val="center"/>
          </w:tcPr>
          <w:p>
            <w:pPr>
              <w:pStyle w:val="22"/>
              <w:bidi w:val="0"/>
              <w:rPr>
                <w:rFonts w:hint="eastAsia"/>
                <w:color w:val="0000FF"/>
              </w:rPr>
            </w:pPr>
            <w:r>
              <w:rPr>
                <w:rFonts w:hint="eastAsia"/>
                <w:color w:val="0000FF"/>
              </w:rPr>
              <w:t>C本项目最大占标率≤30%</w:t>
            </w:r>
            <w:r>
              <w:rPr>
                <w:rFonts w:hint="eastAsia"/>
                <w:color w:val="0000FF"/>
              </w:rPr>
              <w:sym w:font="Wingdings" w:char="00A8"/>
            </w:r>
          </w:p>
        </w:tc>
        <w:tc>
          <w:tcPr>
            <w:tcW w:w="2689" w:type="dxa"/>
            <w:gridSpan w:val="10"/>
            <w:tcBorders>
              <w:tl2br w:val="nil"/>
              <w:tr2bl w:val="nil"/>
            </w:tcBorders>
            <w:noWrap w:val="0"/>
            <w:vAlign w:val="center"/>
          </w:tcPr>
          <w:p>
            <w:pPr>
              <w:pStyle w:val="22"/>
              <w:bidi w:val="0"/>
              <w:rPr>
                <w:rFonts w:hint="eastAsia"/>
                <w:color w:val="0000FF"/>
              </w:rPr>
            </w:pPr>
            <w:r>
              <w:rPr>
                <w:rFonts w:hint="eastAsia"/>
                <w:color w:val="0000FF"/>
              </w:rPr>
              <w:t>C本项目最大标率＞30%□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非正常排放</w:t>
            </w:r>
          </w:p>
          <w:p>
            <w:pPr>
              <w:pStyle w:val="22"/>
              <w:bidi w:val="0"/>
              <w:rPr>
                <w:rFonts w:hint="eastAsia"/>
                <w:color w:val="0000FF"/>
              </w:rPr>
            </w:pPr>
            <w:r>
              <w:rPr>
                <w:rFonts w:hint="eastAsia"/>
                <w:color w:val="0000FF"/>
              </w:rPr>
              <w:t>1h浓度贡献值</w:t>
            </w:r>
          </w:p>
        </w:tc>
        <w:tc>
          <w:tcPr>
            <w:tcW w:w="1383" w:type="dxa"/>
            <w:gridSpan w:val="3"/>
            <w:tcBorders>
              <w:tl2br w:val="nil"/>
              <w:tr2bl w:val="nil"/>
            </w:tcBorders>
            <w:noWrap w:val="0"/>
            <w:vAlign w:val="center"/>
          </w:tcPr>
          <w:p>
            <w:pPr>
              <w:pStyle w:val="22"/>
              <w:bidi w:val="0"/>
              <w:rPr>
                <w:rFonts w:hint="eastAsia"/>
                <w:color w:val="0000FF"/>
              </w:rPr>
            </w:pPr>
            <w:r>
              <w:rPr>
                <w:rFonts w:hint="eastAsia"/>
                <w:color w:val="0000FF"/>
              </w:rPr>
              <w:t>非正常持续时长（2）h</w:t>
            </w:r>
          </w:p>
        </w:tc>
        <w:tc>
          <w:tcPr>
            <w:tcW w:w="2513" w:type="dxa"/>
            <w:gridSpan w:val="11"/>
            <w:tcBorders>
              <w:tl2br w:val="nil"/>
              <w:tr2bl w:val="nil"/>
            </w:tcBorders>
            <w:noWrap w:val="0"/>
            <w:vAlign w:val="center"/>
          </w:tcPr>
          <w:p>
            <w:pPr>
              <w:pStyle w:val="22"/>
              <w:bidi w:val="0"/>
              <w:rPr>
                <w:rFonts w:hint="eastAsia"/>
                <w:color w:val="0000FF"/>
              </w:rPr>
            </w:pPr>
            <w:r>
              <w:rPr>
                <w:rFonts w:hint="eastAsia"/>
                <w:color w:val="0000FF"/>
              </w:rPr>
              <w:t>C非正常占标率≤100%</w:t>
            </w:r>
            <w:r>
              <w:rPr>
                <w:rFonts w:hint="eastAsia"/>
                <w:color w:val="0000FF"/>
              </w:rPr>
              <w:sym w:font="Wingdings" w:char="00A8"/>
            </w:r>
          </w:p>
        </w:tc>
        <w:tc>
          <w:tcPr>
            <w:tcW w:w="2126" w:type="dxa"/>
            <w:gridSpan w:val="8"/>
            <w:tcBorders>
              <w:tl2br w:val="nil"/>
              <w:tr2bl w:val="nil"/>
            </w:tcBorders>
            <w:noWrap w:val="0"/>
            <w:vAlign w:val="center"/>
          </w:tcPr>
          <w:p>
            <w:pPr>
              <w:pStyle w:val="22"/>
              <w:bidi w:val="0"/>
              <w:rPr>
                <w:rFonts w:hint="eastAsia"/>
                <w:color w:val="0000FF"/>
              </w:rPr>
            </w:pPr>
            <w:r>
              <w:rPr>
                <w:rFonts w:hint="eastAsia"/>
                <w:color w:val="0000FF"/>
              </w:rPr>
              <w:t>占标率＞100%□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保证率日平均浓度和年平均浓度叠加值</w:t>
            </w:r>
          </w:p>
        </w:tc>
        <w:tc>
          <w:tcPr>
            <w:tcW w:w="2848" w:type="dxa"/>
            <w:gridSpan w:val="11"/>
            <w:tcBorders>
              <w:tl2br w:val="nil"/>
              <w:tr2bl w:val="nil"/>
            </w:tcBorders>
            <w:noWrap w:val="0"/>
            <w:vAlign w:val="center"/>
          </w:tcPr>
          <w:p>
            <w:pPr>
              <w:pStyle w:val="22"/>
              <w:bidi w:val="0"/>
              <w:rPr>
                <w:rFonts w:hint="eastAsia"/>
                <w:color w:val="0000FF"/>
              </w:rPr>
            </w:pPr>
            <w:r>
              <w:rPr>
                <w:rFonts w:hint="eastAsia"/>
                <w:color w:val="0000FF"/>
              </w:rPr>
              <w:t>C叠加达标□</w:t>
            </w:r>
          </w:p>
        </w:tc>
        <w:tc>
          <w:tcPr>
            <w:tcW w:w="3174" w:type="dxa"/>
            <w:gridSpan w:val="11"/>
            <w:tcBorders>
              <w:tl2br w:val="nil"/>
              <w:tr2bl w:val="nil"/>
            </w:tcBorders>
            <w:noWrap w:val="0"/>
            <w:vAlign w:val="center"/>
          </w:tcPr>
          <w:p>
            <w:pPr>
              <w:pStyle w:val="22"/>
              <w:bidi w:val="0"/>
              <w:rPr>
                <w:rFonts w:hint="eastAsia"/>
                <w:color w:val="0000FF"/>
              </w:rPr>
            </w:pPr>
            <w:r>
              <w:rPr>
                <w:rFonts w:hint="eastAsia"/>
                <w:color w:val="0000FF"/>
              </w:rPr>
              <w:t>C叠加不达标□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区域环境质量</w:t>
            </w:r>
          </w:p>
          <w:p>
            <w:pPr>
              <w:pStyle w:val="22"/>
              <w:bidi w:val="0"/>
              <w:rPr>
                <w:rFonts w:hint="eastAsia"/>
                <w:color w:val="0000FF"/>
              </w:rPr>
            </w:pPr>
            <w:r>
              <w:rPr>
                <w:rFonts w:hint="eastAsia"/>
                <w:color w:val="0000FF"/>
              </w:rPr>
              <w:t>的整体变化情况</w:t>
            </w:r>
          </w:p>
        </w:tc>
        <w:tc>
          <w:tcPr>
            <w:tcW w:w="2848" w:type="dxa"/>
            <w:gridSpan w:val="11"/>
            <w:tcBorders>
              <w:tl2br w:val="nil"/>
              <w:tr2bl w:val="nil"/>
            </w:tcBorders>
            <w:noWrap w:val="0"/>
            <w:vAlign w:val="center"/>
          </w:tcPr>
          <w:p>
            <w:pPr>
              <w:pStyle w:val="22"/>
              <w:bidi w:val="0"/>
              <w:rPr>
                <w:rFonts w:hint="eastAsia"/>
                <w:color w:val="0000FF"/>
              </w:rPr>
            </w:pPr>
            <w:r>
              <w:rPr>
                <w:rFonts w:hint="eastAsia"/>
                <w:color w:val="0000FF"/>
              </w:rPr>
              <w:t>k≤-20%</w:t>
            </w:r>
            <w:r>
              <w:rPr>
                <w:rFonts w:hint="eastAsia"/>
                <w:color w:val="0000FF"/>
              </w:rPr>
              <w:sym w:font="Wingdings" w:char="00A8"/>
            </w:r>
          </w:p>
        </w:tc>
        <w:tc>
          <w:tcPr>
            <w:tcW w:w="3174" w:type="dxa"/>
            <w:gridSpan w:val="11"/>
            <w:tcBorders>
              <w:tl2br w:val="nil"/>
              <w:tr2bl w:val="nil"/>
            </w:tcBorders>
            <w:noWrap w:val="0"/>
            <w:vAlign w:val="center"/>
          </w:tcPr>
          <w:p>
            <w:pPr>
              <w:pStyle w:val="22"/>
              <w:bidi w:val="0"/>
              <w:rPr>
                <w:rFonts w:hint="eastAsia"/>
                <w:color w:val="0000FF"/>
              </w:rPr>
            </w:pPr>
            <w:r>
              <w:rPr>
                <w:rFonts w:hint="eastAsia"/>
                <w:color w:val="0000FF"/>
              </w:rPr>
              <w:t>k＞-20%□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924" w:type="dxa"/>
            <w:vMerge w:val="restart"/>
            <w:tcBorders>
              <w:tl2br w:val="nil"/>
              <w:tr2bl w:val="nil"/>
            </w:tcBorders>
            <w:noWrap w:val="0"/>
            <w:vAlign w:val="center"/>
          </w:tcPr>
          <w:p>
            <w:pPr>
              <w:pStyle w:val="22"/>
              <w:bidi w:val="0"/>
              <w:rPr>
                <w:rFonts w:hint="eastAsia"/>
                <w:color w:val="0000FF"/>
              </w:rPr>
            </w:pPr>
            <w:r>
              <w:rPr>
                <w:rFonts w:hint="eastAsia"/>
                <w:color w:val="0000FF"/>
              </w:rPr>
              <w:t>环境监测计划</w:t>
            </w:r>
          </w:p>
        </w:tc>
        <w:tc>
          <w:tcPr>
            <w:tcW w:w="1593" w:type="dxa"/>
            <w:tcBorders>
              <w:tl2br w:val="nil"/>
              <w:tr2bl w:val="nil"/>
            </w:tcBorders>
            <w:noWrap w:val="0"/>
            <w:vAlign w:val="center"/>
          </w:tcPr>
          <w:p>
            <w:pPr>
              <w:pStyle w:val="22"/>
              <w:bidi w:val="0"/>
              <w:rPr>
                <w:rFonts w:hint="eastAsia"/>
                <w:color w:val="0000FF"/>
              </w:rPr>
            </w:pPr>
            <w:r>
              <w:rPr>
                <w:rFonts w:hint="eastAsia"/>
                <w:color w:val="0000FF"/>
              </w:rPr>
              <w:t>污染源监测</w:t>
            </w:r>
          </w:p>
        </w:tc>
        <w:tc>
          <w:tcPr>
            <w:tcW w:w="2638" w:type="dxa"/>
            <w:gridSpan w:val="9"/>
            <w:tcBorders>
              <w:tl2br w:val="nil"/>
              <w:tr2bl w:val="nil"/>
            </w:tcBorders>
            <w:noWrap w:val="0"/>
            <w:vAlign w:val="center"/>
          </w:tcPr>
          <w:p>
            <w:pPr>
              <w:pStyle w:val="22"/>
              <w:bidi w:val="0"/>
              <w:rPr>
                <w:rFonts w:hint="eastAsia"/>
                <w:color w:val="0000FF"/>
              </w:rPr>
            </w:pPr>
            <w:r>
              <w:rPr>
                <w:rFonts w:hint="eastAsia"/>
                <w:color w:val="0000FF"/>
              </w:rPr>
              <w:t>监测因子：（</w:t>
            </w:r>
            <w:r>
              <w:rPr>
                <w:color w:val="0000FF"/>
              </w:rPr>
              <w:t>NH</w:t>
            </w:r>
            <w:r>
              <w:rPr>
                <w:color w:val="0000FF"/>
                <w:vertAlign w:val="subscript"/>
              </w:rPr>
              <w:t>3</w:t>
            </w:r>
            <w:r>
              <w:rPr>
                <w:rFonts w:hint="eastAsia"/>
                <w:color w:val="0000FF"/>
                <w:lang w:eastAsia="zh-CN"/>
              </w:rPr>
              <w:t>、</w:t>
            </w:r>
            <w:r>
              <w:rPr>
                <w:color w:val="0000FF"/>
              </w:rPr>
              <w:t>H</w:t>
            </w:r>
            <w:r>
              <w:rPr>
                <w:color w:val="0000FF"/>
                <w:vertAlign w:val="subscript"/>
              </w:rPr>
              <w:t>2</w:t>
            </w:r>
            <w:r>
              <w:rPr>
                <w:color w:val="0000FF"/>
              </w:rPr>
              <w:t>S</w:t>
            </w:r>
            <w:r>
              <w:rPr>
                <w:rFonts w:hint="eastAsia"/>
                <w:color w:val="0000FF"/>
                <w:lang w:eastAsia="zh-CN"/>
              </w:rPr>
              <w:t>、</w:t>
            </w:r>
            <w:r>
              <w:rPr>
                <w:rFonts w:hint="eastAsia"/>
                <w:color w:val="0000FF"/>
                <w:lang w:val="en-US" w:eastAsia="zh-CN"/>
              </w:rPr>
              <w:t>臭气浓度及非甲烷总烃</w:t>
            </w:r>
            <w:r>
              <w:rPr>
                <w:rFonts w:hint="eastAsia"/>
                <w:color w:val="0000FF"/>
              </w:rPr>
              <w:t>）</w:t>
            </w:r>
          </w:p>
        </w:tc>
        <w:tc>
          <w:tcPr>
            <w:tcW w:w="2241" w:type="dxa"/>
            <w:gridSpan w:val="10"/>
            <w:tcBorders>
              <w:tl2br w:val="nil"/>
              <w:tr2bl w:val="nil"/>
            </w:tcBorders>
            <w:noWrap w:val="0"/>
            <w:vAlign w:val="center"/>
          </w:tcPr>
          <w:p>
            <w:pPr>
              <w:pStyle w:val="22"/>
              <w:bidi w:val="0"/>
              <w:rPr>
                <w:rFonts w:hint="eastAsia"/>
                <w:color w:val="0000FF"/>
                <w:lang w:eastAsia="zh-CN"/>
              </w:rPr>
            </w:pPr>
            <w:r>
              <w:rPr>
                <w:rFonts w:hint="eastAsia"/>
                <w:color w:val="0000FF"/>
              </w:rPr>
              <w:t>有组织废气监测</w:t>
            </w:r>
            <w:r>
              <w:rPr>
                <w:rFonts w:hint="eastAsia"/>
                <w:color w:val="0000FF"/>
                <w:lang w:eastAsia="zh-CN"/>
              </w:rPr>
              <w:t>☑</w:t>
            </w:r>
          </w:p>
          <w:p>
            <w:pPr>
              <w:pStyle w:val="22"/>
              <w:bidi w:val="0"/>
              <w:rPr>
                <w:rFonts w:hint="eastAsia"/>
                <w:color w:val="0000FF"/>
                <w:lang w:eastAsia="zh-CN"/>
              </w:rPr>
            </w:pPr>
            <w:r>
              <w:rPr>
                <w:rFonts w:hint="eastAsia"/>
                <w:color w:val="0000FF"/>
              </w:rPr>
              <w:t>无组织废气监测</w:t>
            </w:r>
            <w:r>
              <w:rPr>
                <w:rFonts w:hint="eastAsia"/>
                <w:color w:val="0000FF"/>
                <w:lang w:eastAsia="zh-CN"/>
              </w:rPr>
              <w:t>☑</w:t>
            </w:r>
          </w:p>
        </w:tc>
        <w:tc>
          <w:tcPr>
            <w:tcW w:w="1143" w:type="dxa"/>
            <w:gridSpan w:val="3"/>
            <w:tcBorders>
              <w:tl2br w:val="nil"/>
              <w:tr2bl w:val="nil"/>
            </w:tcBorders>
            <w:noWrap w:val="0"/>
            <w:vAlign w:val="center"/>
          </w:tcPr>
          <w:p>
            <w:pPr>
              <w:pStyle w:val="22"/>
              <w:bidi w:val="0"/>
              <w:rPr>
                <w:rFonts w:hint="eastAsia"/>
                <w:color w:val="0000FF"/>
              </w:rPr>
            </w:pPr>
            <w:r>
              <w:rPr>
                <w:rFonts w:hint="eastAsia"/>
                <w:color w:val="0000FF"/>
              </w:rPr>
              <w:t>无监测</w:t>
            </w:r>
            <w:r>
              <w:rPr>
                <w:rFonts w:hint="eastAsia"/>
                <w:color w:val="0000FF"/>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环境质量监测</w:t>
            </w:r>
          </w:p>
        </w:tc>
        <w:tc>
          <w:tcPr>
            <w:tcW w:w="2638" w:type="dxa"/>
            <w:gridSpan w:val="9"/>
            <w:tcBorders>
              <w:tl2br w:val="nil"/>
              <w:tr2bl w:val="nil"/>
            </w:tcBorders>
            <w:noWrap w:val="0"/>
            <w:vAlign w:val="center"/>
          </w:tcPr>
          <w:p>
            <w:pPr>
              <w:pStyle w:val="22"/>
              <w:bidi w:val="0"/>
              <w:rPr>
                <w:rFonts w:hint="eastAsia"/>
                <w:color w:val="0000FF"/>
              </w:rPr>
            </w:pPr>
            <w:r>
              <w:rPr>
                <w:rFonts w:hint="eastAsia"/>
                <w:color w:val="0000FF"/>
              </w:rPr>
              <w:t>监测因子：（）</w:t>
            </w:r>
          </w:p>
        </w:tc>
        <w:tc>
          <w:tcPr>
            <w:tcW w:w="2241" w:type="dxa"/>
            <w:gridSpan w:val="10"/>
            <w:tcBorders>
              <w:tl2br w:val="nil"/>
              <w:tr2bl w:val="nil"/>
            </w:tcBorders>
            <w:noWrap w:val="0"/>
            <w:vAlign w:val="center"/>
          </w:tcPr>
          <w:p>
            <w:pPr>
              <w:pStyle w:val="22"/>
              <w:bidi w:val="0"/>
              <w:rPr>
                <w:rFonts w:hint="eastAsia"/>
                <w:color w:val="0000FF"/>
              </w:rPr>
            </w:pPr>
            <w:r>
              <w:rPr>
                <w:rFonts w:hint="eastAsia"/>
                <w:color w:val="0000FF"/>
              </w:rPr>
              <w:t>监测点位数（）</w:t>
            </w:r>
          </w:p>
        </w:tc>
        <w:tc>
          <w:tcPr>
            <w:tcW w:w="1143" w:type="dxa"/>
            <w:gridSpan w:val="3"/>
            <w:tcBorders>
              <w:tl2br w:val="nil"/>
              <w:tr2bl w:val="nil"/>
            </w:tcBorders>
            <w:noWrap w:val="0"/>
            <w:vAlign w:val="center"/>
          </w:tcPr>
          <w:p>
            <w:pPr>
              <w:pStyle w:val="22"/>
              <w:bidi w:val="0"/>
              <w:rPr>
                <w:rFonts w:hint="eastAsia"/>
                <w:color w:val="0000FF"/>
                <w:lang w:eastAsia="zh-CN"/>
              </w:rPr>
            </w:pPr>
            <w:r>
              <w:rPr>
                <w:rFonts w:hint="eastAsia"/>
                <w:color w:val="0000FF"/>
              </w:rPr>
              <w:t>无监测</w:t>
            </w:r>
            <w:r>
              <w:rPr>
                <w:rFonts w:hint="eastAsia"/>
                <w:color w:val="0000FF"/>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924" w:type="dxa"/>
            <w:vMerge w:val="restart"/>
            <w:tcBorders>
              <w:tl2br w:val="nil"/>
              <w:tr2bl w:val="nil"/>
            </w:tcBorders>
            <w:noWrap w:val="0"/>
            <w:vAlign w:val="center"/>
          </w:tcPr>
          <w:p>
            <w:pPr>
              <w:pStyle w:val="22"/>
              <w:bidi w:val="0"/>
              <w:rPr>
                <w:rFonts w:hint="eastAsia"/>
                <w:color w:val="0000FF"/>
              </w:rPr>
            </w:pPr>
            <w:r>
              <w:rPr>
                <w:rFonts w:hint="eastAsia"/>
                <w:color w:val="0000FF"/>
              </w:rPr>
              <w:t>评价结论</w:t>
            </w:r>
          </w:p>
        </w:tc>
        <w:tc>
          <w:tcPr>
            <w:tcW w:w="1593" w:type="dxa"/>
            <w:tcBorders>
              <w:tl2br w:val="nil"/>
              <w:tr2bl w:val="nil"/>
            </w:tcBorders>
            <w:noWrap w:val="0"/>
            <w:vAlign w:val="center"/>
          </w:tcPr>
          <w:p>
            <w:pPr>
              <w:pStyle w:val="22"/>
              <w:bidi w:val="0"/>
              <w:rPr>
                <w:rFonts w:hint="eastAsia"/>
                <w:color w:val="0000FF"/>
              </w:rPr>
            </w:pPr>
            <w:r>
              <w:rPr>
                <w:rFonts w:hint="eastAsia"/>
                <w:color w:val="0000FF"/>
              </w:rPr>
              <w:t>环境影响</w:t>
            </w:r>
          </w:p>
        </w:tc>
        <w:tc>
          <w:tcPr>
            <w:tcW w:w="6022" w:type="dxa"/>
            <w:gridSpan w:val="22"/>
            <w:tcBorders>
              <w:tl2br w:val="nil"/>
              <w:tr2bl w:val="nil"/>
            </w:tcBorders>
            <w:noWrap w:val="0"/>
            <w:vAlign w:val="center"/>
          </w:tcPr>
          <w:p>
            <w:pPr>
              <w:pStyle w:val="22"/>
              <w:bidi w:val="0"/>
              <w:rPr>
                <w:rFonts w:hint="eastAsia"/>
                <w:color w:val="0000FF"/>
              </w:rPr>
            </w:pPr>
            <w:r>
              <w:rPr>
                <w:rFonts w:hint="eastAsia"/>
                <w:color w:val="0000FF"/>
              </w:rPr>
              <w:t>可以接受</w:t>
            </w:r>
            <w:r>
              <w:rPr>
                <w:rFonts w:hint="eastAsia"/>
                <w:color w:val="0000FF"/>
              </w:rPr>
              <w:sym w:font="Wingdings" w:char="00FE"/>
            </w:r>
            <w:r>
              <w:rPr>
                <w:rFonts w:hint="eastAsia"/>
                <w:color w:val="0000FF"/>
              </w:rPr>
              <w:t>不可以接受□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大气环境防护距离</w:t>
            </w:r>
          </w:p>
        </w:tc>
        <w:tc>
          <w:tcPr>
            <w:tcW w:w="6022" w:type="dxa"/>
            <w:gridSpan w:val="22"/>
            <w:tcBorders>
              <w:tl2br w:val="nil"/>
              <w:tr2bl w:val="nil"/>
            </w:tcBorders>
            <w:noWrap w:val="0"/>
            <w:vAlign w:val="center"/>
          </w:tcPr>
          <w:p>
            <w:pPr>
              <w:pStyle w:val="22"/>
              <w:bidi w:val="0"/>
              <w:rPr>
                <w:rFonts w:hint="eastAsia"/>
                <w:color w:val="0000FF"/>
              </w:rPr>
            </w:pPr>
            <w:r>
              <w:rPr>
                <w:rFonts w:hint="eastAsia"/>
                <w:color w:val="0000FF"/>
              </w:rPr>
              <w:t>距（</w:t>
            </w:r>
            <w:r>
              <w:rPr>
                <w:rFonts w:hint="eastAsia"/>
                <w:color w:val="0000FF"/>
                <w:lang w:val="en-US" w:eastAsia="zh-CN"/>
              </w:rPr>
              <w:t>/</w:t>
            </w:r>
            <w:r>
              <w:rPr>
                <w:rFonts w:hint="eastAsia"/>
                <w:color w:val="0000FF"/>
              </w:rPr>
              <w:t>）厂界最远（</w:t>
            </w:r>
            <w:r>
              <w:rPr>
                <w:rFonts w:hint="eastAsia"/>
                <w:color w:val="0000FF"/>
                <w:lang w:val="en-US" w:eastAsia="zh-CN"/>
              </w:rPr>
              <w:t>/</w:t>
            </w:r>
            <w:r>
              <w:rPr>
                <w:rFonts w:hint="eastAsia"/>
                <w:color w:val="0000FF"/>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924" w:type="dxa"/>
            <w:vMerge w:val="continue"/>
            <w:tcBorders>
              <w:tl2br w:val="nil"/>
              <w:tr2bl w:val="nil"/>
            </w:tcBorders>
            <w:noWrap w:val="0"/>
            <w:vAlign w:val="center"/>
          </w:tcPr>
          <w:p>
            <w:pPr>
              <w:pStyle w:val="22"/>
              <w:bidi w:val="0"/>
              <w:rPr>
                <w:rFonts w:hint="eastAsia"/>
                <w:color w:val="0000FF"/>
              </w:rPr>
            </w:pPr>
          </w:p>
        </w:tc>
        <w:tc>
          <w:tcPr>
            <w:tcW w:w="1593" w:type="dxa"/>
            <w:tcBorders>
              <w:tl2br w:val="nil"/>
              <w:tr2bl w:val="nil"/>
            </w:tcBorders>
            <w:noWrap w:val="0"/>
            <w:vAlign w:val="center"/>
          </w:tcPr>
          <w:p>
            <w:pPr>
              <w:pStyle w:val="22"/>
              <w:bidi w:val="0"/>
              <w:rPr>
                <w:rFonts w:hint="eastAsia"/>
                <w:color w:val="0000FF"/>
              </w:rPr>
            </w:pPr>
            <w:r>
              <w:rPr>
                <w:rFonts w:hint="eastAsia"/>
                <w:color w:val="0000FF"/>
              </w:rPr>
              <w:t>污染源年排放量</w:t>
            </w:r>
          </w:p>
        </w:tc>
        <w:tc>
          <w:tcPr>
            <w:tcW w:w="1513" w:type="dxa"/>
            <w:gridSpan w:val="4"/>
            <w:tcBorders>
              <w:tl2br w:val="nil"/>
              <w:tr2bl w:val="nil"/>
            </w:tcBorders>
            <w:noWrap w:val="0"/>
            <w:vAlign w:val="center"/>
          </w:tcPr>
          <w:p>
            <w:pPr>
              <w:pStyle w:val="22"/>
              <w:bidi w:val="0"/>
              <w:rPr>
                <w:rFonts w:hint="eastAsia"/>
                <w:color w:val="0000FF"/>
              </w:rPr>
            </w:pPr>
            <w:r>
              <w:rPr>
                <w:rFonts w:hint="eastAsia"/>
                <w:color w:val="0000FF"/>
              </w:rPr>
              <w:t>SO</w:t>
            </w:r>
            <w:r>
              <w:rPr>
                <w:rFonts w:hint="eastAsia"/>
                <w:color w:val="0000FF"/>
                <w:vertAlign w:val="subscript"/>
              </w:rPr>
              <w:t>2</w:t>
            </w:r>
            <w:r>
              <w:rPr>
                <w:rFonts w:hint="eastAsia"/>
                <w:color w:val="0000FF"/>
              </w:rPr>
              <w:t>:（）t/a</w:t>
            </w:r>
          </w:p>
        </w:tc>
        <w:tc>
          <w:tcPr>
            <w:tcW w:w="1233" w:type="dxa"/>
            <w:gridSpan w:val="6"/>
            <w:tcBorders>
              <w:tl2br w:val="nil"/>
              <w:tr2bl w:val="nil"/>
            </w:tcBorders>
            <w:noWrap w:val="0"/>
            <w:vAlign w:val="center"/>
          </w:tcPr>
          <w:p>
            <w:pPr>
              <w:pStyle w:val="22"/>
              <w:bidi w:val="0"/>
              <w:rPr>
                <w:rFonts w:hint="eastAsia"/>
                <w:color w:val="0000FF"/>
              </w:rPr>
            </w:pPr>
            <w:r>
              <w:rPr>
                <w:rFonts w:hint="eastAsia"/>
                <w:color w:val="0000FF"/>
              </w:rPr>
              <w:t>NOx:（）t/a</w:t>
            </w:r>
          </w:p>
        </w:tc>
        <w:tc>
          <w:tcPr>
            <w:tcW w:w="1257" w:type="dxa"/>
            <w:gridSpan w:val="5"/>
            <w:tcBorders>
              <w:tl2br w:val="nil"/>
              <w:tr2bl w:val="nil"/>
            </w:tcBorders>
            <w:noWrap w:val="0"/>
            <w:vAlign w:val="center"/>
          </w:tcPr>
          <w:p>
            <w:pPr>
              <w:pStyle w:val="22"/>
              <w:bidi w:val="0"/>
              <w:rPr>
                <w:rFonts w:hint="eastAsia"/>
                <w:color w:val="0000FF"/>
              </w:rPr>
            </w:pPr>
            <w:r>
              <w:rPr>
                <w:rFonts w:hint="eastAsia"/>
                <w:color w:val="0000FF"/>
              </w:rPr>
              <w:t>颗粒物</w:t>
            </w:r>
            <w:r>
              <w:rPr>
                <w:rFonts w:hint="eastAsia"/>
                <w:color w:val="0000FF"/>
                <w:lang w:eastAsia="zh-CN"/>
              </w:rPr>
              <w:t>：</w:t>
            </w:r>
            <w:r>
              <w:rPr>
                <w:rFonts w:hint="eastAsia"/>
                <w:color w:val="0000FF"/>
              </w:rPr>
              <w:t>（）t/a</w:t>
            </w:r>
          </w:p>
        </w:tc>
        <w:tc>
          <w:tcPr>
            <w:tcW w:w="2019" w:type="dxa"/>
            <w:gridSpan w:val="7"/>
            <w:tcBorders>
              <w:tl2br w:val="nil"/>
              <w:tr2bl w:val="nil"/>
            </w:tcBorders>
            <w:noWrap w:val="0"/>
            <w:vAlign w:val="center"/>
          </w:tcPr>
          <w:p>
            <w:pPr>
              <w:pStyle w:val="22"/>
              <w:bidi w:val="0"/>
              <w:rPr>
                <w:rFonts w:hint="eastAsia"/>
                <w:color w:val="0000FF"/>
              </w:rPr>
            </w:pPr>
            <w:r>
              <w:rPr>
                <w:rFonts w:hint="eastAsia"/>
                <w:color w:val="0000FF"/>
              </w:rPr>
              <w:t>VOCs:（）t/a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8539" w:type="dxa"/>
            <w:gridSpan w:val="24"/>
            <w:tcBorders>
              <w:tl2br w:val="nil"/>
              <w:tr2bl w:val="nil"/>
            </w:tcBorders>
            <w:noWrap w:val="0"/>
            <w:vAlign w:val="center"/>
          </w:tcPr>
          <w:p>
            <w:pPr>
              <w:pStyle w:val="22"/>
              <w:bidi w:val="0"/>
              <w:rPr>
                <w:rFonts w:hint="eastAsia"/>
                <w:color w:val="0000FF"/>
              </w:rPr>
            </w:pPr>
            <w:r>
              <w:rPr>
                <w:rFonts w:hint="eastAsia"/>
                <w:color w:val="0000FF"/>
              </w:rPr>
              <w:t>注：“□”为勾选项，填“</w:t>
            </w:r>
            <w:r>
              <w:rPr>
                <w:rFonts w:hint="default"/>
                <w:color w:val="0000FF"/>
              </w:rPr>
              <w:t>√</w:t>
            </w:r>
            <w:r>
              <w:rPr>
                <w:rFonts w:hint="eastAsia"/>
                <w:color w:val="0000FF"/>
              </w:rPr>
              <w:t>”；“（）”为内容填写项</w:t>
            </w:r>
          </w:p>
        </w:tc>
      </w:tr>
    </w:tbl>
    <w:p>
      <w:pPr>
        <w:pStyle w:val="6"/>
        <w:bidi w:val="0"/>
        <w:rPr>
          <w:color w:val="0000FF"/>
        </w:rPr>
      </w:pPr>
      <w:bookmarkStart w:id="96" w:name="_Toc22694"/>
      <w:r>
        <w:rPr>
          <w:color w:val="0000FF"/>
        </w:rPr>
        <w:t>5.</w:t>
      </w:r>
      <w:r>
        <w:rPr>
          <w:rFonts w:hint="eastAsia"/>
          <w:color w:val="0000FF"/>
          <w:lang w:val="en-US" w:eastAsia="zh-CN"/>
        </w:rPr>
        <w:t>2</w:t>
      </w:r>
      <w:r>
        <w:rPr>
          <w:color w:val="0000FF"/>
        </w:rPr>
        <w:t>.</w:t>
      </w:r>
      <w:r>
        <w:rPr>
          <w:rFonts w:hint="eastAsia"/>
          <w:color w:val="0000FF"/>
          <w:lang w:val="en-US" w:eastAsia="zh-CN"/>
        </w:rPr>
        <w:t>2地表水</w:t>
      </w:r>
      <w:r>
        <w:rPr>
          <w:color w:val="0000FF"/>
        </w:rPr>
        <w:t>环境影响分析</w:t>
      </w:r>
      <w:bookmarkEnd w:id="96"/>
    </w:p>
    <w:p>
      <w:pPr>
        <w:pStyle w:val="7"/>
        <w:bidi w:val="0"/>
        <w:rPr>
          <w:rFonts w:hint="default"/>
          <w:color w:val="0000FF"/>
          <w:lang w:val="en-US" w:eastAsia="zh-CN"/>
        </w:rPr>
      </w:pPr>
      <w:r>
        <w:rPr>
          <w:rFonts w:hint="eastAsia"/>
          <w:color w:val="0000FF"/>
          <w:lang w:val="en-US" w:eastAsia="zh-CN"/>
        </w:rPr>
        <w:t>5.2.2.1</w:t>
      </w:r>
      <w:r>
        <w:rPr>
          <w:color w:val="0000FF"/>
        </w:rPr>
        <w:t>地表水环境影响评价工作等级</w:t>
      </w:r>
    </w:p>
    <w:p>
      <w:pPr>
        <w:bidi w:val="0"/>
        <w:rPr>
          <w:color w:val="0000FF"/>
        </w:rPr>
      </w:pPr>
      <w:r>
        <w:rPr>
          <w:color w:val="0000FF"/>
        </w:rPr>
        <w:t>本项目为水污染影响型建设项目，废水主要为生活污水及实验室废水，其中理化实验废水经酸碱中和预处理后、实验楼生活污水经化粪池预处理后与微生物实验室废水一同进入自建污水处理站进行处理；办公楼生活污水经化粪池处理后与前述废水一同经市政污水管网排入</w:t>
      </w:r>
      <w:r>
        <w:rPr>
          <w:rFonts w:hint="eastAsia"/>
          <w:color w:val="0000FF"/>
          <w:lang w:val="en-US" w:eastAsia="zh-CN"/>
        </w:rPr>
        <w:t>225团</w:t>
      </w:r>
      <w:r>
        <w:rPr>
          <w:color w:val="0000FF"/>
        </w:rPr>
        <w:t>污水处理厂进行进一步处理后用于下游生态林绿化灌溉。根据《环境影响评价技术导则</w:t>
      </w:r>
      <w:r>
        <w:rPr>
          <w:rFonts w:hint="eastAsia"/>
          <w:color w:val="0000FF"/>
          <w:lang w:val="en-US" w:eastAsia="zh-CN"/>
        </w:rPr>
        <w:t xml:space="preserve"> </w:t>
      </w:r>
      <w:r>
        <w:rPr>
          <w:color w:val="0000FF"/>
        </w:rPr>
        <w:t>地表水环境》（HJ2.3-2018）中关于地表水环境影响评价工作等级的划分原则，本项目属于间接排放项目，因此，本项目地表水环境影响评价工作等级为三级B。</w:t>
      </w:r>
    </w:p>
    <w:p>
      <w:pPr>
        <w:pStyle w:val="7"/>
        <w:bidi w:val="0"/>
        <w:rPr>
          <w:color w:val="0000FF"/>
        </w:rPr>
      </w:pPr>
      <w:r>
        <w:rPr>
          <w:rFonts w:hint="eastAsia"/>
          <w:color w:val="0000FF"/>
          <w:lang w:val="en-US" w:eastAsia="zh-CN"/>
        </w:rPr>
        <w:t>5</w:t>
      </w:r>
      <w:r>
        <w:rPr>
          <w:color w:val="0000FF"/>
        </w:rPr>
        <w:t>.</w:t>
      </w:r>
      <w:r>
        <w:rPr>
          <w:rFonts w:hint="eastAsia"/>
          <w:color w:val="0000FF"/>
          <w:lang w:val="en-US" w:eastAsia="zh-CN"/>
        </w:rPr>
        <w:t>2.2.2</w:t>
      </w:r>
      <w:r>
        <w:rPr>
          <w:color w:val="0000FF"/>
        </w:rPr>
        <w:t>项目废水排放去向</w:t>
      </w:r>
    </w:p>
    <w:p>
      <w:pPr>
        <w:bidi w:val="0"/>
        <w:rPr>
          <w:color w:val="0000FF"/>
        </w:rPr>
      </w:pPr>
      <w:r>
        <w:rPr>
          <w:color w:val="0000FF"/>
        </w:rPr>
        <w:t>本项目各种废水分别经预处理后水质达到《医疗机构水污染物排放标准》</w:t>
      </w:r>
      <w:r>
        <w:rPr>
          <w:rFonts w:hint="eastAsia"/>
          <w:color w:val="0000FF"/>
          <w:lang w:eastAsia="zh-CN"/>
        </w:rPr>
        <w:t>（</w:t>
      </w:r>
      <w:r>
        <w:rPr>
          <w:color w:val="0000FF"/>
        </w:rPr>
        <w:t>GB18466-2005</w:t>
      </w:r>
      <w:r>
        <w:rPr>
          <w:rFonts w:hint="eastAsia"/>
          <w:color w:val="0000FF"/>
          <w:lang w:eastAsia="zh-CN"/>
        </w:rPr>
        <w:t>）</w:t>
      </w:r>
      <w:r>
        <w:rPr>
          <w:color w:val="0000FF"/>
        </w:rPr>
        <w:t>表1标准后由总排口经市政污水管网排入</w:t>
      </w:r>
      <w:r>
        <w:rPr>
          <w:rFonts w:hint="eastAsia"/>
          <w:color w:val="0000FF"/>
          <w:lang w:val="en-US" w:eastAsia="zh-CN"/>
        </w:rPr>
        <w:t>225团</w:t>
      </w:r>
      <w:r>
        <w:rPr>
          <w:color w:val="0000FF"/>
        </w:rPr>
        <w:t>污水处理厂进行进一步处理</w:t>
      </w:r>
      <w:r>
        <w:rPr>
          <w:rFonts w:hint="eastAsia"/>
          <w:color w:val="0000FF"/>
          <w:lang w:eastAsia="zh-CN"/>
        </w:rPr>
        <w:t>。</w:t>
      </w:r>
      <w:r>
        <w:rPr>
          <w:color w:val="0000FF"/>
        </w:rPr>
        <w:t>自建污水处理站处理采用污水处理站采用地埋式一体化处理设备，处理工艺为</w:t>
      </w:r>
      <w:r>
        <w:rPr>
          <w:rFonts w:hint="eastAsia"/>
          <w:color w:val="0000FF"/>
          <w:lang w:eastAsia="zh-CN"/>
        </w:rPr>
        <w:t>“</w:t>
      </w:r>
      <w:r>
        <w:rPr>
          <w:color w:val="0000FF"/>
        </w:rPr>
        <w:t>二级处理+消毒工艺</w:t>
      </w:r>
      <w:r>
        <w:rPr>
          <w:rFonts w:hint="eastAsia"/>
          <w:color w:val="0000FF"/>
          <w:lang w:eastAsia="zh-CN"/>
        </w:rPr>
        <w:t>”</w:t>
      </w:r>
      <w:r>
        <w:rPr>
          <w:color w:val="0000FF"/>
        </w:rPr>
        <w:t>。</w:t>
      </w:r>
    </w:p>
    <w:p>
      <w:pPr>
        <w:pStyle w:val="7"/>
        <w:bidi w:val="0"/>
        <w:rPr>
          <w:color w:val="0000FF"/>
        </w:rPr>
      </w:pPr>
      <w:r>
        <w:rPr>
          <w:rFonts w:hint="eastAsia"/>
          <w:color w:val="0000FF"/>
          <w:lang w:val="en-US" w:eastAsia="zh-CN"/>
        </w:rPr>
        <w:t>5.2.2.3</w:t>
      </w:r>
      <w:r>
        <w:rPr>
          <w:color w:val="0000FF"/>
        </w:rPr>
        <w:t>依托污水处理设施的环境可行性</w:t>
      </w:r>
    </w:p>
    <w:p>
      <w:pPr>
        <w:bidi w:val="0"/>
        <w:rPr>
          <w:color w:val="0000FF"/>
        </w:rPr>
      </w:pPr>
      <w:r>
        <w:rPr>
          <w:color w:val="0000FF"/>
        </w:rPr>
        <w:t>（1）</w:t>
      </w:r>
      <w:r>
        <w:rPr>
          <w:rFonts w:hint="eastAsia"/>
          <w:color w:val="0000FF"/>
          <w:lang w:val="en-US" w:eastAsia="zh-CN"/>
        </w:rPr>
        <w:t>225团</w:t>
      </w:r>
      <w:r>
        <w:rPr>
          <w:color w:val="0000FF"/>
        </w:rPr>
        <w:t>污水处理厂基本情况</w:t>
      </w:r>
    </w:p>
    <w:p>
      <w:pPr>
        <w:bidi w:val="0"/>
        <w:rPr>
          <w:color w:val="0000FF"/>
        </w:rPr>
      </w:pPr>
      <w:r>
        <w:rPr>
          <w:rFonts w:hint="eastAsia"/>
          <w:color w:val="0000FF"/>
        </w:rPr>
        <w:t>污水处理厂选址位225团西北侧约1500米处</w:t>
      </w:r>
      <w:r>
        <w:rPr>
          <w:color w:val="0000FF"/>
        </w:rPr>
        <w:t>，现状场址四周为空地；总投资</w:t>
      </w:r>
      <w:r>
        <w:rPr>
          <w:rFonts w:hint="eastAsia"/>
          <w:color w:val="0000FF"/>
          <w:lang w:val="en-US" w:eastAsia="zh-CN"/>
        </w:rPr>
        <w:t>2153</w:t>
      </w:r>
      <w:r>
        <w:rPr>
          <w:color w:val="0000FF"/>
        </w:rPr>
        <w:t>万元，纳污范围为</w:t>
      </w:r>
      <w:r>
        <w:rPr>
          <w:rFonts w:hint="eastAsia"/>
          <w:color w:val="0000FF"/>
          <w:lang w:val="en-US" w:eastAsia="zh-CN"/>
        </w:rPr>
        <w:t>225团</w:t>
      </w:r>
      <w:r>
        <w:rPr>
          <w:color w:val="0000FF"/>
        </w:rPr>
        <w:t>企业工业、生活污水；污水处理规模为</w:t>
      </w:r>
      <w:r>
        <w:rPr>
          <w:rFonts w:hint="eastAsia"/>
          <w:color w:val="0000FF"/>
          <w:lang w:val="en-US" w:eastAsia="zh-CN"/>
        </w:rPr>
        <w:t>2800</w:t>
      </w:r>
      <w:r>
        <w:rPr>
          <w:color w:val="0000FF"/>
        </w:rPr>
        <w:t>m</w:t>
      </w:r>
      <w:r>
        <w:rPr>
          <w:color w:val="0000FF"/>
          <w:vertAlign w:val="superscript"/>
        </w:rPr>
        <w:t>3</w:t>
      </w:r>
      <w:r>
        <w:rPr>
          <w:color w:val="0000FF"/>
        </w:rPr>
        <w:t>/d，采用</w:t>
      </w:r>
      <w:r>
        <w:rPr>
          <w:rFonts w:hint="eastAsia"/>
          <w:color w:val="0000FF"/>
          <w:lang w:eastAsia="zh-CN"/>
        </w:rPr>
        <w:t>“</w:t>
      </w:r>
      <w:r>
        <w:rPr>
          <w:color w:val="0000FF"/>
        </w:rPr>
        <w:t>预处理+A</w:t>
      </w:r>
      <w:r>
        <w:rPr>
          <w:color w:val="0000FF"/>
          <w:vertAlign w:val="baseline"/>
        </w:rPr>
        <w:t>2</w:t>
      </w:r>
      <w:r>
        <w:rPr>
          <w:color w:val="0000FF"/>
        </w:rPr>
        <w:t>O</w:t>
      </w:r>
      <w:r>
        <w:rPr>
          <w:rFonts w:hint="eastAsia"/>
          <w:color w:val="0000FF"/>
          <w:lang w:val="en-US" w:eastAsia="zh-CN"/>
        </w:rPr>
        <w:t>生化处理</w:t>
      </w:r>
      <w:r>
        <w:rPr>
          <w:color w:val="0000FF"/>
        </w:rPr>
        <w:t>+</w:t>
      </w:r>
      <w:r>
        <w:rPr>
          <w:rFonts w:hint="eastAsia"/>
          <w:color w:val="0000FF"/>
          <w:lang w:val="en-US" w:eastAsia="zh-CN"/>
        </w:rPr>
        <w:t>二沉淀+</w:t>
      </w:r>
      <w:r>
        <w:rPr>
          <w:color w:val="0000FF"/>
        </w:rPr>
        <w:t>深度处理</w:t>
      </w:r>
      <w:r>
        <w:rPr>
          <w:rFonts w:hint="eastAsia"/>
          <w:color w:val="0000FF"/>
          <w:lang w:eastAsia="zh-CN"/>
        </w:rPr>
        <w:t>”</w:t>
      </w:r>
      <w:r>
        <w:rPr>
          <w:rFonts w:hint="eastAsia"/>
          <w:color w:val="0000FF"/>
          <w:lang w:val="en-US" w:eastAsia="zh-CN"/>
        </w:rPr>
        <w:t>水处理</w:t>
      </w:r>
      <w:r>
        <w:rPr>
          <w:color w:val="0000FF"/>
        </w:rPr>
        <w:t>工艺，进水水质执行《污水排入城镇下水道水质标准》（GB/T31962-2015）的B级标准，出水水质执行《城镇污水处理厂污染物排放标准》（GB18918-2002）的一级A标准，同时满足《城市污水再生利用绿地灌溉水质》（GB/T25499-2010）表1基本控制项目及限值，作为生态用水排放至下游沙漠防护林区。冬季由于绿化用水停用，排至中水库储存，待第二年春季用于绿化灌溉。</w:t>
      </w:r>
    </w:p>
    <w:p>
      <w:pPr>
        <w:bidi w:val="0"/>
        <w:rPr>
          <w:color w:val="0000FF"/>
        </w:rPr>
      </w:pPr>
      <w:r>
        <w:rPr>
          <w:color w:val="0000FF"/>
        </w:rPr>
        <w:t>污水处理厂占地面积</w:t>
      </w:r>
      <w:r>
        <w:rPr>
          <w:rFonts w:hint="eastAsia"/>
          <w:color w:val="0000FF"/>
          <w:lang w:val="en-US" w:eastAsia="zh-CN"/>
        </w:rPr>
        <w:t>8454.24</w:t>
      </w:r>
      <w:r>
        <w:rPr>
          <w:color w:val="0000FF"/>
        </w:rPr>
        <w:t>m</w:t>
      </w:r>
      <w:r>
        <w:rPr>
          <w:color w:val="0000FF"/>
          <w:vertAlign w:val="superscript"/>
        </w:rPr>
        <w:t>2</w:t>
      </w:r>
      <w:r>
        <w:rPr>
          <w:color w:val="0000FF"/>
        </w:rPr>
        <w:t>，污水处理厂涉及的构筑物包括：</w:t>
      </w:r>
      <w:r>
        <w:rPr>
          <w:rFonts w:hint="eastAsia"/>
          <w:color w:val="0000FF"/>
        </w:rPr>
        <w:t>预处理用房、生化池、深度处理车间、设备用房、生活管理用房、值班室等</w:t>
      </w:r>
      <w:r>
        <w:rPr>
          <w:color w:val="0000FF"/>
        </w:rPr>
        <w:t>。</w:t>
      </w:r>
    </w:p>
    <w:p>
      <w:pPr>
        <w:bidi w:val="0"/>
        <w:rPr>
          <w:color w:val="0000FF"/>
        </w:rPr>
      </w:pPr>
      <w:r>
        <w:rPr>
          <w:color w:val="0000FF"/>
        </w:rPr>
        <w:t>（2）接管可行性分析</w:t>
      </w:r>
    </w:p>
    <w:p>
      <w:pPr>
        <w:bidi w:val="0"/>
        <w:rPr>
          <w:color w:val="0000FF"/>
        </w:rPr>
      </w:pPr>
      <w:r>
        <w:rPr>
          <w:color w:val="0000FF"/>
        </w:rPr>
        <w:t>本项目所在区域属于</w:t>
      </w:r>
      <w:r>
        <w:rPr>
          <w:rFonts w:hint="eastAsia"/>
          <w:color w:val="0000FF"/>
          <w:lang w:val="en-US" w:eastAsia="zh-CN"/>
        </w:rPr>
        <w:t>225团</w:t>
      </w:r>
      <w:r>
        <w:rPr>
          <w:color w:val="0000FF"/>
        </w:rPr>
        <w:t>污水处理厂</w:t>
      </w:r>
      <w:r>
        <w:rPr>
          <w:rFonts w:hint="eastAsia"/>
          <w:color w:val="0000FF"/>
          <w:lang w:eastAsia="zh-CN"/>
        </w:rPr>
        <w:t>的</w:t>
      </w:r>
      <w:r>
        <w:rPr>
          <w:color w:val="0000FF"/>
        </w:rPr>
        <w:t>收水范围，同时有余量接纳本项目的废水；本项目建成后，日均废水排放量为</w:t>
      </w:r>
      <w:r>
        <w:rPr>
          <w:rFonts w:hint="eastAsia"/>
          <w:color w:val="0000FF"/>
          <w:lang w:val="en-US" w:eastAsia="zh-CN"/>
        </w:rPr>
        <w:t>1.64m</w:t>
      </w:r>
      <w:r>
        <w:rPr>
          <w:rFonts w:hint="eastAsia"/>
          <w:color w:val="0000FF"/>
          <w:vertAlign w:val="superscript"/>
          <w:lang w:val="en-US" w:eastAsia="zh-CN"/>
        </w:rPr>
        <w:t>3</w:t>
      </w:r>
      <w:r>
        <w:rPr>
          <w:color w:val="0000FF"/>
          <w:vertAlign w:val="superscript"/>
        </w:rPr>
        <w:t>/</w:t>
      </w:r>
      <w:r>
        <w:rPr>
          <w:color w:val="0000FF"/>
        </w:rPr>
        <w:t>d，占该污水处理厂设计处理能力</w:t>
      </w:r>
      <w:r>
        <w:rPr>
          <w:rFonts w:hint="eastAsia"/>
          <w:color w:val="0000FF"/>
          <w:lang w:val="en-US" w:eastAsia="zh-CN"/>
        </w:rPr>
        <w:t>2800</w:t>
      </w:r>
      <w:r>
        <w:rPr>
          <w:color w:val="0000FF"/>
        </w:rPr>
        <w:t>m</w:t>
      </w:r>
      <w:r>
        <w:rPr>
          <w:color w:val="0000FF"/>
          <w:vertAlign w:val="superscript"/>
        </w:rPr>
        <w:t>3</w:t>
      </w:r>
      <w:r>
        <w:rPr>
          <w:color w:val="0000FF"/>
        </w:rPr>
        <w:t>/d的</w:t>
      </w:r>
      <w:r>
        <w:rPr>
          <w:rFonts w:hint="eastAsia"/>
          <w:color w:val="0000FF"/>
          <w:lang w:val="en-US" w:eastAsia="zh-CN"/>
        </w:rPr>
        <w:t>0.05</w:t>
      </w:r>
      <w:r>
        <w:rPr>
          <w:color w:val="0000FF"/>
        </w:rPr>
        <w:t>%，不会对污水处理厂产生冲击负荷。</w:t>
      </w:r>
    </w:p>
    <w:p>
      <w:pPr>
        <w:bidi w:val="0"/>
        <w:rPr>
          <w:color w:val="0000FF"/>
        </w:rPr>
      </w:pPr>
      <w:r>
        <w:rPr>
          <w:color w:val="0000FF"/>
        </w:rPr>
        <w:t>本项目产生的废水能够经过污水管网进入</w:t>
      </w:r>
      <w:r>
        <w:rPr>
          <w:rFonts w:hint="eastAsia"/>
          <w:color w:val="0000FF"/>
          <w:lang w:val="en-US" w:eastAsia="zh-CN"/>
        </w:rPr>
        <w:t>225团</w:t>
      </w:r>
      <w:r>
        <w:rPr>
          <w:color w:val="0000FF"/>
        </w:rPr>
        <w:t>污水处理厂，处理后达到《城镇污水处理厂污染物排放标准》（GB18918-2002）一级A标准后作为生态用水排放至下游沙漠防护林区，根据该污水处理厂的环评结论，满负荷运营时，废水排放对环境影响较小。因此本项目投入运行后产生的废水经自建污水处理系统处理达到</w:t>
      </w:r>
      <w:r>
        <w:rPr>
          <w:rFonts w:hint="eastAsia"/>
          <w:color w:val="0000FF"/>
          <w:lang w:val="en-US" w:eastAsia="zh-CN"/>
        </w:rPr>
        <w:t>225团</w:t>
      </w:r>
      <w:r>
        <w:rPr>
          <w:color w:val="0000FF"/>
        </w:rPr>
        <w:t>污水处理厂接管标准后，经污水管网进入</w:t>
      </w:r>
      <w:r>
        <w:rPr>
          <w:rFonts w:hint="eastAsia"/>
          <w:color w:val="0000FF"/>
          <w:lang w:val="en-US" w:eastAsia="zh-CN"/>
        </w:rPr>
        <w:t>225团</w:t>
      </w:r>
      <w:r>
        <w:rPr>
          <w:color w:val="0000FF"/>
        </w:rPr>
        <w:t>污水处理厂可行。</w:t>
      </w:r>
    </w:p>
    <w:p>
      <w:pPr>
        <w:bidi w:val="0"/>
        <w:rPr>
          <w:color w:val="0000FF"/>
        </w:rPr>
      </w:pPr>
      <w:r>
        <w:rPr>
          <w:color w:val="0000FF"/>
        </w:rPr>
        <w:t>综上所述，项目废水的排放满足水污染控制和水环境影响减缓措施有效性评价以及依托污水处理设施的环境可行性，本环评认为地表水环境影响可以接受。</w:t>
      </w:r>
    </w:p>
    <w:p>
      <w:pPr>
        <w:pStyle w:val="7"/>
        <w:bidi w:val="0"/>
        <w:rPr>
          <w:color w:val="0000FF"/>
        </w:rPr>
      </w:pPr>
      <w:r>
        <w:rPr>
          <w:rFonts w:hint="eastAsia"/>
          <w:color w:val="0000FF"/>
          <w:lang w:val="en-US" w:eastAsia="zh-CN"/>
        </w:rPr>
        <w:t>5.2.2.4</w:t>
      </w:r>
      <w:r>
        <w:rPr>
          <w:color w:val="0000FF"/>
        </w:rPr>
        <w:t>地表水环境影响评价自查表</w:t>
      </w:r>
    </w:p>
    <w:p>
      <w:pPr>
        <w:bidi w:val="0"/>
        <w:rPr>
          <w:color w:val="0000FF"/>
        </w:rPr>
      </w:pPr>
      <w:r>
        <w:rPr>
          <w:color w:val="0000FF"/>
        </w:rPr>
        <w:t>本项目地表水环境影响评价自查表见表5</w:t>
      </w:r>
      <w:r>
        <w:rPr>
          <w:rFonts w:hint="eastAsia"/>
          <w:color w:val="0000FF"/>
          <w:lang w:val="en-US" w:eastAsia="zh-CN"/>
        </w:rPr>
        <w:t>.2-10</w:t>
      </w:r>
      <w:r>
        <w:rPr>
          <w:color w:val="0000FF"/>
        </w:rPr>
        <w:t>。</w:t>
      </w:r>
    </w:p>
    <w:p>
      <w:pPr>
        <w:pStyle w:val="22"/>
        <w:bidi w:val="0"/>
        <w:rPr>
          <w:b/>
          <w:bCs/>
          <w:color w:val="0000FF"/>
        </w:rPr>
      </w:pPr>
      <w:r>
        <w:rPr>
          <w:b/>
          <w:bCs/>
          <w:color w:val="0000FF"/>
        </w:rPr>
        <w:t>表5</w:t>
      </w:r>
      <w:r>
        <w:rPr>
          <w:rFonts w:hint="eastAsia"/>
          <w:b/>
          <w:bCs/>
          <w:color w:val="0000FF"/>
          <w:lang w:val="en-US" w:eastAsia="zh-CN"/>
        </w:rPr>
        <w:t>.2-10</w:t>
      </w:r>
      <w:r>
        <w:rPr>
          <w:b/>
          <w:bCs/>
          <w:color w:val="0000FF"/>
        </w:rPr>
        <w:t>地表水环境影响评价自查表</w:t>
      </w:r>
    </w:p>
    <w:tbl>
      <w:tblPr>
        <w:tblStyle w:val="23"/>
        <w:tblW w:w="92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523"/>
        <w:gridCol w:w="1354"/>
        <w:gridCol w:w="338"/>
        <w:gridCol w:w="57"/>
        <w:gridCol w:w="508"/>
        <w:gridCol w:w="452"/>
        <w:gridCol w:w="675"/>
        <w:gridCol w:w="679"/>
        <w:gridCol w:w="197"/>
        <w:gridCol w:w="253"/>
        <w:gridCol w:w="1"/>
        <w:gridCol w:w="850"/>
        <w:gridCol w:w="53"/>
        <w:gridCol w:w="1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2472" w:type="dxa"/>
            <w:gridSpan w:val="2"/>
            <w:tcBorders>
              <w:tl2br w:val="nil"/>
              <w:tr2bl w:val="nil"/>
            </w:tcBorders>
            <w:vAlign w:val="center"/>
          </w:tcPr>
          <w:p>
            <w:pPr>
              <w:pStyle w:val="22"/>
              <w:bidi w:val="0"/>
              <w:jc w:val="center"/>
              <w:rPr>
                <w:color w:val="0000FF"/>
              </w:rPr>
            </w:pPr>
            <w:r>
              <w:rPr>
                <w:color w:val="0000FF"/>
              </w:rPr>
              <w:t>工作内容</w:t>
            </w:r>
          </w:p>
        </w:tc>
        <w:tc>
          <w:tcPr>
            <w:tcW w:w="6776" w:type="dxa"/>
            <w:gridSpan w:val="13"/>
            <w:tcBorders>
              <w:tl2br w:val="nil"/>
              <w:tr2bl w:val="nil"/>
            </w:tcBorders>
            <w:vAlign w:val="center"/>
          </w:tcPr>
          <w:p>
            <w:pPr>
              <w:pStyle w:val="22"/>
              <w:bidi w:val="0"/>
              <w:jc w:val="center"/>
              <w:rPr>
                <w:color w:val="0000FF"/>
              </w:rPr>
            </w:pPr>
            <w:r>
              <w:rPr>
                <w:color w:val="0000FF"/>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jc w:val="center"/>
        </w:trPr>
        <w:tc>
          <w:tcPr>
            <w:tcW w:w="949" w:type="dxa"/>
            <w:vMerge w:val="restart"/>
            <w:tcBorders>
              <w:tl2br w:val="nil"/>
              <w:tr2bl w:val="nil"/>
            </w:tcBorders>
            <w:textDirection w:val="tbRlV"/>
            <w:vAlign w:val="center"/>
          </w:tcPr>
          <w:p>
            <w:pPr>
              <w:pStyle w:val="22"/>
              <w:bidi w:val="0"/>
              <w:jc w:val="center"/>
              <w:rPr>
                <w:color w:val="0000FF"/>
              </w:rPr>
            </w:pPr>
          </w:p>
          <w:p>
            <w:pPr>
              <w:pStyle w:val="22"/>
              <w:bidi w:val="0"/>
              <w:jc w:val="center"/>
              <w:rPr>
                <w:color w:val="0000FF"/>
              </w:rPr>
            </w:pPr>
            <w:r>
              <w:rPr>
                <w:color w:val="0000FF"/>
              </w:rPr>
              <w:t>影响识别</w:t>
            </w:r>
          </w:p>
        </w:tc>
        <w:tc>
          <w:tcPr>
            <w:tcW w:w="1523" w:type="dxa"/>
            <w:tcBorders>
              <w:tl2br w:val="nil"/>
              <w:tr2bl w:val="nil"/>
            </w:tcBorders>
            <w:vAlign w:val="center"/>
          </w:tcPr>
          <w:p>
            <w:pPr>
              <w:pStyle w:val="22"/>
              <w:bidi w:val="0"/>
              <w:jc w:val="center"/>
              <w:rPr>
                <w:color w:val="0000FF"/>
              </w:rPr>
            </w:pPr>
            <w:r>
              <w:rPr>
                <w:color w:val="0000FF"/>
              </w:rPr>
              <w:t>影响类型</w:t>
            </w:r>
          </w:p>
        </w:tc>
        <w:tc>
          <w:tcPr>
            <w:tcW w:w="6776" w:type="dxa"/>
            <w:gridSpan w:val="13"/>
            <w:tcBorders>
              <w:tl2br w:val="nil"/>
              <w:tr2bl w:val="nil"/>
            </w:tcBorders>
            <w:vAlign w:val="center"/>
          </w:tcPr>
          <w:p>
            <w:pPr>
              <w:pStyle w:val="22"/>
              <w:bidi w:val="0"/>
              <w:jc w:val="center"/>
              <w:rPr>
                <w:rFonts w:hint="eastAsia" w:eastAsia="宋体"/>
                <w:color w:val="0000FF"/>
                <w:lang w:eastAsia="zh-CN"/>
              </w:rPr>
            </w:pPr>
            <w:r>
              <w:rPr>
                <w:color w:val="0000FF"/>
              </w:rPr>
              <w:t>水污染影响型</w:t>
            </w:r>
            <w:r>
              <w:rPr>
                <w:rFonts w:hint="eastAsia"/>
                <w:color w:val="0000FF"/>
                <w:lang w:eastAsia="zh-CN"/>
              </w:rPr>
              <w:t>☑</w:t>
            </w:r>
            <w:r>
              <w:rPr>
                <w:color w:val="0000FF"/>
              </w:rPr>
              <w:t>；水文要素影响型</w:t>
            </w:r>
            <w:r>
              <w:rPr>
                <w:rFonts w:hint="eastAsia"/>
                <w:color w:val="0000FF"/>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0"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水环境保护目标</w:t>
            </w:r>
          </w:p>
        </w:tc>
        <w:tc>
          <w:tcPr>
            <w:tcW w:w="6776" w:type="dxa"/>
            <w:gridSpan w:val="13"/>
            <w:tcBorders>
              <w:tl2br w:val="nil"/>
              <w:tr2bl w:val="nil"/>
            </w:tcBorders>
            <w:vAlign w:val="center"/>
          </w:tcPr>
          <w:p>
            <w:pPr>
              <w:pStyle w:val="22"/>
              <w:bidi w:val="0"/>
              <w:jc w:val="center"/>
              <w:rPr>
                <w:rFonts w:hint="eastAsia" w:eastAsia="宋体"/>
                <w:color w:val="0000FF"/>
                <w:lang w:eastAsia="zh-CN"/>
              </w:rPr>
            </w:pPr>
            <w:r>
              <w:rPr>
                <w:color w:val="0000FF"/>
              </w:rPr>
              <w:t>饮用水水源保护区</w:t>
            </w:r>
            <w:r>
              <w:rPr>
                <w:rFonts w:hint="eastAsia"/>
                <w:color w:val="0000FF"/>
                <w:lang w:eastAsia="zh-CN"/>
              </w:rPr>
              <w:t>□</w:t>
            </w:r>
            <w:r>
              <w:rPr>
                <w:color w:val="0000FF"/>
              </w:rPr>
              <w:t>；饮用水取水口</w:t>
            </w:r>
            <w:r>
              <w:rPr>
                <w:rFonts w:hint="eastAsia"/>
                <w:color w:val="0000FF"/>
                <w:lang w:eastAsia="zh-CN"/>
              </w:rPr>
              <w:t>□</w:t>
            </w:r>
            <w:r>
              <w:rPr>
                <w:color w:val="0000FF"/>
              </w:rPr>
              <w:t>；涉水的自然保护区</w:t>
            </w:r>
            <w:r>
              <w:rPr>
                <w:rFonts w:hint="eastAsia"/>
                <w:color w:val="0000FF"/>
                <w:lang w:eastAsia="zh-CN"/>
              </w:rPr>
              <w:t>□</w:t>
            </w:r>
            <w:r>
              <w:rPr>
                <w:color w:val="0000FF"/>
              </w:rPr>
              <w:t>；重要湿地</w:t>
            </w:r>
            <w:r>
              <w:rPr>
                <w:rFonts w:hint="eastAsia"/>
                <w:color w:val="0000FF"/>
                <w:lang w:eastAsia="zh-CN"/>
              </w:rPr>
              <w:t>□</w:t>
            </w:r>
            <w:r>
              <w:rPr>
                <w:color w:val="0000FF"/>
              </w:rPr>
              <w:t>；重点保护与珍稀水生生物的栖息地</w:t>
            </w:r>
            <w:r>
              <w:rPr>
                <w:rFonts w:hint="eastAsia"/>
                <w:color w:val="0000FF"/>
                <w:lang w:eastAsia="zh-CN"/>
              </w:rPr>
              <w:t>□</w:t>
            </w:r>
            <w:r>
              <w:rPr>
                <w:color w:val="0000FF"/>
              </w:rPr>
              <w:t>；重要水生生物的自然产卵场及索饵场、越冬场和洄游通道、天然渔场等渔业水体</w:t>
            </w:r>
            <w:r>
              <w:rPr>
                <w:rFonts w:hint="eastAsia"/>
                <w:color w:val="0000FF"/>
                <w:lang w:eastAsia="zh-CN"/>
              </w:rPr>
              <w:t>□</w:t>
            </w:r>
            <w:r>
              <w:rPr>
                <w:color w:val="0000FF"/>
              </w:rPr>
              <w:t>；涉水的风景名胜区</w:t>
            </w:r>
            <w:r>
              <w:rPr>
                <w:rFonts w:hint="eastAsia"/>
                <w:color w:val="0000FF"/>
                <w:lang w:eastAsia="zh-CN"/>
              </w:rPr>
              <w:t>□</w:t>
            </w:r>
            <w:r>
              <w:rPr>
                <w:color w:val="0000FF"/>
              </w:rPr>
              <w:t>；其他</w:t>
            </w:r>
            <w:r>
              <w:rPr>
                <w:rFonts w:hint="eastAsia"/>
                <w:color w:val="0000FF"/>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restart"/>
            <w:tcBorders>
              <w:tl2br w:val="nil"/>
              <w:tr2bl w:val="nil"/>
            </w:tcBorders>
            <w:vAlign w:val="center"/>
          </w:tcPr>
          <w:p>
            <w:pPr>
              <w:pStyle w:val="22"/>
              <w:bidi w:val="0"/>
              <w:jc w:val="center"/>
              <w:rPr>
                <w:color w:val="0000FF"/>
              </w:rPr>
            </w:pPr>
            <w:r>
              <w:rPr>
                <w:color w:val="0000FF"/>
              </w:rPr>
              <w:t>影响途径</w:t>
            </w:r>
          </w:p>
        </w:tc>
        <w:tc>
          <w:tcPr>
            <w:tcW w:w="3384" w:type="dxa"/>
            <w:gridSpan w:val="6"/>
            <w:tcBorders>
              <w:tl2br w:val="nil"/>
              <w:tr2bl w:val="nil"/>
            </w:tcBorders>
            <w:vAlign w:val="center"/>
          </w:tcPr>
          <w:p>
            <w:pPr>
              <w:pStyle w:val="22"/>
              <w:bidi w:val="0"/>
              <w:jc w:val="center"/>
              <w:rPr>
                <w:color w:val="0000FF"/>
              </w:rPr>
            </w:pPr>
            <w:r>
              <w:rPr>
                <w:color w:val="0000FF"/>
              </w:rPr>
              <w:t>水污染影响型</w:t>
            </w:r>
          </w:p>
        </w:tc>
        <w:tc>
          <w:tcPr>
            <w:tcW w:w="3392" w:type="dxa"/>
            <w:gridSpan w:val="7"/>
            <w:tcBorders>
              <w:tl2br w:val="nil"/>
              <w:tr2bl w:val="nil"/>
            </w:tcBorders>
            <w:vAlign w:val="center"/>
          </w:tcPr>
          <w:p>
            <w:pPr>
              <w:pStyle w:val="22"/>
              <w:bidi w:val="0"/>
              <w:jc w:val="center"/>
              <w:rPr>
                <w:color w:val="0000FF"/>
              </w:rPr>
            </w:pPr>
            <w:r>
              <w:rPr>
                <w:color w:val="0000FF"/>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3384" w:type="dxa"/>
            <w:gridSpan w:val="6"/>
            <w:tcBorders>
              <w:tl2br w:val="nil"/>
              <w:tr2bl w:val="nil"/>
            </w:tcBorders>
            <w:vAlign w:val="center"/>
          </w:tcPr>
          <w:p>
            <w:pPr>
              <w:pStyle w:val="22"/>
              <w:bidi w:val="0"/>
              <w:jc w:val="center"/>
              <w:rPr>
                <w:rFonts w:hint="eastAsia" w:eastAsia="宋体"/>
                <w:color w:val="0000FF"/>
                <w:lang w:eastAsia="zh-CN"/>
              </w:rPr>
            </w:pPr>
            <w:r>
              <w:rPr>
                <w:color w:val="0000FF"/>
              </w:rPr>
              <w:t>直接排放</w:t>
            </w:r>
            <w:r>
              <w:rPr>
                <w:rFonts w:hint="eastAsia"/>
                <w:color w:val="0000FF"/>
                <w:lang w:eastAsia="zh-CN"/>
              </w:rPr>
              <w:t>□</w:t>
            </w:r>
            <w:r>
              <w:rPr>
                <w:color w:val="0000FF"/>
              </w:rPr>
              <w:t>；间接排放</w:t>
            </w:r>
            <w:r>
              <w:rPr>
                <w:rFonts w:hint="eastAsia"/>
                <w:color w:val="0000FF"/>
                <w:lang w:eastAsia="zh-CN"/>
              </w:rPr>
              <w:t>☑</w:t>
            </w:r>
            <w:r>
              <w:rPr>
                <w:color w:val="0000FF"/>
              </w:rPr>
              <w:t>；其他</w:t>
            </w:r>
            <w:r>
              <w:rPr>
                <w:rFonts w:hint="eastAsia"/>
                <w:color w:val="0000FF"/>
                <w:lang w:eastAsia="zh-CN"/>
              </w:rPr>
              <w:t>□</w:t>
            </w:r>
          </w:p>
        </w:tc>
        <w:tc>
          <w:tcPr>
            <w:tcW w:w="3392" w:type="dxa"/>
            <w:gridSpan w:val="7"/>
            <w:tcBorders>
              <w:tl2br w:val="nil"/>
              <w:tr2bl w:val="nil"/>
            </w:tcBorders>
            <w:vAlign w:val="center"/>
          </w:tcPr>
          <w:p>
            <w:pPr>
              <w:pStyle w:val="22"/>
              <w:bidi w:val="0"/>
              <w:jc w:val="center"/>
              <w:rPr>
                <w:rFonts w:hint="eastAsia" w:eastAsia="宋体"/>
                <w:color w:val="0000FF"/>
                <w:lang w:eastAsia="zh-CN"/>
              </w:rPr>
            </w:pPr>
            <w:r>
              <w:rPr>
                <w:color w:val="0000FF"/>
              </w:rPr>
              <w:t>水温□；径流□；水域面积□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51"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影响因子</w:t>
            </w:r>
          </w:p>
        </w:tc>
        <w:tc>
          <w:tcPr>
            <w:tcW w:w="3384" w:type="dxa"/>
            <w:gridSpan w:val="6"/>
            <w:tcBorders>
              <w:tl2br w:val="nil"/>
              <w:tr2bl w:val="nil"/>
            </w:tcBorders>
            <w:vAlign w:val="center"/>
          </w:tcPr>
          <w:p>
            <w:pPr>
              <w:pStyle w:val="22"/>
              <w:bidi w:val="0"/>
              <w:jc w:val="center"/>
              <w:rPr>
                <w:color w:val="0000FF"/>
              </w:rPr>
            </w:pPr>
            <w:r>
              <w:rPr>
                <w:color w:val="0000FF"/>
              </w:rPr>
              <w:t>持久性污染物□；有毒有害污染物□；非持久性污染物</w:t>
            </w:r>
            <w:r>
              <w:rPr>
                <w:rFonts w:hint="eastAsia"/>
                <w:color w:val="0000FF"/>
                <w:lang w:eastAsia="zh-CN"/>
              </w:rPr>
              <w:t>☑</w:t>
            </w:r>
            <w:r>
              <w:rPr>
                <w:color w:val="0000FF"/>
              </w:rPr>
              <w:t>；</w:t>
            </w:r>
          </w:p>
          <w:p>
            <w:pPr>
              <w:pStyle w:val="22"/>
              <w:bidi w:val="0"/>
              <w:jc w:val="center"/>
              <w:rPr>
                <w:color w:val="0000FF"/>
              </w:rPr>
            </w:pPr>
            <w:r>
              <w:rPr>
                <w:color w:val="0000FF"/>
              </w:rPr>
              <w:t>pH值□；热污染□；富营养化□；其他□</w:t>
            </w:r>
          </w:p>
        </w:tc>
        <w:tc>
          <w:tcPr>
            <w:tcW w:w="3392" w:type="dxa"/>
            <w:gridSpan w:val="7"/>
            <w:tcBorders>
              <w:tl2br w:val="nil"/>
              <w:tr2bl w:val="nil"/>
            </w:tcBorders>
            <w:vAlign w:val="center"/>
          </w:tcPr>
          <w:p>
            <w:pPr>
              <w:pStyle w:val="22"/>
              <w:bidi w:val="0"/>
              <w:jc w:val="center"/>
              <w:rPr>
                <w:color w:val="0000FF"/>
              </w:rPr>
            </w:pPr>
            <w:r>
              <w:rPr>
                <w:color w:val="0000FF"/>
              </w:rPr>
              <w:t>水温□；水位（水深）□；流速□；</w:t>
            </w:r>
          </w:p>
          <w:p>
            <w:pPr>
              <w:pStyle w:val="22"/>
              <w:bidi w:val="0"/>
              <w:jc w:val="center"/>
              <w:rPr>
                <w:rFonts w:hint="eastAsia" w:eastAsia="宋体"/>
                <w:color w:val="0000FF"/>
                <w:lang w:eastAsia="zh-CN"/>
              </w:rPr>
            </w:pPr>
            <w:r>
              <w:rPr>
                <w:color w:val="0000FF"/>
              </w:rPr>
              <w:t>流量□；其他□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jc w:val="center"/>
        </w:trPr>
        <w:tc>
          <w:tcPr>
            <w:tcW w:w="2472" w:type="dxa"/>
            <w:gridSpan w:val="2"/>
            <w:vMerge w:val="restart"/>
            <w:tcBorders>
              <w:tl2br w:val="nil"/>
              <w:tr2bl w:val="nil"/>
            </w:tcBorders>
            <w:vAlign w:val="center"/>
          </w:tcPr>
          <w:p>
            <w:pPr>
              <w:pStyle w:val="22"/>
              <w:bidi w:val="0"/>
              <w:jc w:val="center"/>
              <w:rPr>
                <w:color w:val="0000FF"/>
              </w:rPr>
            </w:pPr>
            <w:r>
              <w:rPr>
                <w:color w:val="0000FF"/>
              </w:rPr>
              <w:t>评价等级</w:t>
            </w:r>
          </w:p>
        </w:tc>
        <w:tc>
          <w:tcPr>
            <w:tcW w:w="3384" w:type="dxa"/>
            <w:gridSpan w:val="6"/>
            <w:tcBorders>
              <w:tl2br w:val="nil"/>
              <w:tr2bl w:val="nil"/>
            </w:tcBorders>
            <w:vAlign w:val="center"/>
          </w:tcPr>
          <w:p>
            <w:pPr>
              <w:pStyle w:val="22"/>
              <w:bidi w:val="0"/>
              <w:jc w:val="center"/>
              <w:rPr>
                <w:color w:val="0000FF"/>
              </w:rPr>
            </w:pPr>
            <w:r>
              <w:rPr>
                <w:color w:val="0000FF"/>
              </w:rPr>
              <w:t>水污染影响型</w:t>
            </w:r>
          </w:p>
        </w:tc>
        <w:tc>
          <w:tcPr>
            <w:tcW w:w="3392" w:type="dxa"/>
            <w:gridSpan w:val="7"/>
            <w:tcBorders>
              <w:tl2br w:val="nil"/>
              <w:tr2bl w:val="nil"/>
            </w:tcBorders>
            <w:vAlign w:val="center"/>
          </w:tcPr>
          <w:p>
            <w:pPr>
              <w:pStyle w:val="22"/>
              <w:bidi w:val="0"/>
              <w:jc w:val="center"/>
              <w:rPr>
                <w:color w:val="0000FF"/>
              </w:rPr>
            </w:pPr>
            <w:r>
              <w:rPr>
                <w:color w:val="0000FF"/>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2472" w:type="dxa"/>
            <w:gridSpan w:val="2"/>
            <w:vMerge w:val="continue"/>
            <w:tcBorders>
              <w:tl2br w:val="nil"/>
              <w:tr2bl w:val="nil"/>
            </w:tcBorders>
            <w:vAlign w:val="center"/>
          </w:tcPr>
          <w:p>
            <w:pPr>
              <w:pStyle w:val="22"/>
              <w:bidi w:val="0"/>
              <w:jc w:val="center"/>
              <w:rPr>
                <w:color w:val="0000FF"/>
              </w:rPr>
            </w:pPr>
          </w:p>
        </w:tc>
        <w:tc>
          <w:tcPr>
            <w:tcW w:w="3384" w:type="dxa"/>
            <w:gridSpan w:val="6"/>
            <w:tcBorders>
              <w:tl2br w:val="nil"/>
              <w:tr2bl w:val="nil"/>
            </w:tcBorders>
            <w:vAlign w:val="center"/>
          </w:tcPr>
          <w:p>
            <w:pPr>
              <w:pStyle w:val="22"/>
              <w:bidi w:val="0"/>
              <w:jc w:val="center"/>
              <w:rPr>
                <w:color w:val="0000FF"/>
              </w:rPr>
            </w:pPr>
            <w:r>
              <w:rPr>
                <w:color w:val="0000FF"/>
              </w:rPr>
              <w:t>一级□；二级□；三级A□；三级B</w:t>
            </w:r>
            <w:r>
              <w:rPr>
                <w:color w:val="0000FF"/>
              </w:rPr>
              <w:drawing>
                <wp:inline distT="0" distB="0" distL="0" distR="0">
                  <wp:extent cx="81280" cy="126365"/>
                  <wp:effectExtent l="0" t="0" r="13970" b="5715"/>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29"/>
                          <a:stretch>
                            <a:fillRect/>
                          </a:stretch>
                        </pic:blipFill>
                        <pic:spPr>
                          <a:xfrm>
                            <a:off x="0" y="0"/>
                            <a:ext cx="81381" cy="126644"/>
                          </a:xfrm>
                          <a:prstGeom prst="rect">
                            <a:avLst/>
                          </a:prstGeom>
                        </pic:spPr>
                      </pic:pic>
                    </a:graphicData>
                  </a:graphic>
                </wp:inline>
              </w:drawing>
            </w:r>
          </w:p>
        </w:tc>
        <w:tc>
          <w:tcPr>
            <w:tcW w:w="3392" w:type="dxa"/>
            <w:gridSpan w:val="7"/>
            <w:tcBorders>
              <w:tl2br w:val="nil"/>
              <w:tr2bl w:val="nil"/>
            </w:tcBorders>
            <w:vAlign w:val="center"/>
          </w:tcPr>
          <w:p>
            <w:pPr>
              <w:pStyle w:val="22"/>
              <w:bidi w:val="0"/>
              <w:jc w:val="center"/>
              <w:rPr>
                <w:color w:val="0000FF"/>
              </w:rPr>
            </w:pPr>
            <w:r>
              <w:rPr>
                <w:color w:val="0000FF"/>
              </w:rPr>
              <w:t>一级□；二级□；三级□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2" w:hRule="atLeast"/>
          <w:jc w:val="center"/>
        </w:trPr>
        <w:tc>
          <w:tcPr>
            <w:tcW w:w="949" w:type="dxa"/>
            <w:vMerge w:val="restart"/>
            <w:tcBorders>
              <w:tl2br w:val="nil"/>
              <w:tr2bl w:val="nil"/>
            </w:tcBorders>
            <w:textDirection w:val="tbRlV"/>
            <w:vAlign w:val="center"/>
          </w:tcPr>
          <w:p>
            <w:pPr>
              <w:pStyle w:val="22"/>
              <w:bidi w:val="0"/>
              <w:jc w:val="center"/>
              <w:rPr>
                <w:color w:val="0000FF"/>
              </w:rPr>
            </w:pPr>
            <w:r>
              <w:rPr>
                <w:color w:val="0000FF"/>
              </w:rPr>
              <w:t>现状调查</w:t>
            </w:r>
          </w:p>
        </w:tc>
        <w:tc>
          <w:tcPr>
            <w:tcW w:w="1523" w:type="dxa"/>
            <w:vMerge w:val="restart"/>
            <w:tcBorders>
              <w:tl2br w:val="nil"/>
              <w:tr2bl w:val="nil"/>
            </w:tcBorders>
            <w:vAlign w:val="center"/>
          </w:tcPr>
          <w:p>
            <w:pPr>
              <w:pStyle w:val="22"/>
              <w:bidi w:val="0"/>
              <w:jc w:val="center"/>
              <w:rPr>
                <w:color w:val="0000FF"/>
              </w:rPr>
            </w:pPr>
            <w:r>
              <w:rPr>
                <w:color w:val="0000FF"/>
              </w:rPr>
              <w:t>区域污染源</w:t>
            </w:r>
          </w:p>
        </w:tc>
        <w:tc>
          <w:tcPr>
            <w:tcW w:w="3384" w:type="dxa"/>
            <w:gridSpan w:val="6"/>
            <w:tcBorders>
              <w:tl2br w:val="nil"/>
              <w:tr2bl w:val="nil"/>
            </w:tcBorders>
            <w:vAlign w:val="center"/>
          </w:tcPr>
          <w:p>
            <w:pPr>
              <w:pStyle w:val="22"/>
              <w:bidi w:val="0"/>
              <w:jc w:val="center"/>
              <w:rPr>
                <w:color w:val="0000FF"/>
              </w:rPr>
            </w:pPr>
            <w:r>
              <w:rPr>
                <w:color w:val="0000FF"/>
              </w:rPr>
              <w:t>调查项目</w:t>
            </w:r>
          </w:p>
        </w:tc>
        <w:tc>
          <w:tcPr>
            <w:tcW w:w="3392" w:type="dxa"/>
            <w:gridSpan w:val="7"/>
            <w:tcBorders>
              <w:tl2br w:val="nil"/>
              <w:tr2bl w:val="nil"/>
            </w:tcBorders>
            <w:vAlign w:val="center"/>
          </w:tcPr>
          <w:p>
            <w:pPr>
              <w:pStyle w:val="22"/>
              <w:bidi w:val="0"/>
              <w:jc w:val="center"/>
              <w:rPr>
                <w:color w:val="0000FF"/>
              </w:rPr>
            </w:pPr>
            <w:r>
              <w:rPr>
                <w:color w:val="0000FF"/>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0"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1692" w:type="dxa"/>
            <w:gridSpan w:val="2"/>
            <w:tcBorders>
              <w:tl2br w:val="nil"/>
              <w:tr2bl w:val="nil"/>
            </w:tcBorders>
            <w:vAlign w:val="center"/>
          </w:tcPr>
          <w:p>
            <w:pPr>
              <w:pStyle w:val="22"/>
              <w:bidi w:val="0"/>
              <w:jc w:val="center"/>
              <w:rPr>
                <w:color w:val="0000FF"/>
              </w:rPr>
            </w:pPr>
            <w:r>
              <w:rPr>
                <w:color w:val="0000FF"/>
              </w:rPr>
              <w:t>已建□；在建□；拟建</w:t>
            </w:r>
            <w:r>
              <w:rPr>
                <w:color w:val="0000FF"/>
              </w:rPr>
              <w:drawing>
                <wp:inline distT="0" distB="0" distL="0" distR="0">
                  <wp:extent cx="82550" cy="126365"/>
                  <wp:effectExtent l="0" t="0" r="12700" b="5715"/>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30"/>
                          <a:stretch>
                            <a:fillRect/>
                          </a:stretch>
                        </pic:blipFill>
                        <pic:spPr>
                          <a:xfrm>
                            <a:off x="0" y="0"/>
                            <a:ext cx="82638" cy="126644"/>
                          </a:xfrm>
                          <a:prstGeom prst="rect">
                            <a:avLst/>
                          </a:prstGeom>
                        </pic:spPr>
                      </pic:pic>
                    </a:graphicData>
                  </a:graphic>
                </wp:inline>
              </w:drawing>
            </w:r>
            <w:r>
              <w:rPr>
                <w:color w:val="0000FF"/>
              </w:rPr>
              <w:t>；其他□</w:t>
            </w:r>
          </w:p>
        </w:tc>
        <w:tc>
          <w:tcPr>
            <w:tcW w:w="1692" w:type="dxa"/>
            <w:gridSpan w:val="4"/>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拟替代的污染源□</w:t>
            </w:r>
          </w:p>
        </w:tc>
        <w:tc>
          <w:tcPr>
            <w:tcW w:w="3392" w:type="dxa"/>
            <w:gridSpan w:val="7"/>
            <w:tcBorders>
              <w:tl2br w:val="nil"/>
              <w:tr2bl w:val="nil"/>
            </w:tcBorders>
            <w:vAlign w:val="center"/>
          </w:tcPr>
          <w:p>
            <w:pPr>
              <w:pStyle w:val="22"/>
              <w:bidi w:val="0"/>
              <w:jc w:val="center"/>
              <w:rPr>
                <w:color w:val="0000FF"/>
              </w:rPr>
            </w:pPr>
            <w:r>
              <w:rPr>
                <w:color w:val="0000FF"/>
              </w:rPr>
              <w:t>排污许可证□；环评□；环保验收□；</w:t>
            </w:r>
          </w:p>
          <w:p>
            <w:pPr>
              <w:pStyle w:val="22"/>
              <w:bidi w:val="0"/>
              <w:jc w:val="center"/>
              <w:rPr>
                <w:color w:val="0000FF"/>
              </w:rPr>
            </w:pPr>
            <w:r>
              <w:rPr>
                <w:color w:val="0000FF"/>
              </w:rPr>
              <w:t>既有实测□；现场监测□；入河排放口数据□；其他□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restart"/>
            <w:tcBorders>
              <w:tl2br w:val="nil"/>
              <w:tr2bl w:val="nil"/>
            </w:tcBorders>
            <w:vAlign w:val="center"/>
          </w:tcPr>
          <w:p>
            <w:pPr>
              <w:pStyle w:val="22"/>
              <w:bidi w:val="0"/>
              <w:jc w:val="center"/>
              <w:rPr>
                <w:color w:val="0000FF"/>
              </w:rPr>
            </w:pPr>
            <w:r>
              <w:rPr>
                <w:color w:val="0000FF"/>
              </w:rPr>
              <w:t>受影响水体水环境质量</w:t>
            </w:r>
          </w:p>
        </w:tc>
        <w:tc>
          <w:tcPr>
            <w:tcW w:w="3384" w:type="dxa"/>
            <w:gridSpan w:val="6"/>
            <w:tcBorders>
              <w:tl2br w:val="nil"/>
              <w:tr2bl w:val="nil"/>
            </w:tcBorders>
            <w:vAlign w:val="center"/>
          </w:tcPr>
          <w:p>
            <w:pPr>
              <w:pStyle w:val="22"/>
              <w:bidi w:val="0"/>
              <w:jc w:val="center"/>
              <w:rPr>
                <w:color w:val="0000FF"/>
              </w:rPr>
            </w:pPr>
            <w:r>
              <w:rPr>
                <w:color w:val="0000FF"/>
              </w:rPr>
              <w:t>调查时期</w:t>
            </w:r>
          </w:p>
        </w:tc>
        <w:tc>
          <w:tcPr>
            <w:tcW w:w="3392" w:type="dxa"/>
            <w:gridSpan w:val="7"/>
            <w:tcBorders>
              <w:tl2br w:val="nil"/>
              <w:tr2bl w:val="nil"/>
            </w:tcBorders>
            <w:vAlign w:val="center"/>
          </w:tcPr>
          <w:p>
            <w:pPr>
              <w:pStyle w:val="22"/>
              <w:bidi w:val="0"/>
              <w:jc w:val="center"/>
              <w:rPr>
                <w:color w:val="0000FF"/>
              </w:rPr>
            </w:pPr>
            <w:r>
              <w:rPr>
                <w:color w:val="0000FF"/>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3384" w:type="dxa"/>
            <w:gridSpan w:val="6"/>
            <w:tcBorders>
              <w:tl2br w:val="nil"/>
              <w:tr2bl w:val="nil"/>
            </w:tcBorders>
            <w:vAlign w:val="center"/>
          </w:tcPr>
          <w:p>
            <w:pPr>
              <w:pStyle w:val="22"/>
              <w:bidi w:val="0"/>
              <w:jc w:val="center"/>
              <w:rPr>
                <w:color w:val="0000FF"/>
              </w:rPr>
            </w:pPr>
            <w:r>
              <w:rPr>
                <w:color w:val="0000FF"/>
              </w:rPr>
              <w:t>丰水期□；平水期□；枯水期□；冰封期□</w:t>
            </w:r>
          </w:p>
          <w:p>
            <w:pPr>
              <w:pStyle w:val="22"/>
              <w:bidi w:val="0"/>
              <w:jc w:val="center"/>
              <w:rPr>
                <w:color w:val="0000FF"/>
              </w:rPr>
            </w:pPr>
            <w:r>
              <w:rPr>
                <w:color w:val="0000FF"/>
              </w:rPr>
              <w:t>春季□；夏季□；秋季□；冬季□</w:t>
            </w:r>
          </w:p>
        </w:tc>
        <w:tc>
          <w:tcPr>
            <w:tcW w:w="3392" w:type="dxa"/>
            <w:gridSpan w:val="7"/>
            <w:tcBorders>
              <w:tl2br w:val="nil"/>
              <w:tr2bl w:val="nil"/>
            </w:tcBorders>
            <w:vAlign w:val="center"/>
          </w:tcPr>
          <w:p>
            <w:pPr>
              <w:pStyle w:val="22"/>
              <w:bidi w:val="0"/>
              <w:jc w:val="center"/>
              <w:rPr>
                <w:color w:val="0000FF"/>
              </w:rPr>
            </w:pPr>
            <w:r>
              <w:rPr>
                <w:color w:val="0000FF"/>
              </w:rPr>
              <w:t>生态环境保护主管部门□；补充监测□；其他□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区域水资源开发利用状况</w:t>
            </w:r>
          </w:p>
        </w:tc>
        <w:tc>
          <w:tcPr>
            <w:tcW w:w="6776" w:type="dxa"/>
            <w:gridSpan w:val="13"/>
            <w:tcBorders>
              <w:tl2br w:val="nil"/>
              <w:tr2bl w:val="nil"/>
            </w:tcBorders>
            <w:vAlign w:val="center"/>
          </w:tcPr>
          <w:p>
            <w:pPr>
              <w:pStyle w:val="22"/>
              <w:bidi w:val="0"/>
              <w:jc w:val="center"/>
              <w:rPr>
                <w:color w:val="0000FF"/>
              </w:rPr>
            </w:pPr>
            <w:r>
              <w:rPr>
                <w:color w:val="0000FF"/>
              </w:rPr>
              <w:t>未开发□；开发量40%以下□；开发量40%以上□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restart"/>
            <w:tcBorders>
              <w:tl2br w:val="nil"/>
              <w:tr2bl w:val="nil"/>
            </w:tcBorders>
            <w:vAlign w:val="center"/>
          </w:tcPr>
          <w:p>
            <w:pPr>
              <w:pStyle w:val="22"/>
              <w:bidi w:val="0"/>
              <w:jc w:val="center"/>
              <w:rPr>
                <w:color w:val="0000FF"/>
              </w:rPr>
            </w:pPr>
            <w:r>
              <w:rPr>
                <w:color w:val="0000FF"/>
              </w:rPr>
              <w:t>水文情势调查</w:t>
            </w:r>
          </w:p>
        </w:tc>
        <w:tc>
          <w:tcPr>
            <w:tcW w:w="3384" w:type="dxa"/>
            <w:gridSpan w:val="6"/>
            <w:tcBorders>
              <w:tl2br w:val="nil"/>
              <w:tr2bl w:val="nil"/>
            </w:tcBorders>
            <w:vAlign w:val="center"/>
          </w:tcPr>
          <w:p>
            <w:pPr>
              <w:pStyle w:val="22"/>
              <w:bidi w:val="0"/>
              <w:jc w:val="center"/>
              <w:rPr>
                <w:color w:val="0000FF"/>
              </w:rPr>
            </w:pPr>
            <w:r>
              <w:rPr>
                <w:color w:val="0000FF"/>
              </w:rPr>
              <w:t>调查时期</w:t>
            </w:r>
          </w:p>
        </w:tc>
        <w:tc>
          <w:tcPr>
            <w:tcW w:w="3392" w:type="dxa"/>
            <w:gridSpan w:val="7"/>
            <w:tcBorders>
              <w:tl2br w:val="nil"/>
              <w:tr2bl w:val="nil"/>
            </w:tcBorders>
            <w:vAlign w:val="center"/>
          </w:tcPr>
          <w:p>
            <w:pPr>
              <w:pStyle w:val="22"/>
              <w:bidi w:val="0"/>
              <w:jc w:val="center"/>
              <w:rPr>
                <w:color w:val="0000FF"/>
              </w:rPr>
            </w:pPr>
            <w:r>
              <w:rPr>
                <w:color w:val="0000FF"/>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3384" w:type="dxa"/>
            <w:gridSpan w:val="6"/>
            <w:tcBorders>
              <w:tl2br w:val="nil"/>
              <w:tr2bl w:val="nil"/>
            </w:tcBorders>
            <w:vAlign w:val="center"/>
          </w:tcPr>
          <w:p>
            <w:pPr>
              <w:pStyle w:val="22"/>
              <w:bidi w:val="0"/>
              <w:jc w:val="center"/>
              <w:rPr>
                <w:color w:val="0000FF"/>
              </w:rPr>
            </w:pPr>
            <w:r>
              <w:rPr>
                <w:color w:val="0000FF"/>
              </w:rPr>
              <w:t>丰水期□；平水期□；枯水期□；冰封期</w:t>
            </w:r>
          </w:p>
          <w:p>
            <w:pPr>
              <w:pStyle w:val="22"/>
              <w:bidi w:val="0"/>
              <w:jc w:val="center"/>
              <w:rPr>
                <w:color w:val="0000FF"/>
              </w:rPr>
            </w:pPr>
            <w:r>
              <w:rPr>
                <w:color w:val="0000FF"/>
              </w:rPr>
              <w:t>春季</w:t>
            </w:r>
            <w:r>
              <w:rPr>
                <w:color w:val="0000FF"/>
              </w:rPr>
              <w:drawing>
                <wp:inline distT="0" distB="0" distL="0" distR="0">
                  <wp:extent cx="81280" cy="126365"/>
                  <wp:effectExtent l="0" t="0" r="13970" b="5715"/>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1"/>
                          <a:stretch>
                            <a:fillRect/>
                          </a:stretch>
                        </pic:blipFill>
                        <pic:spPr>
                          <a:xfrm>
                            <a:off x="0" y="0"/>
                            <a:ext cx="81381" cy="126644"/>
                          </a:xfrm>
                          <a:prstGeom prst="rect">
                            <a:avLst/>
                          </a:prstGeom>
                        </pic:spPr>
                      </pic:pic>
                    </a:graphicData>
                  </a:graphic>
                </wp:inline>
              </w:drawing>
            </w:r>
            <w:r>
              <w:rPr>
                <w:color w:val="0000FF"/>
              </w:rPr>
              <w:t>；夏季□；秋季□；冬季□</w:t>
            </w:r>
          </w:p>
        </w:tc>
        <w:tc>
          <w:tcPr>
            <w:tcW w:w="3392" w:type="dxa"/>
            <w:gridSpan w:val="7"/>
            <w:tcBorders>
              <w:tl2br w:val="nil"/>
              <w:tr2bl w:val="nil"/>
            </w:tcBorders>
            <w:vAlign w:val="center"/>
          </w:tcPr>
          <w:p>
            <w:pPr>
              <w:pStyle w:val="22"/>
              <w:bidi w:val="0"/>
              <w:jc w:val="center"/>
              <w:rPr>
                <w:color w:val="0000FF"/>
              </w:rPr>
            </w:pPr>
            <w:r>
              <w:rPr>
                <w:color w:val="0000FF"/>
              </w:rPr>
              <w:t>水行政主管部门□；补充监测</w:t>
            </w:r>
            <w:r>
              <w:rPr>
                <w:color w:val="0000FF"/>
              </w:rPr>
              <w:drawing>
                <wp:inline distT="0" distB="0" distL="0" distR="0">
                  <wp:extent cx="81280" cy="126365"/>
                  <wp:effectExtent l="0" t="0" r="13970" b="5715"/>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31"/>
                          <a:stretch>
                            <a:fillRect/>
                          </a:stretch>
                        </pic:blipFill>
                        <pic:spPr>
                          <a:xfrm>
                            <a:off x="0" y="0"/>
                            <a:ext cx="81381" cy="126644"/>
                          </a:xfrm>
                          <a:prstGeom prst="rect">
                            <a:avLst/>
                          </a:prstGeom>
                        </pic:spPr>
                      </pic:pic>
                    </a:graphicData>
                  </a:graphic>
                </wp:inline>
              </w:drawing>
            </w:r>
            <w:r>
              <w:rPr>
                <w:color w:val="0000FF"/>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restart"/>
            <w:tcBorders>
              <w:tl2br w:val="nil"/>
              <w:tr2bl w:val="nil"/>
            </w:tcBorders>
            <w:vAlign w:val="center"/>
          </w:tcPr>
          <w:p>
            <w:pPr>
              <w:pStyle w:val="22"/>
              <w:bidi w:val="0"/>
              <w:jc w:val="center"/>
              <w:rPr>
                <w:color w:val="0000FF"/>
              </w:rPr>
            </w:pPr>
            <w:r>
              <w:rPr>
                <w:color w:val="0000FF"/>
              </w:rPr>
              <w:t>补充监测</w:t>
            </w:r>
          </w:p>
        </w:tc>
        <w:tc>
          <w:tcPr>
            <w:tcW w:w="2257" w:type="dxa"/>
            <w:gridSpan w:val="4"/>
            <w:tcBorders>
              <w:tl2br w:val="nil"/>
              <w:tr2bl w:val="nil"/>
            </w:tcBorders>
            <w:vAlign w:val="center"/>
          </w:tcPr>
          <w:p>
            <w:pPr>
              <w:pStyle w:val="22"/>
              <w:bidi w:val="0"/>
              <w:jc w:val="center"/>
              <w:rPr>
                <w:color w:val="0000FF"/>
              </w:rPr>
            </w:pPr>
            <w:r>
              <w:rPr>
                <w:color w:val="0000FF"/>
              </w:rPr>
              <w:t>监测时期</w:t>
            </w:r>
          </w:p>
        </w:tc>
        <w:tc>
          <w:tcPr>
            <w:tcW w:w="2256" w:type="dxa"/>
            <w:gridSpan w:val="5"/>
            <w:tcBorders>
              <w:tl2br w:val="nil"/>
              <w:tr2bl w:val="nil"/>
            </w:tcBorders>
            <w:vAlign w:val="center"/>
          </w:tcPr>
          <w:p>
            <w:pPr>
              <w:pStyle w:val="22"/>
              <w:bidi w:val="0"/>
              <w:jc w:val="center"/>
              <w:rPr>
                <w:color w:val="0000FF"/>
              </w:rPr>
            </w:pPr>
            <w:r>
              <w:rPr>
                <w:color w:val="0000FF"/>
              </w:rPr>
              <w:t>监测因子</w:t>
            </w:r>
          </w:p>
        </w:tc>
        <w:tc>
          <w:tcPr>
            <w:tcW w:w="2263" w:type="dxa"/>
            <w:gridSpan w:val="4"/>
            <w:tcBorders>
              <w:tl2br w:val="nil"/>
              <w:tr2bl w:val="nil"/>
            </w:tcBorders>
            <w:vAlign w:val="center"/>
          </w:tcPr>
          <w:p>
            <w:pPr>
              <w:pStyle w:val="22"/>
              <w:bidi w:val="0"/>
              <w:jc w:val="center"/>
              <w:rPr>
                <w:color w:val="0000FF"/>
              </w:rPr>
            </w:pPr>
            <w:r>
              <w:rPr>
                <w:color w:val="0000FF"/>
              </w:rPr>
              <w:t>监测断面或点位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2257" w:type="dxa"/>
            <w:gridSpan w:val="4"/>
            <w:tcBorders>
              <w:tl2br w:val="nil"/>
              <w:tr2bl w:val="nil"/>
            </w:tcBorders>
            <w:vAlign w:val="center"/>
          </w:tcPr>
          <w:p>
            <w:pPr>
              <w:pStyle w:val="22"/>
              <w:bidi w:val="0"/>
              <w:jc w:val="center"/>
              <w:rPr>
                <w:color w:val="0000FF"/>
              </w:rPr>
            </w:pPr>
            <w:r>
              <w:rPr>
                <w:color w:val="0000FF"/>
              </w:rPr>
              <w:t>丰水期□；平水期□；枯水期□；冰封期□春季</w:t>
            </w:r>
            <w:r>
              <w:rPr>
                <w:color w:val="0000FF"/>
              </w:rPr>
              <w:drawing>
                <wp:inline distT="0" distB="0" distL="0" distR="0">
                  <wp:extent cx="82550" cy="126365"/>
                  <wp:effectExtent l="0" t="0" r="12700" b="571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0"/>
                          <a:stretch>
                            <a:fillRect/>
                          </a:stretch>
                        </pic:blipFill>
                        <pic:spPr>
                          <a:xfrm>
                            <a:off x="0" y="0"/>
                            <a:ext cx="82638" cy="126644"/>
                          </a:xfrm>
                          <a:prstGeom prst="rect">
                            <a:avLst/>
                          </a:prstGeom>
                        </pic:spPr>
                      </pic:pic>
                    </a:graphicData>
                  </a:graphic>
                </wp:inline>
              </w:drawing>
            </w:r>
            <w:r>
              <w:rPr>
                <w:color w:val="0000FF"/>
              </w:rPr>
              <w:t>；夏季</w:t>
            </w:r>
            <w:r>
              <w:rPr>
                <w:color w:val="0000FF"/>
              </w:rPr>
              <w:drawing>
                <wp:inline distT="0" distB="0" distL="0" distR="0">
                  <wp:extent cx="82550" cy="126365"/>
                  <wp:effectExtent l="0" t="0" r="12700" b="5715"/>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32"/>
                          <a:stretch>
                            <a:fillRect/>
                          </a:stretch>
                        </pic:blipFill>
                        <pic:spPr>
                          <a:xfrm>
                            <a:off x="0" y="0"/>
                            <a:ext cx="82638" cy="126644"/>
                          </a:xfrm>
                          <a:prstGeom prst="rect">
                            <a:avLst/>
                          </a:prstGeom>
                        </pic:spPr>
                      </pic:pic>
                    </a:graphicData>
                  </a:graphic>
                </wp:inline>
              </w:drawing>
            </w:r>
            <w:r>
              <w:rPr>
                <w:color w:val="0000FF"/>
              </w:rPr>
              <w:t>；秋季□；冬季□</w:t>
            </w:r>
          </w:p>
        </w:tc>
        <w:tc>
          <w:tcPr>
            <w:tcW w:w="2256" w:type="dxa"/>
            <w:gridSpan w:val="5"/>
            <w:tcBorders>
              <w:tl2br w:val="nil"/>
              <w:tr2bl w:val="nil"/>
            </w:tcBorders>
            <w:vAlign w:val="center"/>
          </w:tcPr>
          <w:p>
            <w:pPr>
              <w:pStyle w:val="22"/>
              <w:bidi w:val="0"/>
              <w:jc w:val="center"/>
              <w:rPr>
                <w:color w:val="0000FF"/>
              </w:rPr>
            </w:pPr>
            <w:r>
              <w:rPr>
                <w:color w:val="0000FF"/>
              </w:rPr>
              <w:t>（）</w:t>
            </w:r>
          </w:p>
        </w:tc>
        <w:tc>
          <w:tcPr>
            <w:tcW w:w="2263" w:type="dxa"/>
            <w:gridSpan w:val="4"/>
            <w:tcBorders>
              <w:tl2br w:val="nil"/>
              <w:tr2bl w:val="nil"/>
            </w:tcBorders>
            <w:vAlign w:val="center"/>
          </w:tcPr>
          <w:p>
            <w:pPr>
              <w:pStyle w:val="22"/>
              <w:bidi w:val="0"/>
              <w:jc w:val="center"/>
              <w:rPr>
                <w:color w:val="0000FF"/>
              </w:rPr>
            </w:pPr>
            <w:r>
              <w:rPr>
                <w:color w:val="0000FF"/>
              </w:rPr>
              <w:t>监测断面或点位个数（）个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restart"/>
            <w:tcBorders>
              <w:tl2br w:val="nil"/>
              <w:tr2bl w:val="nil"/>
            </w:tcBorders>
            <w:textDirection w:val="tbRlV"/>
            <w:vAlign w:val="center"/>
          </w:tcPr>
          <w:p>
            <w:pPr>
              <w:pStyle w:val="22"/>
              <w:bidi w:val="0"/>
              <w:jc w:val="center"/>
              <w:rPr>
                <w:color w:val="0000FF"/>
              </w:rPr>
            </w:pPr>
            <w:r>
              <w:rPr>
                <w:color w:val="0000FF"/>
              </w:rPr>
              <w:t>现状评价</w:t>
            </w:r>
          </w:p>
        </w:tc>
        <w:tc>
          <w:tcPr>
            <w:tcW w:w="1523" w:type="dxa"/>
            <w:tcBorders>
              <w:tl2br w:val="nil"/>
              <w:tr2bl w:val="nil"/>
            </w:tcBorders>
            <w:vAlign w:val="center"/>
          </w:tcPr>
          <w:p>
            <w:pPr>
              <w:pStyle w:val="22"/>
              <w:bidi w:val="0"/>
              <w:jc w:val="center"/>
              <w:rPr>
                <w:color w:val="0000FF"/>
              </w:rPr>
            </w:pPr>
            <w:r>
              <w:rPr>
                <w:color w:val="0000FF"/>
              </w:rPr>
              <w:t>评价范围</w:t>
            </w:r>
          </w:p>
        </w:tc>
        <w:tc>
          <w:tcPr>
            <w:tcW w:w="6776" w:type="dxa"/>
            <w:gridSpan w:val="13"/>
            <w:tcBorders>
              <w:tl2br w:val="nil"/>
              <w:tr2bl w:val="nil"/>
            </w:tcBorders>
            <w:vAlign w:val="center"/>
          </w:tcPr>
          <w:p>
            <w:pPr>
              <w:pStyle w:val="22"/>
              <w:bidi w:val="0"/>
              <w:jc w:val="center"/>
              <w:rPr>
                <w:color w:val="0000FF"/>
              </w:rPr>
            </w:pPr>
            <w:r>
              <w:rPr>
                <w:color w:val="0000FF"/>
              </w:rPr>
              <w:t>河流：长度（/）km；湖库、河口及近岸海域：面积（）km2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评价因子</w:t>
            </w:r>
          </w:p>
        </w:tc>
        <w:tc>
          <w:tcPr>
            <w:tcW w:w="6776" w:type="dxa"/>
            <w:gridSpan w:val="13"/>
            <w:tcBorders>
              <w:tl2br w:val="nil"/>
              <w:tr2bl w:val="nil"/>
            </w:tcBorders>
            <w:vAlign w:val="center"/>
          </w:tcPr>
          <w:p>
            <w:pPr>
              <w:pStyle w:val="22"/>
              <w:bidi w:val="0"/>
              <w:jc w:val="center"/>
              <w:rPr>
                <w:color w:val="0000FF"/>
              </w:rPr>
            </w:pPr>
            <w:r>
              <w:rPr>
                <w:color w:val="0000FF"/>
              </w:rPr>
              <w:t>（COD、BOD5、SS、氨氮、粪大肠菌群）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评价标准</w:t>
            </w:r>
          </w:p>
        </w:tc>
        <w:tc>
          <w:tcPr>
            <w:tcW w:w="6776" w:type="dxa"/>
            <w:gridSpan w:val="13"/>
            <w:tcBorders>
              <w:tl2br w:val="nil"/>
              <w:tr2bl w:val="nil"/>
            </w:tcBorders>
            <w:vAlign w:val="center"/>
          </w:tcPr>
          <w:p>
            <w:pPr>
              <w:pStyle w:val="22"/>
              <w:bidi w:val="0"/>
              <w:jc w:val="center"/>
              <w:rPr>
                <w:color w:val="0000FF"/>
              </w:rPr>
            </w:pPr>
            <w:r>
              <w:rPr>
                <w:color w:val="0000FF"/>
              </w:rPr>
              <w:t>河流、湖库、河口：Ⅰ类</w:t>
            </w:r>
            <w:r>
              <w:rPr>
                <w:color w:val="0000FF"/>
              </w:rPr>
              <w:drawing>
                <wp:inline distT="0" distB="0" distL="0" distR="0">
                  <wp:extent cx="81280" cy="126365"/>
                  <wp:effectExtent l="0" t="0" r="13970" b="5715"/>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1"/>
                          <a:stretch>
                            <a:fillRect/>
                          </a:stretch>
                        </pic:blipFill>
                        <pic:spPr>
                          <a:xfrm>
                            <a:off x="0" y="0"/>
                            <a:ext cx="81381" cy="126644"/>
                          </a:xfrm>
                          <a:prstGeom prst="rect">
                            <a:avLst/>
                          </a:prstGeom>
                        </pic:spPr>
                      </pic:pic>
                    </a:graphicData>
                  </a:graphic>
                </wp:inline>
              </w:drawing>
            </w:r>
            <w:r>
              <w:rPr>
                <w:color w:val="0000FF"/>
              </w:rPr>
              <w:t>；Ⅱ类</w:t>
            </w:r>
            <w:r>
              <w:rPr>
                <w:color w:val="0000FF"/>
              </w:rPr>
              <w:drawing>
                <wp:inline distT="0" distB="0" distL="0" distR="0">
                  <wp:extent cx="82550" cy="126365"/>
                  <wp:effectExtent l="0" t="0" r="12700" b="5715"/>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33"/>
                          <a:stretch>
                            <a:fillRect/>
                          </a:stretch>
                        </pic:blipFill>
                        <pic:spPr>
                          <a:xfrm>
                            <a:off x="0" y="0"/>
                            <a:ext cx="82638" cy="126644"/>
                          </a:xfrm>
                          <a:prstGeom prst="rect">
                            <a:avLst/>
                          </a:prstGeom>
                        </pic:spPr>
                      </pic:pic>
                    </a:graphicData>
                  </a:graphic>
                </wp:inline>
              </w:drawing>
            </w:r>
            <w:r>
              <w:rPr>
                <w:color w:val="0000FF"/>
              </w:rPr>
              <w:t>；Ⅲ类□；Ⅳ类□；Ⅴ类□近岸海域：第一类□；第二类□；第三类□；第四类□</w:t>
            </w:r>
          </w:p>
          <w:p>
            <w:pPr>
              <w:pStyle w:val="22"/>
              <w:bidi w:val="0"/>
              <w:jc w:val="center"/>
              <w:rPr>
                <w:color w:val="0000FF"/>
              </w:rPr>
            </w:pPr>
            <w:r>
              <w:rPr>
                <w:color w:val="0000FF"/>
              </w:rPr>
              <w:t>规划年评价标准（）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评价时期</w:t>
            </w:r>
          </w:p>
        </w:tc>
        <w:tc>
          <w:tcPr>
            <w:tcW w:w="6776" w:type="dxa"/>
            <w:gridSpan w:val="13"/>
            <w:tcBorders>
              <w:tl2br w:val="nil"/>
              <w:tr2bl w:val="nil"/>
            </w:tcBorders>
            <w:vAlign w:val="center"/>
          </w:tcPr>
          <w:p>
            <w:pPr>
              <w:pStyle w:val="22"/>
              <w:bidi w:val="0"/>
              <w:jc w:val="center"/>
              <w:rPr>
                <w:color w:val="0000FF"/>
              </w:rPr>
            </w:pPr>
            <w:r>
              <w:rPr>
                <w:color w:val="0000FF"/>
              </w:rPr>
              <w:t>丰水期□；平水期□；枯水期□；冰封期□</w:t>
            </w:r>
          </w:p>
          <w:p>
            <w:pPr>
              <w:pStyle w:val="22"/>
              <w:bidi w:val="0"/>
              <w:jc w:val="center"/>
              <w:rPr>
                <w:color w:val="0000FF"/>
              </w:rPr>
            </w:pPr>
            <w:r>
              <w:rPr>
                <w:color w:val="0000FF"/>
              </w:rPr>
              <w:t>春季</w:t>
            </w:r>
            <w:r>
              <w:rPr>
                <w:color w:val="0000FF"/>
              </w:rPr>
              <w:drawing>
                <wp:inline distT="0" distB="0" distL="0" distR="0">
                  <wp:extent cx="82550" cy="126365"/>
                  <wp:effectExtent l="0" t="0" r="12700" b="5715"/>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0"/>
                          <a:stretch>
                            <a:fillRect/>
                          </a:stretch>
                        </pic:blipFill>
                        <pic:spPr>
                          <a:xfrm>
                            <a:off x="0" y="0"/>
                            <a:ext cx="82638" cy="126644"/>
                          </a:xfrm>
                          <a:prstGeom prst="rect">
                            <a:avLst/>
                          </a:prstGeom>
                        </pic:spPr>
                      </pic:pic>
                    </a:graphicData>
                  </a:graphic>
                </wp:inline>
              </w:drawing>
            </w:r>
            <w:r>
              <w:rPr>
                <w:color w:val="0000FF"/>
              </w:rPr>
              <w:t>；夏季□；秋季□；冬季□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评价结论</w:t>
            </w:r>
          </w:p>
        </w:tc>
        <w:tc>
          <w:tcPr>
            <w:tcW w:w="5364" w:type="dxa"/>
            <w:gridSpan w:val="11"/>
            <w:tcBorders>
              <w:tl2br w:val="nil"/>
              <w:tr2bl w:val="nil"/>
            </w:tcBorders>
            <w:vAlign w:val="center"/>
          </w:tcPr>
          <w:p>
            <w:pPr>
              <w:pStyle w:val="22"/>
              <w:bidi w:val="0"/>
              <w:jc w:val="center"/>
              <w:rPr>
                <w:color w:val="0000FF"/>
              </w:rPr>
            </w:pPr>
            <w:r>
              <w:rPr>
                <w:color w:val="0000FF"/>
              </w:rPr>
              <w:t>水环境功能区或水功能区、近岸海域环境功能区水质达标状况□：达标□；不达标</w:t>
            </w:r>
            <w:r>
              <w:rPr>
                <w:color w:val="0000FF"/>
              </w:rPr>
              <w:drawing>
                <wp:inline distT="0" distB="0" distL="0" distR="0">
                  <wp:extent cx="81280" cy="126365"/>
                  <wp:effectExtent l="0" t="0" r="13970" b="5715"/>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31"/>
                          <a:stretch>
                            <a:fillRect/>
                          </a:stretch>
                        </pic:blipFill>
                        <pic:spPr>
                          <a:xfrm>
                            <a:off x="0" y="0"/>
                            <a:ext cx="81381" cy="126644"/>
                          </a:xfrm>
                          <a:prstGeom prst="rect">
                            <a:avLst/>
                          </a:prstGeom>
                        </pic:spPr>
                      </pic:pic>
                    </a:graphicData>
                  </a:graphic>
                </wp:inline>
              </w:drawing>
            </w:r>
          </w:p>
          <w:p>
            <w:pPr>
              <w:pStyle w:val="22"/>
              <w:bidi w:val="0"/>
              <w:jc w:val="center"/>
              <w:rPr>
                <w:color w:val="0000FF"/>
              </w:rPr>
            </w:pPr>
            <w:r>
              <w:rPr>
                <w:color w:val="0000FF"/>
              </w:rPr>
              <w:t>水环境控制单元或断面水质达标状况□：达标□；不达标</w:t>
            </w:r>
            <w:r>
              <w:rPr>
                <w:color w:val="0000FF"/>
              </w:rPr>
              <w:drawing>
                <wp:inline distT="0" distB="0" distL="0" distR="0">
                  <wp:extent cx="81280" cy="126365"/>
                  <wp:effectExtent l="0" t="0" r="13970" b="5715"/>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31"/>
                          <a:stretch>
                            <a:fillRect/>
                          </a:stretch>
                        </pic:blipFill>
                        <pic:spPr>
                          <a:xfrm>
                            <a:off x="0" y="0"/>
                            <a:ext cx="81381" cy="126644"/>
                          </a:xfrm>
                          <a:prstGeom prst="rect">
                            <a:avLst/>
                          </a:prstGeom>
                        </pic:spPr>
                      </pic:pic>
                    </a:graphicData>
                  </a:graphic>
                </wp:inline>
              </w:drawing>
            </w:r>
            <w:r>
              <w:rPr>
                <w:color w:val="0000FF"/>
              </w:rPr>
              <w:t>水环境保护目标质量状况□：达标□；不达标□</w:t>
            </w:r>
          </w:p>
          <w:p>
            <w:pPr>
              <w:pStyle w:val="22"/>
              <w:bidi w:val="0"/>
              <w:jc w:val="center"/>
              <w:rPr>
                <w:color w:val="0000FF"/>
              </w:rPr>
            </w:pPr>
            <w:r>
              <w:rPr>
                <w:color w:val="0000FF"/>
              </w:rPr>
              <w:t>对照断面、控制断面等代表性断面的水质状况□：达标□；不达标</w:t>
            </w:r>
            <w:r>
              <w:rPr>
                <w:color w:val="0000FF"/>
              </w:rPr>
              <w:drawing>
                <wp:inline distT="0" distB="0" distL="0" distR="0">
                  <wp:extent cx="81280" cy="126365"/>
                  <wp:effectExtent l="0" t="0" r="13970" b="5715"/>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31"/>
                          <a:stretch>
                            <a:fillRect/>
                          </a:stretch>
                        </pic:blipFill>
                        <pic:spPr>
                          <a:xfrm>
                            <a:off x="0" y="0"/>
                            <a:ext cx="81381" cy="126644"/>
                          </a:xfrm>
                          <a:prstGeom prst="rect">
                            <a:avLst/>
                          </a:prstGeom>
                        </pic:spPr>
                      </pic:pic>
                    </a:graphicData>
                  </a:graphic>
                </wp:inline>
              </w:drawing>
            </w:r>
          </w:p>
          <w:p>
            <w:pPr>
              <w:pStyle w:val="22"/>
              <w:bidi w:val="0"/>
              <w:jc w:val="center"/>
              <w:rPr>
                <w:color w:val="0000FF"/>
              </w:rPr>
            </w:pPr>
            <w:r>
              <w:rPr>
                <w:color w:val="0000FF"/>
              </w:rPr>
              <w:t>底泥污染评价□</w:t>
            </w:r>
          </w:p>
          <w:p>
            <w:pPr>
              <w:pStyle w:val="22"/>
              <w:bidi w:val="0"/>
              <w:jc w:val="center"/>
              <w:rPr>
                <w:color w:val="0000FF"/>
              </w:rPr>
            </w:pPr>
            <w:r>
              <w:rPr>
                <w:color w:val="0000FF"/>
              </w:rPr>
              <w:t>水资源与开发利用程度及其水文情势评价□</w:t>
            </w:r>
          </w:p>
          <w:p>
            <w:pPr>
              <w:pStyle w:val="22"/>
              <w:bidi w:val="0"/>
              <w:jc w:val="center"/>
              <w:rPr>
                <w:color w:val="0000FF"/>
              </w:rPr>
            </w:pPr>
            <w:r>
              <w:rPr>
                <w:color w:val="0000FF"/>
              </w:rPr>
              <w:t>水环境质量回顾评价□</w:t>
            </w:r>
          </w:p>
          <w:p>
            <w:pPr>
              <w:pStyle w:val="22"/>
              <w:bidi w:val="0"/>
              <w:jc w:val="center"/>
              <w:rPr>
                <w:color w:val="0000FF"/>
              </w:rPr>
            </w:pPr>
            <w:r>
              <w:rPr>
                <w:color w:val="0000FF"/>
              </w:rPr>
              <w:t>流域（区域）水资源（包括水能资源）与开发利用总体状况、生态流量管理要求与现状满足程度、建设项目占用水域空间的水流状况与河湖演变状况□</w:t>
            </w:r>
          </w:p>
        </w:tc>
        <w:tc>
          <w:tcPr>
            <w:tcW w:w="1412" w:type="dxa"/>
            <w:gridSpan w:val="2"/>
            <w:tcBorders>
              <w:tl2br w:val="nil"/>
              <w:tr2bl w:val="nil"/>
            </w:tcBorders>
            <w:vAlign w:val="center"/>
          </w:tcPr>
          <w:p>
            <w:pPr>
              <w:pStyle w:val="22"/>
              <w:bidi w:val="0"/>
              <w:jc w:val="center"/>
              <w:rPr>
                <w:color w:val="0000FF"/>
              </w:rPr>
            </w:pPr>
            <w:r>
              <w:rPr>
                <w:color w:val="0000FF"/>
              </w:rPr>
              <w:t>达标区□不达标区</w:t>
            </w:r>
            <w:r>
              <w:rPr>
                <w:color w:val="0000FF"/>
              </w:rPr>
              <w:drawing>
                <wp:inline distT="0" distB="0" distL="0" distR="0">
                  <wp:extent cx="81280" cy="126365"/>
                  <wp:effectExtent l="0" t="0" r="13970" b="5715"/>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31"/>
                          <a:stretch>
                            <a:fillRect/>
                          </a:stretch>
                        </pic:blipFill>
                        <pic:spPr>
                          <a:xfrm>
                            <a:off x="0" y="0"/>
                            <a:ext cx="81381" cy="12664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restart"/>
            <w:tcBorders>
              <w:tl2br w:val="nil"/>
              <w:tr2bl w:val="nil"/>
            </w:tcBorders>
            <w:textDirection w:val="tbRlV"/>
            <w:vAlign w:val="center"/>
          </w:tcPr>
          <w:p>
            <w:pPr>
              <w:pStyle w:val="22"/>
              <w:bidi w:val="0"/>
              <w:jc w:val="center"/>
              <w:rPr>
                <w:color w:val="0000FF"/>
              </w:rPr>
            </w:pPr>
            <w:r>
              <w:rPr>
                <w:color w:val="0000FF"/>
              </w:rPr>
              <w:t>影响预测</w:t>
            </w:r>
          </w:p>
        </w:tc>
        <w:tc>
          <w:tcPr>
            <w:tcW w:w="1523" w:type="dxa"/>
            <w:tcBorders>
              <w:tl2br w:val="nil"/>
              <w:tr2bl w:val="nil"/>
            </w:tcBorders>
            <w:vAlign w:val="center"/>
          </w:tcPr>
          <w:p>
            <w:pPr>
              <w:pStyle w:val="22"/>
              <w:bidi w:val="0"/>
              <w:jc w:val="center"/>
              <w:rPr>
                <w:color w:val="0000FF"/>
              </w:rPr>
            </w:pPr>
            <w:r>
              <w:rPr>
                <w:color w:val="0000FF"/>
              </w:rPr>
              <w:t>预测范围</w:t>
            </w:r>
          </w:p>
        </w:tc>
        <w:tc>
          <w:tcPr>
            <w:tcW w:w="6776" w:type="dxa"/>
            <w:gridSpan w:val="13"/>
            <w:tcBorders>
              <w:tl2br w:val="nil"/>
              <w:tr2bl w:val="nil"/>
            </w:tcBorders>
            <w:vAlign w:val="center"/>
          </w:tcPr>
          <w:p>
            <w:pPr>
              <w:pStyle w:val="22"/>
              <w:bidi w:val="0"/>
              <w:jc w:val="center"/>
              <w:rPr>
                <w:color w:val="0000FF"/>
              </w:rPr>
            </w:pPr>
            <w:r>
              <w:rPr>
                <w:color w:val="0000FF"/>
              </w:rPr>
              <w:t>河流：长度（）km；湖库、河口及近岸海域：面积（）km2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预测因子</w:t>
            </w:r>
          </w:p>
        </w:tc>
        <w:tc>
          <w:tcPr>
            <w:tcW w:w="6776" w:type="dxa"/>
            <w:gridSpan w:val="13"/>
            <w:tcBorders>
              <w:tl2br w:val="nil"/>
              <w:tr2bl w:val="nil"/>
            </w:tcBorders>
            <w:vAlign w:val="center"/>
          </w:tcPr>
          <w:p>
            <w:pPr>
              <w:pStyle w:val="22"/>
              <w:bidi w:val="0"/>
              <w:jc w:val="center"/>
              <w:rPr>
                <w:color w:val="0000FF"/>
              </w:rPr>
            </w:pPr>
            <w:r>
              <w:rPr>
                <w:color w:val="0000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预测时期</w:t>
            </w:r>
          </w:p>
        </w:tc>
        <w:tc>
          <w:tcPr>
            <w:tcW w:w="6776" w:type="dxa"/>
            <w:gridSpan w:val="13"/>
            <w:tcBorders>
              <w:tl2br w:val="nil"/>
              <w:tr2bl w:val="nil"/>
            </w:tcBorders>
            <w:vAlign w:val="center"/>
          </w:tcPr>
          <w:p>
            <w:pPr>
              <w:pStyle w:val="22"/>
              <w:bidi w:val="0"/>
              <w:jc w:val="center"/>
              <w:rPr>
                <w:color w:val="0000FF"/>
              </w:rPr>
            </w:pPr>
            <w:r>
              <w:rPr>
                <w:color w:val="0000FF"/>
              </w:rPr>
              <w:t>丰水期□；平水期□；枯水期□；冰封期□</w:t>
            </w:r>
          </w:p>
          <w:p>
            <w:pPr>
              <w:pStyle w:val="22"/>
              <w:bidi w:val="0"/>
              <w:jc w:val="center"/>
              <w:rPr>
                <w:color w:val="0000FF"/>
              </w:rPr>
            </w:pPr>
            <w:r>
              <w:rPr>
                <w:color w:val="0000FF"/>
              </w:rPr>
              <w:t>春季□；夏季□；秋季□；冬季□</w:t>
            </w:r>
          </w:p>
          <w:p>
            <w:pPr>
              <w:pStyle w:val="22"/>
              <w:bidi w:val="0"/>
              <w:jc w:val="center"/>
              <w:rPr>
                <w:color w:val="0000FF"/>
              </w:rPr>
            </w:pPr>
            <w:r>
              <w:rPr>
                <w:color w:val="0000FF"/>
              </w:rPr>
              <w:t>设计水文条件□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预测情景</w:t>
            </w:r>
          </w:p>
        </w:tc>
        <w:tc>
          <w:tcPr>
            <w:tcW w:w="6776" w:type="dxa"/>
            <w:gridSpan w:val="13"/>
            <w:tcBorders>
              <w:tl2br w:val="nil"/>
              <w:tr2bl w:val="nil"/>
            </w:tcBorders>
            <w:vAlign w:val="center"/>
          </w:tcPr>
          <w:p>
            <w:pPr>
              <w:pStyle w:val="22"/>
              <w:bidi w:val="0"/>
              <w:jc w:val="center"/>
              <w:rPr>
                <w:color w:val="0000FF"/>
              </w:rPr>
            </w:pPr>
            <w:r>
              <w:rPr>
                <w:color w:val="0000FF"/>
              </w:rPr>
              <w:t>建设期□；生产运行期□；服务期满后□</w:t>
            </w:r>
          </w:p>
          <w:p>
            <w:pPr>
              <w:pStyle w:val="22"/>
              <w:bidi w:val="0"/>
              <w:jc w:val="center"/>
              <w:rPr>
                <w:color w:val="0000FF"/>
              </w:rPr>
            </w:pPr>
            <w:r>
              <w:rPr>
                <w:color w:val="0000FF"/>
              </w:rPr>
              <w:t>正常工况□；非正常工况□</w:t>
            </w:r>
          </w:p>
          <w:p>
            <w:pPr>
              <w:pStyle w:val="22"/>
              <w:bidi w:val="0"/>
              <w:jc w:val="center"/>
              <w:rPr>
                <w:color w:val="0000FF"/>
              </w:rPr>
            </w:pPr>
            <w:r>
              <w:rPr>
                <w:color w:val="0000FF"/>
              </w:rPr>
              <w:t>污染控制和减缓措施方案□</w:t>
            </w:r>
          </w:p>
          <w:p>
            <w:pPr>
              <w:pStyle w:val="22"/>
              <w:bidi w:val="0"/>
              <w:jc w:val="center"/>
              <w:rPr>
                <w:color w:val="0000FF"/>
              </w:rPr>
            </w:pPr>
            <w:r>
              <w:rPr>
                <w:color w:val="0000FF"/>
              </w:rPr>
              <w:t>区（流）域环境质量改善目标要求情景□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8" w:hRule="atLeast"/>
          <w:jc w:val="center"/>
        </w:trPr>
        <w:tc>
          <w:tcPr>
            <w:tcW w:w="949" w:type="dxa"/>
            <w:vMerge w:val="continue"/>
            <w:tcBorders>
              <w:tl2br w:val="nil"/>
              <w:tr2bl w:val="nil"/>
            </w:tcBorders>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预测方法</w:t>
            </w:r>
          </w:p>
        </w:tc>
        <w:tc>
          <w:tcPr>
            <w:tcW w:w="6776" w:type="dxa"/>
            <w:gridSpan w:val="13"/>
            <w:tcBorders>
              <w:tl2br w:val="nil"/>
              <w:tr2bl w:val="nil"/>
            </w:tcBorders>
            <w:vAlign w:val="center"/>
          </w:tcPr>
          <w:p>
            <w:pPr>
              <w:pStyle w:val="22"/>
              <w:bidi w:val="0"/>
              <w:jc w:val="center"/>
              <w:rPr>
                <w:color w:val="0000FF"/>
              </w:rPr>
            </w:pPr>
            <w:r>
              <w:rPr>
                <w:color w:val="0000FF"/>
              </w:rPr>
              <w:t>数值解□：解析解□；其他□</w:t>
            </w:r>
          </w:p>
          <w:p>
            <w:pPr>
              <w:pStyle w:val="22"/>
              <w:bidi w:val="0"/>
              <w:jc w:val="center"/>
              <w:rPr>
                <w:color w:val="0000FF"/>
              </w:rPr>
            </w:pPr>
            <w:r>
              <w:rPr>
                <w:color w:val="0000FF"/>
              </w:rPr>
              <w:t>导则推荐模式□：其他□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0" w:hRule="atLeast"/>
          <w:jc w:val="center"/>
        </w:trPr>
        <w:tc>
          <w:tcPr>
            <w:tcW w:w="949" w:type="dxa"/>
            <w:vMerge w:val="restart"/>
            <w:tcBorders>
              <w:tl2br w:val="nil"/>
              <w:tr2bl w:val="nil"/>
            </w:tcBorders>
            <w:textDirection w:val="tbRlV"/>
            <w:vAlign w:val="center"/>
          </w:tcPr>
          <w:p>
            <w:pPr>
              <w:pStyle w:val="22"/>
              <w:bidi w:val="0"/>
              <w:jc w:val="center"/>
              <w:rPr>
                <w:color w:val="0000FF"/>
              </w:rPr>
            </w:pPr>
            <w:r>
              <w:rPr>
                <w:color w:val="0000FF"/>
              </w:rPr>
              <w:t>影响评价</w:t>
            </w:r>
          </w:p>
        </w:tc>
        <w:tc>
          <w:tcPr>
            <w:tcW w:w="1523" w:type="dxa"/>
            <w:tcBorders>
              <w:tl2br w:val="nil"/>
              <w:tr2bl w:val="nil"/>
            </w:tcBorders>
            <w:vAlign w:val="center"/>
          </w:tcPr>
          <w:p>
            <w:pPr>
              <w:pStyle w:val="22"/>
              <w:bidi w:val="0"/>
              <w:jc w:val="center"/>
              <w:rPr>
                <w:color w:val="0000FF"/>
              </w:rPr>
            </w:pPr>
            <w:r>
              <w:rPr>
                <w:color w:val="0000FF"/>
              </w:rPr>
              <w:t>水污染控制和水</w:t>
            </w:r>
          </w:p>
          <w:p>
            <w:pPr>
              <w:pStyle w:val="22"/>
              <w:bidi w:val="0"/>
              <w:jc w:val="center"/>
              <w:rPr>
                <w:color w:val="0000FF"/>
              </w:rPr>
            </w:pPr>
            <w:r>
              <w:rPr>
                <w:color w:val="0000FF"/>
              </w:rPr>
              <w:t>环境影响减缓措</w:t>
            </w:r>
          </w:p>
          <w:p>
            <w:pPr>
              <w:pStyle w:val="22"/>
              <w:bidi w:val="0"/>
              <w:jc w:val="center"/>
              <w:rPr>
                <w:color w:val="0000FF"/>
              </w:rPr>
            </w:pPr>
            <w:r>
              <w:rPr>
                <w:color w:val="0000FF"/>
              </w:rPr>
              <w:t>施有效性评价</w:t>
            </w:r>
          </w:p>
        </w:tc>
        <w:tc>
          <w:tcPr>
            <w:tcW w:w="6776" w:type="dxa"/>
            <w:gridSpan w:val="13"/>
            <w:tcBorders>
              <w:tl2br w:val="nil"/>
              <w:tr2bl w:val="nil"/>
            </w:tcBorders>
            <w:vAlign w:val="center"/>
          </w:tcPr>
          <w:p>
            <w:pPr>
              <w:pStyle w:val="22"/>
              <w:bidi w:val="0"/>
              <w:jc w:val="center"/>
              <w:rPr>
                <w:color w:val="0000FF"/>
              </w:rPr>
            </w:pPr>
            <w:r>
              <w:rPr>
                <w:color w:val="0000FF"/>
              </w:rPr>
              <w:t>区（流）域水环境质量改善目标□；替代削减源□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水环境影响评价</w:t>
            </w:r>
          </w:p>
        </w:tc>
        <w:tc>
          <w:tcPr>
            <w:tcW w:w="6776" w:type="dxa"/>
            <w:gridSpan w:val="13"/>
            <w:tcBorders>
              <w:tl2br w:val="nil"/>
              <w:tr2bl w:val="nil"/>
            </w:tcBorders>
            <w:vAlign w:val="center"/>
          </w:tcPr>
          <w:p>
            <w:pPr>
              <w:pStyle w:val="22"/>
              <w:bidi w:val="0"/>
              <w:jc w:val="center"/>
              <w:rPr>
                <w:color w:val="0000FF"/>
              </w:rPr>
            </w:pPr>
            <w:r>
              <w:rPr>
                <w:color w:val="0000FF"/>
              </w:rPr>
              <w:t>排放口混合区外满足水环境管理要求□</w:t>
            </w:r>
          </w:p>
          <w:p>
            <w:pPr>
              <w:pStyle w:val="22"/>
              <w:bidi w:val="0"/>
              <w:jc w:val="center"/>
              <w:rPr>
                <w:color w:val="0000FF"/>
              </w:rPr>
            </w:pPr>
            <w:r>
              <w:rPr>
                <w:color w:val="0000FF"/>
              </w:rPr>
              <w:t>水环境功能区或水功能区、近岸海域环境功能区水质达标□</w:t>
            </w:r>
          </w:p>
          <w:p>
            <w:pPr>
              <w:pStyle w:val="22"/>
              <w:bidi w:val="0"/>
              <w:jc w:val="center"/>
              <w:rPr>
                <w:color w:val="0000FF"/>
              </w:rPr>
            </w:pPr>
            <w:r>
              <w:rPr>
                <w:color w:val="0000FF"/>
              </w:rPr>
              <w:t>满足水环境保护目标水域水环境质量要求□</w:t>
            </w:r>
          </w:p>
          <w:p>
            <w:pPr>
              <w:pStyle w:val="22"/>
              <w:bidi w:val="0"/>
              <w:jc w:val="center"/>
              <w:rPr>
                <w:color w:val="0000FF"/>
              </w:rPr>
            </w:pPr>
            <w:r>
              <w:rPr>
                <w:color w:val="0000FF"/>
              </w:rPr>
              <w:t>水环境控制单元或断面水质达标□</w:t>
            </w:r>
          </w:p>
          <w:p>
            <w:pPr>
              <w:pStyle w:val="22"/>
              <w:bidi w:val="0"/>
              <w:jc w:val="center"/>
              <w:rPr>
                <w:color w:val="0000FF"/>
              </w:rPr>
            </w:pPr>
            <w:r>
              <w:rPr>
                <w:color w:val="0000FF"/>
              </w:rPr>
              <w:t>满足重点水污染物排放总量控制指标要求，重点行业建设项目，主要污染物排放满足等量或减量替代要求□</w:t>
            </w:r>
          </w:p>
          <w:p>
            <w:pPr>
              <w:pStyle w:val="22"/>
              <w:bidi w:val="0"/>
              <w:jc w:val="center"/>
              <w:rPr>
                <w:color w:val="0000FF"/>
              </w:rPr>
            </w:pPr>
            <w:r>
              <w:rPr>
                <w:color w:val="0000FF"/>
              </w:rPr>
              <w:t>满足区（流）域水环境质量改善目标要求□</w:t>
            </w:r>
          </w:p>
          <w:p>
            <w:pPr>
              <w:pStyle w:val="22"/>
              <w:bidi w:val="0"/>
              <w:jc w:val="center"/>
              <w:rPr>
                <w:color w:val="0000FF"/>
              </w:rPr>
            </w:pPr>
            <w:r>
              <w:rPr>
                <w:color w:val="0000FF"/>
              </w:rPr>
              <w:t>水文要素影响型建设项目同时应包括水文情势变化评价、主要水文特征值影响评价、生态流量符合性评价□</w:t>
            </w:r>
          </w:p>
          <w:p>
            <w:pPr>
              <w:pStyle w:val="22"/>
              <w:bidi w:val="0"/>
              <w:jc w:val="center"/>
              <w:rPr>
                <w:color w:val="0000FF"/>
              </w:rPr>
            </w:pPr>
            <w:r>
              <w:rPr>
                <w:color w:val="0000FF"/>
              </w:rPr>
              <w:t>对于新设或调整入河（湖库、近岸海域）排放口的建设项目，应包括排放口设置的环境合理性评价□</w:t>
            </w:r>
          </w:p>
          <w:p>
            <w:pPr>
              <w:pStyle w:val="22"/>
              <w:bidi w:val="0"/>
              <w:jc w:val="center"/>
              <w:rPr>
                <w:color w:val="0000FF"/>
              </w:rPr>
            </w:pPr>
            <w:r>
              <w:rPr>
                <w:color w:val="0000FF"/>
              </w:rPr>
              <w:t>满足生态保护红线、水环境质量底线、资源利用上线和环境准入清单管理要求□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restart"/>
            <w:tcBorders>
              <w:tl2br w:val="nil"/>
              <w:tr2bl w:val="nil"/>
            </w:tcBorders>
            <w:vAlign w:val="center"/>
          </w:tcPr>
          <w:p>
            <w:pPr>
              <w:pStyle w:val="22"/>
              <w:bidi w:val="0"/>
              <w:jc w:val="center"/>
              <w:rPr>
                <w:color w:val="0000FF"/>
              </w:rPr>
            </w:pPr>
            <w:r>
              <w:rPr>
                <w:color w:val="0000FF"/>
              </w:rPr>
              <w:t>污染源排放量核算</w:t>
            </w:r>
          </w:p>
        </w:tc>
        <w:tc>
          <w:tcPr>
            <w:tcW w:w="2257" w:type="dxa"/>
            <w:gridSpan w:val="4"/>
            <w:tcBorders>
              <w:tl2br w:val="nil"/>
              <w:tr2bl w:val="nil"/>
            </w:tcBorders>
            <w:vAlign w:val="center"/>
          </w:tcPr>
          <w:p>
            <w:pPr>
              <w:pStyle w:val="22"/>
              <w:bidi w:val="0"/>
              <w:jc w:val="center"/>
              <w:rPr>
                <w:color w:val="0000FF"/>
              </w:rPr>
            </w:pPr>
            <w:r>
              <w:rPr>
                <w:color w:val="0000FF"/>
              </w:rPr>
              <w:t>污染物名称</w:t>
            </w:r>
          </w:p>
        </w:tc>
        <w:tc>
          <w:tcPr>
            <w:tcW w:w="2257" w:type="dxa"/>
            <w:gridSpan w:val="6"/>
            <w:tcBorders>
              <w:tl2br w:val="nil"/>
              <w:tr2bl w:val="nil"/>
            </w:tcBorders>
            <w:vAlign w:val="center"/>
          </w:tcPr>
          <w:p>
            <w:pPr>
              <w:pStyle w:val="22"/>
              <w:bidi w:val="0"/>
              <w:jc w:val="center"/>
              <w:rPr>
                <w:color w:val="0000FF"/>
              </w:rPr>
            </w:pPr>
            <w:r>
              <w:rPr>
                <w:color w:val="0000FF"/>
              </w:rPr>
              <w:t>排放量/（t/a）</w:t>
            </w:r>
          </w:p>
        </w:tc>
        <w:tc>
          <w:tcPr>
            <w:tcW w:w="2262" w:type="dxa"/>
            <w:gridSpan w:val="3"/>
            <w:tcBorders>
              <w:tl2br w:val="nil"/>
              <w:tr2bl w:val="nil"/>
            </w:tcBorders>
            <w:vAlign w:val="center"/>
          </w:tcPr>
          <w:p>
            <w:pPr>
              <w:pStyle w:val="22"/>
              <w:bidi w:val="0"/>
              <w:jc w:val="center"/>
              <w:rPr>
                <w:color w:val="0000FF"/>
              </w:rPr>
            </w:pPr>
            <w:r>
              <w:rPr>
                <w:color w:val="0000FF"/>
              </w:rPr>
              <w:t>排放浓度/（mg/L）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2257" w:type="dxa"/>
            <w:gridSpan w:val="4"/>
            <w:tcBorders>
              <w:tl2br w:val="nil"/>
              <w:tr2bl w:val="nil"/>
            </w:tcBorders>
            <w:vAlign w:val="center"/>
          </w:tcPr>
          <w:p>
            <w:pPr>
              <w:pStyle w:val="22"/>
              <w:bidi w:val="0"/>
              <w:jc w:val="center"/>
              <w:rPr>
                <w:color w:val="0000FF"/>
                <w:highlight w:val="none"/>
              </w:rPr>
            </w:pPr>
            <w:r>
              <w:rPr>
                <w:color w:val="0000FF"/>
                <w:highlight w:val="none"/>
              </w:rPr>
              <w:t>COD</w:t>
            </w:r>
          </w:p>
        </w:tc>
        <w:tc>
          <w:tcPr>
            <w:tcW w:w="2257" w:type="dxa"/>
            <w:gridSpan w:val="6"/>
            <w:tcBorders>
              <w:tl2br w:val="nil"/>
              <w:tr2bl w:val="nil"/>
            </w:tcBorders>
            <w:vAlign w:val="center"/>
          </w:tcPr>
          <w:p>
            <w:pPr>
              <w:pStyle w:val="22"/>
              <w:bidi w:val="0"/>
              <w:jc w:val="center"/>
              <w:rPr>
                <w:color w:val="0000FF"/>
                <w:highlight w:val="none"/>
              </w:rPr>
            </w:pPr>
          </w:p>
        </w:tc>
        <w:tc>
          <w:tcPr>
            <w:tcW w:w="2262" w:type="dxa"/>
            <w:gridSpan w:val="3"/>
            <w:tcBorders>
              <w:tl2br w:val="nil"/>
              <w:tr2bl w:val="nil"/>
            </w:tcBorders>
            <w:vAlign w:val="center"/>
          </w:tcPr>
          <w:p>
            <w:pPr>
              <w:pStyle w:val="22"/>
              <w:bidi w:val="0"/>
              <w:jc w:val="center"/>
              <w:rPr>
                <w:color w:val="0000FF"/>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2257" w:type="dxa"/>
            <w:gridSpan w:val="4"/>
            <w:tcBorders>
              <w:tl2br w:val="nil"/>
              <w:tr2bl w:val="nil"/>
            </w:tcBorders>
            <w:vAlign w:val="center"/>
          </w:tcPr>
          <w:p>
            <w:pPr>
              <w:pStyle w:val="22"/>
              <w:bidi w:val="0"/>
              <w:jc w:val="center"/>
              <w:rPr>
                <w:color w:val="0000FF"/>
                <w:highlight w:val="none"/>
              </w:rPr>
            </w:pPr>
            <w:r>
              <w:rPr>
                <w:color w:val="0000FF"/>
                <w:highlight w:val="none"/>
              </w:rPr>
              <w:t>NH</w:t>
            </w:r>
            <w:r>
              <w:rPr>
                <w:color w:val="0000FF"/>
                <w:highlight w:val="none"/>
                <w:vertAlign w:val="subscript"/>
              </w:rPr>
              <w:t>3</w:t>
            </w:r>
            <w:r>
              <w:rPr>
                <w:color w:val="0000FF"/>
                <w:highlight w:val="none"/>
              </w:rPr>
              <w:t>-N</w:t>
            </w:r>
          </w:p>
        </w:tc>
        <w:tc>
          <w:tcPr>
            <w:tcW w:w="2257" w:type="dxa"/>
            <w:gridSpan w:val="6"/>
            <w:tcBorders>
              <w:tl2br w:val="nil"/>
              <w:tr2bl w:val="nil"/>
            </w:tcBorders>
            <w:vAlign w:val="center"/>
          </w:tcPr>
          <w:p>
            <w:pPr>
              <w:pStyle w:val="22"/>
              <w:bidi w:val="0"/>
              <w:jc w:val="center"/>
              <w:rPr>
                <w:color w:val="0000FF"/>
                <w:highlight w:val="none"/>
              </w:rPr>
            </w:pPr>
          </w:p>
        </w:tc>
        <w:tc>
          <w:tcPr>
            <w:tcW w:w="2262" w:type="dxa"/>
            <w:gridSpan w:val="3"/>
            <w:tcBorders>
              <w:tl2br w:val="nil"/>
              <w:tr2bl w:val="nil"/>
            </w:tcBorders>
            <w:vAlign w:val="center"/>
          </w:tcPr>
          <w:p>
            <w:pPr>
              <w:pStyle w:val="22"/>
              <w:bidi w:val="0"/>
              <w:jc w:val="center"/>
              <w:rPr>
                <w:color w:val="0000FF"/>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restart"/>
            <w:tcBorders>
              <w:tl2br w:val="nil"/>
              <w:tr2bl w:val="nil"/>
            </w:tcBorders>
            <w:vAlign w:val="center"/>
          </w:tcPr>
          <w:p>
            <w:pPr>
              <w:pStyle w:val="22"/>
              <w:bidi w:val="0"/>
              <w:jc w:val="center"/>
              <w:rPr>
                <w:color w:val="0000FF"/>
              </w:rPr>
            </w:pPr>
            <w:r>
              <w:rPr>
                <w:color w:val="0000FF"/>
              </w:rPr>
              <w:t>替代源排放情况</w:t>
            </w:r>
          </w:p>
        </w:tc>
        <w:tc>
          <w:tcPr>
            <w:tcW w:w="1354" w:type="dxa"/>
            <w:tcBorders>
              <w:tl2br w:val="nil"/>
              <w:tr2bl w:val="nil"/>
            </w:tcBorders>
            <w:vAlign w:val="center"/>
          </w:tcPr>
          <w:p>
            <w:pPr>
              <w:pStyle w:val="22"/>
              <w:bidi w:val="0"/>
              <w:jc w:val="center"/>
              <w:rPr>
                <w:color w:val="0000FF"/>
              </w:rPr>
            </w:pPr>
            <w:r>
              <w:rPr>
                <w:color w:val="0000FF"/>
              </w:rPr>
              <w:t>污染源名称</w:t>
            </w:r>
          </w:p>
        </w:tc>
        <w:tc>
          <w:tcPr>
            <w:tcW w:w="1355" w:type="dxa"/>
            <w:gridSpan w:val="4"/>
            <w:tcBorders>
              <w:tl2br w:val="nil"/>
              <w:tr2bl w:val="nil"/>
            </w:tcBorders>
            <w:vAlign w:val="center"/>
          </w:tcPr>
          <w:p>
            <w:pPr>
              <w:pStyle w:val="22"/>
              <w:bidi w:val="0"/>
              <w:jc w:val="center"/>
              <w:rPr>
                <w:color w:val="0000FF"/>
              </w:rPr>
            </w:pPr>
            <w:r>
              <w:rPr>
                <w:color w:val="0000FF"/>
              </w:rPr>
              <w:t>排污许可证编号</w:t>
            </w:r>
          </w:p>
        </w:tc>
        <w:tc>
          <w:tcPr>
            <w:tcW w:w="1354" w:type="dxa"/>
            <w:gridSpan w:val="2"/>
            <w:tcBorders>
              <w:tl2br w:val="nil"/>
              <w:tr2bl w:val="nil"/>
            </w:tcBorders>
            <w:vAlign w:val="center"/>
          </w:tcPr>
          <w:p>
            <w:pPr>
              <w:pStyle w:val="22"/>
              <w:bidi w:val="0"/>
              <w:jc w:val="center"/>
              <w:rPr>
                <w:color w:val="0000FF"/>
              </w:rPr>
            </w:pPr>
            <w:r>
              <w:rPr>
                <w:color w:val="0000FF"/>
              </w:rPr>
              <w:t>污染物名称</w:t>
            </w:r>
          </w:p>
        </w:tc>
        <w:tc>
          <w:tcPr>
            <w:tcW w:w="1354" w:type="dxa"/>
            <w:gridSpan w:val="5"/>
            <w:tcBorders>
              <w:tl2br w:val="nil"/>
              <w:tr2bl w:val="nil"/>
            </w:tcBorders>
            <w:vAlign w:val="center"/>
          </w:tcPr>
          <w:p>
            <w:pPr>
              <w:pStyle w:val="22"/>
              <w:bidi w:val="0"/>
              <w:jc w:val="center"/>
              <w:rPr>
                <w:color w:val="0000FF"/>
              </w:rPr>
            </w:pPr>
            <w:r>
              <w:rPr>
                <w:color w:val="0000FF"/>
              </w:rPr>
              <w:t>排放量/（t/a）</w:t>
            </w:r>
          </w:p>
        </w:tc>
        <w:tc>
          <w:tcPr>
            <w:tcW w:w="1359" w:type="dxa"/>
            <w:tcBorders>
              <w:tl2br w:val="nil"/>
              <w:tr2bl w:val="nil"/>
            </w:tcBorders>
            <w:vAlign w:val="center"/>
          </w:tcPr>
          <w:p>
            <w:pPr>
              <w:pStyle w:val="22"/>
              <w:bidi w:val="0"/>
              <w:jc w:val="center"/>
              <w:rPr>
                <w:color w:val="0000FF"/>
              </w:rPr>
            </w:pPr>
            <w:r>
              <w:rPr>
                <w:color w:val="0000FF"/>
              </w:rPr>
              <w:t>排放浓度/</w:t>
            </w:r>
          </w:p>
          <w:p>
            <w:pPr>
              <w:pStyle w:val="22"/>
              <w:bidi w:val="0"/>
              <w:jc w:val="center"/>
              <w:rPr>
                <w:color w:val="0000FF"/>
              </w:rPr>
            </w:pPr>
            <w:r>
              <w:rPr>
                <w:color w:val="0000FF"/>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1354" w:type="dxa"/>
            <w:tcBorders>
              <w:tl2br w:val="nil"/>
              <w:tr2bl w:val="nil"/>
            </w:tcBorders>
            <w:vAlign w:val="center"/>
          </w:tcPr>
          <w:p>
            <w:pPr>
              <w:pStyle w:val="22"/>
              <w:bidi w:val="0"/>
              <w:jc w:val="center"/>
              <w:rPr>
                <w:color w:val="0000FF"/>
              </w:rPr>
            </w:pPr>
            <w:r>
              <w:rPr>
                <w:color w:val="0000FF"/>
              </w:rPr>
              <w:t>（/）</w:t>
            </w:r>
          </w:p>
        </w:tc>
        <w:tc>
          <w:tcPr>
            <w:tcW w:w="1355" w:type="dxa"/>
            <w:gridSpan w:val="4"/>
            <w:tcBorders>
              <w:tl2br w:val="nil"/>
              <w:tr2bl w:val="nil"/>
            </w:tcBorders>
            <w:vAlign w:val="center"/>
          </w:tcPr>
          <w:p>
            <w:pPr>
              <w:pStyle w:val="22"/>
              <w:bidi w:val="0"/>
              <w:jc w:val="center"/>
              <w:rPr>
                <w:color w:val="0000FF"/>
              </w:rPr>
            </w:pPr>
            <w:r>
              <w:rPr>
                <w:color w:val="0000FF"/>
              </w:rPr>
              <w:t>（/）</w:t>
            </w:r>
          </w:p>
        </w:tc>
        <w:tc>
          <w:tcPr>
            <w:tcW w:w="1354" w:type="dxa"/>
            <w:gridSpan w:val="2"/>
            <w:tcBorders>
              <w:tl2br w:val="nil"/>
              <w:tr2bl w:val="nil"/>
            </w:tcBorders>
            <w:vAlign w:val="center"/>
          </w:tcPr>
          <w:p>
            <w:pPr>
              <w:pStyle w:val="22"/>
              <w:bidi w:val="0"/>
              <w:jc w:val="center"/>
              <w:rPr>
                <w:color w:val="0000FF"/>
              </w:rPr>
            </w:pPr>
            <w:r>
              <w:rPr>
                <w:color w:val="0000FF"/>
              </w:rPr>
              <w:t>（/）</w:t>
            </w:r>
          </w:p>
        </w:tc>
        <w:tc>
          <w:tcPr>
            <w:tcW w:w="1354" w:type="dxa"/>
            <w:gridSpan w:val="5"/>
            <w:tcBorders>
              <w:tl2br w:val="nil"/>
              <w:tr2bl w:val="nil"/>
            </w:tcBorders>
            <w:vAlign w:val="center"/>
          </w:tcPr>
          <w:p>
            <w:pPr>
              <w:pStyle w:val="22"/>
              <w:bidi w:val="0"/>
              <w:jc w:val="center"/>
              <w:rPr>
                <w:color w:val="0000FF"/>
              </w:rPr>
            </w:pPr>
            <w:r>
              <w:rPr>
                <w:color w:val="0000FF"/>
              </w:rPr>
              <w:t>（/）</w:t>
            </w:r>
          </w:p>
        </w:tc>
        <w:tc>
          <w:tcPr>
            <w:tcW w:w="1359" w:type="dxa"/>
            <w:tcBorders>
              <w:tl2br w:val="nil"/>
              <w:tr2bl w:val="nil"/>
            </w:tcBorders>
            <w:vAlign w:val="center"/>
          </w:tcPr>
          <w:p>
            <w:pPr>
              <w:pStyle w:val="22"/>
              <w:bidi w:val="0"/>
              <w:jc w:val="center"/>
              <w:rPr>
                <w:color w:val="0000FF"/>
              </w:rPr>
            </w:pPr>
            <w:r>
              <w:rPr>
                <w:color w:val="0000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生态流量确定</w:t>
            </w:r>
          </w:p>
        </w:tc>
        <w:tc>
          <w:tcPr>
            <w:tcW w:w="6776" w:type="dxa"/>
            <w:gridSpan w:val="13"/>
            <w:tcBorders>
              <w:tl2br w:val="nil"/>
              <w:tr2bl w:val="nil"/>
            </w:tcBorders>
            <w:vAlign w:val="center"/>
          </w:tcPr>
          <w:p>
            <w:pPr>
              <w:pStyle w:val="22"/>
              <w:bidi w:val="0"/>
              <w:jc w:val="center"/>
              <w:rPr>
                <w:color w:val="0000FF"/>
              </w:rPr>
            </w:pPr>
            <w:r>
              <w:rPr>
                <w:color w:val="0000FF"/>
              </w:rPr>
              <w:t>生态流量：一般水期（）m3/s；鱼类繁殖期（）m3/s；其他（）m3/s生态水位：一般水期（）m；鱼类繁殖期（）m；其他（）m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restart"/>
            <w:tcBorders>
              <w:tl2br w:val="nil"/>
              <w:tr2bl w:val="nil"/>
            </w:tcBorders>
            <w:textDirection w:val="tbRlV"/>
            <w:vAlign w:val="center"/>
          </w:tcPr>
          <w:p>
            <w:pPr>
              <w:pStyle w:val="22"/>
              <w:bidi w:val="0"/>
              <w:jc w:val="center"/>
              <w:rPr>
                <w:color w:val="0000FF"/>
              </w:rPr>
            </w:pPr>
            <w:r>
              <w:rPr>
                <w:color w:val="0000FF"/>
              </w:rPr>
              <w:t>防治措施</w:t>
            </w:r>
          </w:p>
        </w:tc>
        <w:tc>
          <w:tcPr>
            <w:tcW w:w="1523" w:type="dxa"/>
            <w:tcBorders>
              <w:tl2br w:val="nil"/>
              <w:tr2bl w:val="nil"/>
            </w:tcBorders>
            <w:vAlign w:val="center"/>
          </w:tcPr>
          <w:p>
            <w:pPr>
              <w:pStyle w:val="22"/>
              <w:bidi w:val="0"/>
              <w:jc w:val="center"/>
              <w:rPr>
                <w:color w:val="0000FF"/>
              </w:rPr>
            </w:pPr>
            <w:r>
              <w:rPr>
                <w:color w:val="0000FF"/>
              </w:rPr>
              <w:t>环保措施</w:t>
            </w:r>
          </w:p>
        </w:tc>
        <w:tc>
          <w:tcPr>
            <w:tcW w:w="6776" w:type="dxa"/>
            <w:gridSpan w:val="13"/>
            <w:tcBorders>
              <w:tl2br w:val="nil"/>
              <w:tr2bl w:val="nil"/>
            </w:tcBorders>
            <w:vAlign w:val="center"/>
          </w:tcPr>
          <w:p>
            <w:pPr>
              <w:pStyle w:val="22"/>
              <w:bidi w:val="0"/>
              <w:jc w:val="center"/>
              <w:rPr>
                <w:color w:val="0000FF"/>
              </w:rPr>
            </w:pPr>
            <w:r>
              <w:rPr>
                <w:color w:val="0000FF"/>
              </w:rPr>
              <w:t>污水处理设施□；水文减缓设施□；生态流量保障设施□；区域削减□；依托其他工程措施□；其他□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restart"/>
            <w:tcBorders>
              <w:tl2br w:val="nil"/>
              <w:tr2bl w:val="nil"/>
            </w:tcBorders>
            <w:vAlign w:val="center"/>
          </w:tcPr>
          <w:p>
            <w:pPr>
              <w:pStyle w:val="22"/>
              <w:bidi w:val="0"/>
              <w:jc w:val="center"/>
              <w:rPr>
                <w:color w:val="0000FF"/>
              </w:rPr>
            </w:pPr>
            <w:r>
              <w:rPr>
                <w:color w:val="0000FF"/>
              </w:rPr>
              <w:t>监测计划</w:t>
            </w:r>
          </w:p>
        </w:tc>
        <w:tc>
          <w:tcPr>
            <w:tcW w:w="1749" w:type="dxa"/>
            <w:gridSpan w:val="3"/>
            <w:tcBorders>
              <w:tl2br w:val="nil"/>
              <w:tr2bl w:val="nil"/>
            </w:tcBorders>
            <w:vAlign w:val="center"/>
          </w:tcPr>
          <w:p>
            <w:pPr>
              <w:pStyle w:val="22"/>
              <w:bidi w:val="0"/>
              <w:jc w:val="center"/>
              <w:rPr>
                <w:color w:val="0000FF"/>
              </w:rPr>
            </w:pPr>
          </w:p>
        </w:tc>
        <w:tc>
          <w:tcPr>
            <w:tcW w:w="2511" w:type="dxa"/>
            <w:gridSpan w:val="5"/>
            <w:tcBorders>
              <w:tl2br w:val="nil"/>
              <w:tr2bl w:val="nil"/>
            </w:tcBorders>
            <w:vAlign w:val="center"/>
          </w:tcPr>
          <w:p>
            <w:pPr>
              <w:pStyle w:val="22"/>
              <w:bidi w:val="0"/>
              <w:jc w:val="center"/>
              <w:rPr>
                <w:color w:val="0000FF"/>
              </w:rPr>
            </w:pPr>
            <w:r>
              <w:rPr>
                <w:color w:val="0000FF"/>
              </w:rPr>
              <w:t>环境质量</w:t>
            </w:r>
          </w:p>
        </w:tc>
        <w:tc>
          <w:tcPr>
            <w:tcW w:w="2516" w:type="dxa"/>
            <w:gridSpan w:val="5"/>
            <w:tcBorders>
              <w:tl2br w:val="nil"/>
              <w:tr2bl w:val="nil"/>
            </w:tcBorders>
            <w:vAlign w:val="center"/>
          </w:tcPr>
          <w:p>
            <w:pPr>
              <w:pStyle w:val="22"/>
              <w:bidi w:val="0"/>
              <w:jc w:val="center"/>
              <w:rPr>
                <w:color w:val="0000FF"/>
              </w:rPr>
            </w:pPr>
            <w:r>
              <w:rPr>
                <w:color w:val="0000FF"/>
              </w:rPr>
              <w:t>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1749" w:type="dxa"/>
            <w:gridSpan w:val="3"/>
            <w:tcBorders>
              <w:tl2br w:val="nil"/>
              <w:tr2bl w:val="nil"/>
            </w:tcBorders>
            <w:vAlign w:val="center"/>
          </w:tcPr>
          <w:p>
            <w:pPr>
              <w:pStyle w:val="22"/>
              <w:bidi w:val="0"/>
              <w:jc w:val="center"/>
              <w:rPr>
                <w:color w:val="0000FF"/>
              </w:rPr>
            </w:pPr>
            <w:r>
              <w:rPr>
                <w:color w:val="0000FF"/>
              </w:rPr>
              <w:t>监测方式</w:t>
            </w:r>
          </w:p>
        </w:tc>
        <w:tc>
          <w:tcPr>
            <w:tcW w:w="2511" w:type="dxa"/>
            <w:gridSpan w:val="5"/>
            <w:tcBorders>
              <w:tl2br w:val="nil"/>
              <w:tr2bl w:val="nil"/>
            </w:tcBorders>
            <w:vAlign w:val="center"/>
          </w:tcPr>
          <w:p>
            <w:pPr>
              <w:pStyle w:val="22"/>
              <w:bidi w:val="0"/>
              <w:jc w:val="center"/>
              <w:rPr>
                <w:color w:val="0000FF"/>
              </w:rPr>
            </w:pPr>
            <w:r>
              <w:rPr>
                <w:color w:val="0000FF"/>
              </w:rPr>
              <w:t>手动</w:t>
            </w:r>
            <w:r>
              <w:rPr>
                <w:rFonts w:hint="eastAsia"/>
                <w:color w:val="0000FF"/>
                <w:lang w:eastAsia="zh-CN"/>
              </w:rPr>
              <w:t>□</w:t>
            </w:r>
            <w:r>
              <w:rPr>
                <w:color w:val="0000FF"/>
              </w:rPr>
              <w:t>；自动</w:t>
            </w:r>
            <w:r>
              <w:rPr>
                <w:rFonts w:hint="eastAsia"/>
                <w:color w:val="0000FF"/>
                <w:lang w:eastAsia="zh-CN"/>
              </w:rPr>
              <w:t>□</w:t>
            </w:r>
            <w:r>
              <w:rPr>
                <w:color w:val="0000FF"/>
              </w:rPr>
              <w:t>；无监测</w:t>
            </w:r>
            <w:r>
              <w:rPr>
                <w:color w:val="0000FF"/>
              </w:rPr>
              <w:drawing>
                <wp:inline distT="0" distB="0" distL="0" distR="0">
                  <wp:extent cx="81280" cy="126365"/>
                  <wp:effectExtent l="0" t="0" r="13970" b="571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4"/>
                          <a:stretch>
                            <a:fillRect/>
                          </a:stretch>
                        </pic:blipFill>
                        <pic:spPr>
                          <a:xfrm>
                            <a:off x="0" y="0"/>
                            <a:ext cx="81381" cy="126644"/>
                          </a:xfrm>
                          <a:prstGeom prst="rect">
                            <a:avLst/>
                          </a:prstGeom>
                        </pic:spPr>
                      </pic:pic>
                    </a:graphicData>
                  </a:graphic>
                </wp:inline>
              </w:drawing>
            </w:r>
          </w:p>
        </w:tc>
        <w:tc>
          <w:tcPr>
            <w:tcW w:w="2516" w:type="dxa"/>
            <w:gridSpan w:val="5"/>
            <w:tcBorders>
              <w:tl2br w:val="nil"/>
              <w:tr2bl w:val="nil"/>
            </w:tcBorders>
            <w:vAlign w:val="center"/>
          </w:tcPr>
          <w:p>
            <w:pPr>
              <w:pStyle w:val="22"/>
              <w:bidi w:val="0"/>
              <w:jc w:val="center"/>
              <w:rPr>
                <w:rFonts w:hint="eastAsia" w:eastAsia="宋体"/>
                <w:color w:val="0000FF"/>
                <w:lang w:eastAsia="zh-CN"/>
              </w:rPr>
            </w:pPr>
            <w:r>
              <w:rPr>
                <w:color w:val="0000FF"/>
              </w:rPr>
              <w:t>手动</w:t>
            </w:r>
            <w:r>
              <w:rPr>
                <w:color w:val="0000FF"/>
              </w:rPr>
              <w:drawing>
                <wp:inline distT="0" distB="0" distL="0" distR="0">
                  <wp:extent cx="81280" cy="126365"/>
                  <wp:effectExtent l="0" t="0" r="13970" b="5715"/>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34"/>
                          <a:stretch>
                            <a:fillRect/>
                          </a:stretch>
                        </pic:blipFill>
                        <pic:spPr>
                          <a:xfrm>
                            <a:off x="0" y="0"/>
                            <a:ext cx="81381" cy="126644"/>
                          </a:xfrm>
                          <a:prstGeom prst="rect">
                            <a:avLst/>
                          </a:prstGeom>
                        </pic:spPr>
                      </pic:pic>
                    </a:graphicData>
                  </a:graphic>
                </wp:inline>
              </w:drawing>
            </w:r>
            <w:r>
              <w:rPr>
                <w:color w:val="0000FF"/>
              </w:rPr>
              <w:t>；自动</w:t>
            </w:r>
            <w:r>
              <w:rPr>
                <w:rFonts w:hint="eastAsia"/>
                <w:color w:val="0000FF"/>
                <w:lang w:eastAsia="zh-CN"/>
              </w:rPr>
              <w:t>□</w:t>
            </w:r>
            <w:r>
              <w:rPr>
                <w:color w:val="0000FF"/>
              </w:rPr>
              <w:t>；无监测</w:t>
            </w:r>
            <w:r>
              <w:rPr>
                <w:rFonts w:hint="eastAsia"/>
                <w:color w:val="0000FF"/>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1749" w:type="dxa"/>
            <w:gridSpan w:val="3"/>
            <w:tcBorders>
              <w:tl2br w:val="nil"/>
              <w:tr2bl w:val="nil"/>
            </w:tcBorders>
            <w:vAlign w:val="center"/>
          </w:tcPr>
          <w:p>
            <w:pPr>
              <w:pStyle w:val="22"/>
              <w:bidi w:val="0"/>
              <w:jc w:val="center"/>
              <w:rPr>
                <w:color w:val="0000FF"/>
              </w:rPr>
            </w:pPr>
            <w:r>
              <w:rPr>
                <w:color w:val="0000FF"/>
              </w:rPr>
              <w:t>监测点位</w:t>
            </w:r>
          </w:p>
        </w:tc>
        <w:tc>
          <w:tcPr>
            <w:tcW w:w="2511" w:type="dxa"/>
            <w:gridSpan w:val="5"/>
            <w:tcBorders>
              <w:tl2br w:val="nil"/>
              <w:tr2bl w:val="nil"/>
            </w:tcBorders>
            <w:vAlign w:val="center"/>
          </w:tcPr>
          <w:p>
            <w:pPr>
              <w:pStyle w:val="22"/>
              <w:bidi w:val="0"/>
              <w:jc w:val="center"/>
              <w:rPr>
                <w:color w:val="0000FF"/>
              </w:rPr>
            </w:pPr>
            <w:r>
              <w:rPr>
                <w:color w:val="0000FF"/>
              </w:rPr>
              <w:t>（/）</w:t>
            </w:r>
          </w:p>
        </w:tc>
        <w:tc>
          <w:tcPr>
            <w:tcW w:w="2516" w:type="dxa"/>
            <w:gridSpan w:val="5"/>
            <w:tcBorders>
              <w:tl2br w:val="nil"/>
              <w:tr2bl w:val="nil"/>
            </w:tcBorders>
            <w:vAlign w:val="center"/>
          </w:tcPr>
          <w:p>
            <w:pPr>
              <w:pStyle w:val="22"/>
              <w:bidi w:val="0"/>
              <w:jc w:val="center"/>
              <w:rPr>
                <w:color w:val="0000FF"/>
              </w:rPr>
            </w:pPr>
            <w:r>
              <w:rPr>
                <w:color w:val="0000FF"/>
              </w:rPr>
              <w:t>（厂区总排口）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vMerge w:val="continue"/>
            <w:tcBorders>
              <w:tl2br w:val="nil"/>
              <w:tr2bl w:val="nil"/>
            </w:tcBorders>
            <w:vAlign w:val="center"/>
          </w:tcPr>
          <w:p>
            <w:pPr>
              <w:pStyle w:val="22"/>
              <w:bidi w:val="0"/>
              <w:jc w:val="center"/>
              <w:rPr>
                <w:color w:val="0000FF"/>
              </w:rPr>
            </w:pPr>
          </w:p>
        </w:tc>
        <w:tc>
          <w:tcPr>
            <w:tcW w:w="1749" w:type="dxa"/>
            <w:gridSpan w:val="3"/>
            <w:tcBorders>
              <w:tl2br w:val="nil"/>
              <w:tr2bl w:val="nil"/>
            </w:tcBorders>
            <w:vAlign w:val="center"/>
          </w:tcPr>
          <w:p>
            <w:pPr>
              <w:pStyle w:val="22"/>
              <w:bidi w:val="0"/>
              <w:jc w:val="center"/>
              <w:rPr>
                <w:color w:val="0000FF"/>
              </w:rPr>
            </w:pPr>
            <w:r>
              <w:rPr>
                <w:color w:val="0000FF"/>
              </w:rPr>
              <w:t>监测因子</w:t>
            </w:r>
          </w:p>
        </w:tc>
        <w:tc>
          <w:tcPr>
            <w:tcW w:w="2511" w:type="dxa"/>
            <w:gridSpan w:val="5"/>
            <w:tcBorders>
              <w:tl2br w:val="nil"/>
              <w:tr2bl w:val="nil"/>
            </w:tcBorders>
            <w:vAlign w:val="center"/>
          </w:tcPr>
          <w:p>
            <w:pPr>
              <w:pStyle w:val="22"/>
              <w:bidi w:val="0"/>
              <w:jc w:val="center"/>
              <w:rPr>
                <w:color w:val="0000FF"/>
              </w:rPr>
            </w:pPr>
            <w:r>
              <w:rPr>
                <w:color w:val="0000FF"/>
              </w:rPr>
              <w:t>（/）</w:t>
            </w:r>
          </w:p>
        </w:tc>
        <w:tc>
          <w:tcPr>
            <w:tcW w:w="2516" w:type="dxa"/>
            <w:gridSpan w:val="5"/>
            <w:tcBorders>
              <w:tl2br w:val="nil"/>
              <w:tr2bl w:val="nil"/>
            </w:tcBorders>
            <w:vAlign w:val="center"/>
          </w:tcPr>
          <w:p>
            <w:pPr>
              <w:pStyle w:val="22"/>
              <w:bidi w:val="0"/>
              <w:jc w:val="center"/>
              <w:rPr>
                <w:color w:val="0000FF"/>
              </w:rPr>
            </w:pPr>
            <w:r>
              <w:rPr>
                <w:color w:val="0000FF"/>
              </w:rPr>
              <w:t>（COD、BOD5、SS、氨氮、粪大肠菌群）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0000FF"/>
              </w:rPr>
            </w:pPr>
          </w:p>
        </w:tc>
        <w:tc>
          <w:tcPr>
            <w:tcW w:w="1523" w:type="dxa"/>
            <w:tcBorders>
              <w:tl2br w:val="nil"/>
              <w:tr2bl w:val="nil"/>
            </w:tcBorders>
            <w:vAlign w:val="center"/>
          </w:tcPr>
          <w:p>
            <w:pPr>
              <w:pStyle w:val="22"/>
              <w:bidi w:val="0"/>
              <w:jc w:val="center"/>
              <w:rPr>
                <w:color w:val="0000FF"/>
              </w:rPr>
            </w:pPr>
            <w:r>
              <w:rPr>
                <w:color w:val="0000FF"/>
              </w:rPr>
              <w:t>污染物排放清单</w:t>
            </w:r>
          </w:p>
        </w:tc>
        <w:tc>
          <w:tcPr>
            <w:tcW w:w="6776" w:type="dxa"/>
            <w:gridSpan w:val="13"/>
            <w:tcBorders>
              <w:tl2br w:val="nil"/>
              <w:tr2bl w:val="nil"/>
            </w:tcBorders>
            <w:vAlign w:val="center"/>
          </w:tcPr>
          <w:p>
            <w:pPr>
              <w:pStyle w:val="22"/>
              <w:bidi w:val="0"/>
              <w:jc w:val="center"/>
              <w:rPr>
                <w:color w:val="0000FF"/>
              </w:rPr>
            </w:pPr>
            <w:r>
              <w:rPr>
                <w:color w:val="0000FF"/>
              </w:rPr>
              <w:drawing>
                <wp:inline distT="0" distB="0" distL="0" distR="0">
                  <wp:extent cx="82550" cy="126365"/>
                  <wp:effectExtent l="0" t="0" r="12700" b="5715"/>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30"/>
                          <a:stretch>
                            <a:fillRect/>
                          </a:stretch>
                        </pic:blipFill>
                        <pic:spPr>
                          <a:xfrm>
                            <a:off x="0" y="0"/>
                            <a:ext cx="82638" cy="12664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72" w:type="dxa"/>
            <w:gridSpan w:val="2"/>
            <w:tcBorders>
              <w:tl2br w:val="nil"/>
              <w:tr2bl w:val="nil"/>
            </w:tcBorders>
            <w:vAlign w:val="center"/>
          </w:tcPr>
          <w:p>
            <w:pPr>
              <w:pStyle w:val="22"/>
              <w:bidi w:val="0"/>
              <w:jc w:val="center"/>
              <w:rPr>
                <w:color w:val="0000FF"/>
              </w:rPr>
            </w:pPr>
            <w:r>
              <w:rPr>
                <w:color w:val="0000FF"/>
              </w:rPr>
              <w:t>评价结论</w:t>
            </w:r>
          </w:p>
        </w:tc>
        <w:tc>
          <w:tcPr>
            <w:tcW w:w="6776" w:type="dxa"/>
            <w:gridSpan w:val="13"/>
            <w:tcBorders>
              <w:tl2br w:val="nil"/>
              <w:tr2bl w:val="nil"/>
            </w:tcBorders>
            <w:vAlign w:val="center"/>
          </w:tcPr>
          <w:p>
            <w:pPr>
              <w:pStyle w:val="22"/>
              <w:bidi w:val="0"/>
              <w:jc w:val="center"/>
              <w:rPr>
                <w:color w:val="0000FF"/>
              </w:rPr>
            </w:pPr>
            <w:r>
              <w:rPr>
                <w:color w:val="0000FF"/>
              </w:rPr>
              <w:t>可以接受</w:t>
            </w:r>
            <w:r>
              <w:rPr>
                <w:color w:val="0000FF"/>
              </w:rPr>
              <w:drawing>
                <wp:inline distT="0" distB="0" distL="0" distR="0">
                  <wp:extent cx="81280" cy="126365"/>
                  <wp:effectExtent l="0" t="0" r="13970" b="5715"/>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31"/>
                          <a:stretch>
                            <a:fillRect/>
                          </a:stretch>
                        </pic:blipFill>
                        <pic:spPr>
                          <a:xfrm>
                            <a:off x="0" y="0"/>
                            <a:ext cx="81381" cy="126644"/>
                          </a:xfrm>
                          <a:prstGeom prst="rect">
                            <a:avLst/>
                          </a:prstGeom>
                        </pic:spPr>
                      </pic:pic>
                    </a:graphicData>
                  </a:graphic>
                </wp:inline>
              </w:drawing>
            </w:r>
            <w:r>
              <w:rPr>
                <w:color w:val="0000FF"/>
              </w:rPr>
              <w:t>；不可以接受□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248" w:type="dxa"/>
            <w:gridSpan w:val="15"/>
            <w:tcBorders>
              <w:tl2br w:val="nil"/>
              <w:tr2bl w:val="nil"/>
            </w:tcBorders>
            <w:vAlign w:val="center"/>
          </w:tcPr>
          <w:p>
            <w:pPr>
              <w:pStyle w:val="22"/>
              <w:bidi w:val="0"/>
              <w:jc w:val="center"/>
              <w:rPr>
                <w:color w:val="0000FF"/>
              </w:rPr>
            </w:pPr>
            <w:r>
              <w:rPr>
                <w:color w:val="0000FF"/>
              </w:rPr>
              <w:t>注：“□”为勾选项，可√；“（）”为内容填写项；“备注”为其他补充内容。</w:t>
            </w:r>
          </w:p>
        </w:tc>
      </w:tr>
    </w:tbl>
    <w:p>
      <w:pPr>
        <w:pStyle w:val="6"/>
        <w:bidi w:val="0"/>
        <w:rPr>
          <w:color w:val="0000FF"/>
        </w:rPr>
      </w:pPr>
      <w:bookmarkStart w:id="97" w:name="_Toc23633"/>
      <w:r>
        <w:rPr>
          <w:color w:val="0000FF"/>
        </w:rPr>
        <w:t>5.</w:t>
      </w:r>
      <w:r>
        <w:rPr>
          <w:rFonts w:hint="eastAsia"/>
          <w:color w:val="0000FF"/>
          <w:lang w:val="en-US" w:eastAsia="zh-CN"/>
        </w:rPr>
        <w:t>2.3</w:t>
      </w:r>
      <w:r>
        <w:rPr>
          <w:color w:val="0000FF"/>
        </w:rPr>
        <w:t>地下水环境影响分析</w:t>
      </w:r>
      <w:bookmarkEnd w:id="97"/>
    </w:p>
    <w:p>
      <w:pPr>
        <w:bidi w:val="0"/>
        <w:rPr>
          <w:color w:val="0000FF"/>
        </w:rPr>
      </w:pPr>
      <w:bookmarkStart w:id="98" w:name="_bookmark32"/>
      <w:bookmarkEnd w:id="98"/>
      <w:r>
        <w:rPr>
          <w:color w:val="0000FF"/>
        </w:rPr>
        <w:t>根据《环境影响评价技术导则</w:t>
      </w:r>
      <w:r>
        <w:rPr>
          <w:rFonts w:hint="eastAsia"/>
          <w:color w:val="0000FF"/>
          <w:lang w:val="en-US" w:eastAsia="zh-CN"/>
        </w:rPr>
        <w:t xml:space="preserve"> </w:t>
      </w:r>
      <w:r>
        <w:rPr>
          <w:color w:val="0000FF"/>
        </w:rPr>
        <w:t>地下水环境》（HJ610-2016）判定，该项目地下水环境影响评价项目类别属于IV类，不需要进行地下水评价。因此，本评价对建设项目场地所在区域内地下水环境影响进行简要分析。项目危废暂存间位于专门实验用房内，远离地面，对防渗要求不高，如若设置在一层或负一层，则要作为重点防渗区考虑。地下水质的影响主要为废水收集、处理以及排放过程中的下渗对地下水的影响，针对此提出防渗措施如下：</w:t>
      </w:r>
    </w:p>
    <w:p>
      <w:pPr>
        <w:bidi w:val="0"/>
        <w:rPr>
          <w:color w:val="0000FF"/>
        </w:rPr>
      </w:pPr>
      <w:r>
        <w:rPr>
          <w:color w:val="0000FF"/>
        </w:rPr>
        <w:t>项目污水处理设施、应急事故池为重点防渗区域，污水处理站所用水池、应急事故池均用水泥硬化，四周壁用水泥硬化防渗，全池涂环氧树脂防腐防渗，重点防渗区等效黏土防渗层Mb≥6.0m，渗透系数K≤1×10</w:t>
      </w:r>
      <w:r>
        <w:rPr>
          <w:color w:val="0000FF"/>
          <w:vertAlign w:val="superscript"/>
        </w:rPr>
        <w:t>-10</w:t>
      </w:r>
      <w:r>
        <w:rPr>
          <w:color w:val="0000FF"/>
        </w:rPr>
        <w:t>cm/s。</w:t>
      </w:r>
    </w:p>
    <w:p>
      <w:pPr>
        <w:bidi w:val="0"/>
        <w:rPr>
          <w:color w:val="0000FF"/>
        </w:rPr>
      </w:pPr>
      <w:r>
        <w:rPr>
          <w:color w:val="0000FF"/>
        </w:rPr>
        <w:t>综上，本项目采取将生活垃圾和医疗废物分开收集、存放的原则，对各种固体废物进行分类堆放处理。只要建设单位加强管理，严格按照相关法规对产生的固体废物进行分类、收集、消毒、无害化处理，并对代处理单位进行必要的监督，则本项目产生的固废不会对周围环境造成太大影响。</w:t>
      </w:r>
    </w:p>
    <w:p>
      <w:pPr>
        <w:pStyle w:val="6"/>
        <w:bidi w:val="0"/>
        <w:rPr>
          <w:color w:val="0000FF"/>
        </w:rPr>
      </w:pPr>
      <w:bookmarkStart w:id="99" w:name="_Toc21657"/>
      <w:r>
        <w:rPr>
          <w:color w:val="0000FF"/>
        </w:rPr>
        <w:t>5.</w:t>
      </w:r>
      <w:r>
        <w:rPr>
          <w:rFonts w:hint="eastAsia"/>
          <w:color w:val="0000FF"/>
          <w:lang w:val="en-US" w:eastAsia="zh-CN"/>
        </w:rPr>
        <w:t>2.4</w:t>
      </w:r>
      <w:r>
        <w:rPr>
          <w:color w:val="0000FF"/>
        </w:rPr>
        <w:t>声环境影响分析</w:t>
      </w:r>
      <w:bookmarkEnd w:id="99"/>
    </w:p>
    <w:p>
      <w:pPr>
        <w:bidi w:val="0"/>
        <w:rPr>
          <w:color w:val="0000FF"/>
        </w:rPr>
      </w:pPr>
      <w:r>
        <w:rPr>
          <w:color w:val="0000FF"/>
        </w:rPr>
        <w:t>本项目运营期噪声主要为污水处理站水泵和风机等设备噪声、人群噪声及来往车辆噪声。污水处理站水泵和风机等设备均布置在室内，噪声源源强见表</w:t>
      </w:r>
      <w:r>
        <w:rPr>
          <w:rFonts w:hint="eastAsia"/>
          <w:color w:val="0000FF"/>
          <w:lang w:val="en-US" w:eastAsia="zh-CN"/>
        </w:rPr>
        <w:t>5.2-11</w:t>
      </w:r>
      <w:r>
        <w:rPr>
          <w:color w:val="0000FF"/>
        </w:rPr>
        <w:t>。</w:t>
      </w:r>
    </w:p>
    <w:p>
      <w:pPr>
        <w:pStyle w:val="22"/>
        <w:bidi w:val="0"/>
        <w:rPr>
          <w:b/>
          <w:bCs/>
          <w:color w:val="0000FF"/>
        </w:rPr>
      </w:pPr>
      <w:r>
        <w:rPr>
          <w:b/>
          <w:bCs/>
          <w:color w:val="0000FF"/>
        </w:rPr>
        <w:t>表5</w:t>
      </w:r>
      <w:r>
        <w:rPr>
          <w:rFonts w:hint="eastAsia"/>
          <w:b/>
          <w:bCs/>
          <w:color w:val="0000FF"/>
          <w:lang w:val="en-US" w:eastAsia="zh-CN"/>
        </w:rPr>
        <w:t>.2-11</w:t>
      </w:r>
      <w:r>
        <w:rPr>
          <w:b/>
          <w:bCs/>
          <w:color w:val="0000FF"/>
        </w:rPr>
        <w:t>本项目主要噪声源源强一览表</w:t>
      </w:r>
    </w:p>
    <w:p>
      <w:pPr>
        <w:spacing w:line="35" w:lineRule="exact"/>
        <w:rPr>
          <w:color w:val="0000FF"/>
        </w:rPr>
      </w:pPr>
    </w:p>
    <w:tbl>
      <w:tblPr>
        <w:tblStyle w:val="23"/>
        <w:tblW w:w="8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1040"/>
        <w:gridCol w:w="915"/>
        <w:gridCol w:w="1040"/>
        <w:gridCol w:w="759"/>
        <w:gridCol w:w="1952"/>
        <w:gridCol w:w="1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765" w:type="dxa"/>
            <w:vAlign w:val="center"/>
          </w:tcPr>
          <w:p>
            <w:pPr>
              <w:pStyle w:val="22"/>
              <w:bidi w:val="0"/>
              <w:jc w:val="center"/>
              <w:rPr>
                <w:color w:val="0000FF"/>
              </w:rPr>
            </w:pPr>
            <w:r>
              <w:rPr>
                <w:color w:val="0000FF"/>
              </w:rPr>
              <w:t>序号</w:t>
            </w:r>
          </w:p>
        </w:tc>
        <w:tc>
          <w:tcPr>
            <w:tcW w:w="1040" w:type="dxa"/>
            <w:vAlign w:val="center"/>
          </w:tcPr>
          <w:p>
            <w:pPr>
              <w:pStyle w:val="22"/>
              <w:bidi w:val="0"/>
              <w:jc w:val="center"/>
              <w:rPr>
                <w:color w:val="0000FF"/>
              </w:rPr>
            </w:pPr>
            <w:r>
              <w:rPr>
                <w:color w:val="0000FF"/>
              </w:rPr>
              <w:t>名称</w:t>
            </w:r>
          </w:p>
        </w:tc>
        <w:tc>
          <w:tcPr>
            <w:tcW w:w="915" w:type="dxa"/>
            <w:vAlign w:val="center"/>
          </w:tcPr>
          <w:p>
            <w:pPr>
              <w:pStyle w:val="22"/>
              <w:bidi w:val="0"/>
              <w:jc w:val="center"/>
              <w:rPr>
                <w:color w:val="0000FF"/>
              </w:rPr>
            </w:pPr>
            <w:r>
              <w:rPr>
                <w:color w:val="0000FF"/>
              </w:rPr>
              <w:t>数量（台）</w:t>
            </w:r>
          </w:p>
        </w:tc>
        <w:tc>
          <w:tcPr>
            <w:tcW w:w="1040" w:type="dxa"/>
            <w:vAlign w:val="center"/>
          </w:tcPr>
          <w:p>
            <w:pPr>
              <w:pStyle w:val="22"/>
              <w:bidi w:val="0"/>
              <w:jc w:val="center"/>
              <w:rPr>
                <w:color w:val="0000FF"/>
              </w:rPr>
            </w:pPr>
            <w:r>
              <w:rPr>
                <w:color w:val="0000FF"/>
              </w:rPr>
              <w:t>声源[dB(A)]</w:t>
            </w:r>
          </w:p>
        </w:tc>
        <w:tc>
          <w:tcPr>
            <w:tcW w:w="759" w:type="dxa"/>
            <w:vAlign w:val="center"/>
          </w:tcPr>
          <w:p>
            <w:pPr>
              <w:pStyle w:val="22"/>
              <w:bidi w:val="0"/>
              <w:jc w:val="center"/>
              <w:rPr>
                <w:color w:val="0000FF"/>
              </w:rPr>
            </w:pPr>
            <w:r>
              <w:rPr>
                <w:color w:val="0000FF"/>
              </w:rPr>
              <w:t>工作方式</w:t>
            </w:r>
          </w:p>
        </w:tc>
        <w:tc>
          <w:tcPr>
            <w:tcW w:w="1952" w:type="dxa"/>
            <w:vAlign w:val="center"/>
          </w:tcPr>
          <w:p>
            <w:pPr>
              <w:pStyle w:val="22"/>
              <w:bidi w:val="0"/>
              <w:jc w:val="center"/>
              <w:rPr>
                <w:color w:val="0000FF"/>
              </w:rPr>
            </w:pPr>
            <w:r>
              <w:rPr>
                <w:color w:val="0000FF"/>
              </w:rPr>
              <w:t>治理措施</w:t>
            </w:r>
          </w:p>
        </w:tc>
        <w:tc>
          <w:tcPr>
            <w:tcW w:w="1953" w:type="dxa"/>
            <w:vAlign w:val="center"/>
          </w:tcPr>
          <w:p>
            <w:pPr>
              <w:pStyle w:val="22"/>
              <w:bidi w:val="0"/>
              <w:jc w:val="center"/>
              <w:rPr>
                <w:color w:val="0000FF"/>
              </w:rPr>
            </w:pPr>
            <w:r>
              <w:rPr>
                <w:color w:val="0000FF"/>
              </w:rPr>
              <w:t>治理后噪声值[dB(A)]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65" w:type="dxa"/>
            <w:vAlign w:val="center"/>
          </w:tcPr>
          <w:p>
            <w:pPr>
              <w:pStyle w:val="22"/>
              <w:bidi w:val="0"/>
              <w:jc w:val="center"/>
              <w:rPr>
                <w:color w:val="0000FF"/>
              </w:rPr>
            </w:pPr>
            <w:r>
              <w:rPr>
                <w:color w:val="0000FF"/>
              </w:rPr>
              <w:t>1</w:t>
            </w:r>
          </w:p>
        </w:tc>
        <w:tc>
          <w:tcPr>
            <w:tcW w:w="1040" w:type="dxa"/>
            <w:vAlign w:val="center"/>
          </w:tcPr>
          <w:p>
            <w:pPr>
              <w:pStyle w:val="22"/>
              <w:bidi w:val="0"/>
              <w:jc w:val="center"/>
              <w:rPr>
                <w:color w:val="0000FF"/>
              </w:rPr>
            </w:pPr>
            <w:r>
              <w:rPr>
                <w:color w:val="0000FF"/>
              </w:rPr>
              <w:t>水泵</w:t>
            </w:r>
          </w:p>
        </w:tc>
        <w:tc>
          <w:tcPr>
            <w:tcW w:w="915" w:type="dxa"/>
            <w:vAlign w:val="center"/>
          </w:tcPr>
          <w:p>
            <w:pPr>
              <w:pStyle w:val="22"/>
              <w:bidi w:val="0"/>
              <w:jc w:val="center"/>
              <w:rPr>
                <w:color w:val="0000FF"/>
              </w:rPr>
            </w:pPr>
            <w:r>
              <w:rPr>
                <w:color w:val="0000FF"/>
              </w:rPr>
              <w:t>1</w:t>
            </w:r>
          </w:p>
        </w:tc>
        <w:tc>
          <w:tcPr>
            <w:tcW w:w="1040" w:type="dxa"/>
            <w:vAlign w:val="center"/>
          </w:tcPr>
          <w:p>
            <w:pPr>
              <w:pStyle w:val="22"/>
              <w:bidi w:val="0"/>
              <w:jc w:val="center"/>
              <w:rPr>
                <w:color w:val="0000FF"/>
              </w:rPr>
            </w:pPr>
            <w:r>
              <w:rPr>
                <w:color w:val="0000FF"/>
              </w:rPr>
              <w:t>80</w:t>
            </w:r>
          </w:p>
        </w:tc>
        <w:tc>
          <w:tcPr>
            <w:tcW w:w="759" w:type="dxa"/>
            <w:vAlign w:val="center"/>
          </w:tcPr>
          <w:p>
            <w:pPr>
              <w:pStyle w:val="22"/>
              <w:bidi w:val="0"/>
              <w:jc w:val="center"/>
              <w:rPr>
                <w:color w:val="0000FF"/>
              </w:rPr>
            </w:pPr>
            <w:r>
              <w:rPr>
                <w:color w:val="0000FF"/>
              </w:rPr>
              <w:t>连续</w:t>
            </w:r>
          </w:p>
        </w:tc>
        <w:tc>
          <w:tcPr>
            <w:tcW w:w="1952" w:type="dxa"/>
            <w:vAlign w:val="center"/>
          </w:tcPr>
          <w:p>
            <w:pPr>
              <w:pStyle w:val="22"/>
              <w:bidi w:val="0"/>
              <w:jc w:val="center"/>
              <w:rPr>
                <w:color w:val="0000FF"/>
              </w:rPr>
            </w:pPr>
            <w:r>
              <w:rPr>
                <w:color w:val="0000FF"/>
              </w:rPr>
              <w:t>隔声、减振</w:t>
            </w:r>
          </w:p>
        </w:tc>
        <w:tc>
          <w:tcPr>
            <w:tcW w:w="1953" w:type="dxa"/>
            <w:vAlign w:val="center"/>
          </w:tcPr>
          <w:p>
            <w:pPr>
              <w:pStyle w:val="22"/>
              <w:bidi w:val="0"/>
              <w:jc w:val="center"/>
              <w:rPr>
                <w:color w:val="0000FF"/>
              </w:rPr>
            </w:pPr>
            <w:r>
              <w:rPr>
                <w:color w:val="0000FF"/>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65" w:type="dxa"/>
            <w:vAlign w:val="center"/>
          </w:tcPr>
          <w:p>
            <w:pPr>
              <w:pStyle w:val="22"/>
              <w:bidi w:val="0"/>
              <w:jc w:val="center"/>
              <w:rPr>
                <w:color w:val="0000FF"/>
              </w:rPr>
            </w:pPr>
            <w:r>
              <w:rPr>
                <w:color w:val="0000FF"/>
              </w:rPr>
              <w:t>2</w:t>
            </w:r>
          </w:p>
        </w:tc>
        <w:tc>
          <w:tcPr>
            <w:tcW w:w="1040" w:type="dxa"/>
            <w:vAlign w:val="center"/>
          </w:tcPr>
          <w:p>
            <w:pPr>
              <w:pStyle w:val="22"/>
              <w:bidi w:val="0"/>
              <w:jc w:val="center"/>
              <w:rPr>
                <w:color w:val="0000FF"/>
              </w:rPr>
            </w:pPr>
            <w:r>
              <w:rPr>
                <w:color w:val="0000FF"/>
              </w:rPr>
              <w:t>风机</w:t>
            </w:r>
          </w:p>
        </w:tc>
        <w:tc>
          <w:tcPr>
            <w:tcW w:w="915" w:type="dxa"/>
            <w:vAlign w:val="center"/>
          </w:tcPr>
          <w:p>
            <w:pPr>
              <w:pStyle w:val="22"/>
              <w:bidi w:val="0"/>
              <w:jc w:val="center"/>
              <w:rPr>
                <w:color w:val="0000FF"/>
              </w:rPr>
            </w:pPr>
            <w:r>
              <w:rPr>
                <w:color w:val="0000FF"/>
              </w:rPr>
              <w:t>2</w:t>
            </w:r>
          </w:p>
        </w:tc>
        <w:tc>
          <w:tcPr>
            <w:tcW w:w="1040" w:type="dxa"/>
            <w:vAlign w:val="center"/>
          </w:tcPr>
          <w:p>
            <w:pPr>
              <w:pStyle w:val="22"/>
              <w:bidi w:val="0"/>
              <w:jc w:val="center"/>
              <w:rPr>
                <w:color w:val="0000FF"/>
              </w:rPr>
            </w:pPr>
            <w:r>
              <w:rPr>
                <w:color w:val="0000FF"/>
              </w:rPr>
              <w:t>90</w:t>
            </w:r>
          </w:p>
        </w:tc>
        <w:tc>
          <w:tcPr>
            <w:tcW w:w="759" w:type="dxa"/>
            <w:vAlign w:val="center"/>
          </w:tcPr>
          <w:p>
            <w:pPr>
              <w:pStyle w:val="22"/>
              <w:bidi w:val="0"/>
              <w:jc w:val="center"/>
              <w:rPr>
                <w:color w:val="0000FF"/>
              </w:rPr>
            </w:pPr>
            <w:r>
              <w:rPr>
                <w:color w:val="0000FF"/>
              </w:rPr>
              <w:t>连续</w:t>
            </w:r>
          </w:p>
        </w:tc>
        <w:tc>
          <w:tcPr>
            <w:tcW w:w="1952" w:type="dxa"/>
            <w:vAlign w:val="center"/>
          </w:tcPr>
          <w:p>
            <w:pPr>
              <w:pStyle w:val="22"/>
              <w:bidi w:val="0"/>
              <w:jc w:val="center"/>
              <w:rPr>
                <w:color w:val="0000FF"/>
              </w:rPr>
            </w:pPr>
            <w:r>
              <w:rPr>
                <w:color w:val="0000FF"/>
              </w:rPr>
              <w:t>隔声、减振、消声</w:t>
            </w:r>
          </w:p>
        </w:tc>
        <w:tc>
          <w:tcPr>
            <w:tcW w:w="1953" w:type="dxa"/>
            <w:vAlign w:val="center"/>
          </w:tcPr>
          <w:p>
            <w:pPr>
              <w:pStyle w:val="22"/>
              <w:bidi w:val="0"/>
              <w:jc w:val="center"/>
              <w:rPr>
                <w:color w:val="0000FF"/>
              </w:rPr>
            </w:pPr>
            <w:r>
              <w:rPr>
                <w:color w:val="0000FF"/>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65" w:type="dxa"/>
            <w:vAlign w:val="center"/>
          </w:tcPr>
          <w:p>
            <w:pPr>
              <w:pStyle w:val="22"/>
              <w:bidi w:val="0"/>
              <w:jc w:val="center"/>
              <w:rPr>
                <w:color w:val="0000FF"/>
              </w:rPr>
            </w:pPr>
            <w:r>
              <w:rPr>
                <w:color w:val="0000FF"/>
              </w:rPr>
              <w:t>3</w:t>
            </w:r>
          </w:p>
        </w:tc>
        <w:tc>
          <w:tcPr>
            <w:tcW w:w="1040" w:type="dxa"/>
            <w:vAlign w:val="center"/>
          </w:tcPr>
          <w:p>
            <w:pPr>
              <w:pStyle w:val="22"/>
              <w:bidi w:val="0"/>
              <w:jc w:val="center"/>
              <w:rPr>
                <w:color w:val="0000FF"/>
              </w:rPr>
            </w:pPr>
            <w:r>
              <w:rPr>
                <w:color w:val="0000FF"/>
              </w:rPr>
              <w:t>人群噪声</w:t>
            </w:r>
          </w:p>
        </w:tc>
        <w:tc>
          <w:tcPr>
            <w:tcW w:w="915" w:type="dxa"/>
            <w:vAlign w:val="center"/>
          </w:tcPr>
          <w:p>
            <w:pPr>
              <w:pStyle w:val="22"/>
              <w:bidi w:val="0"/>
              <w:jc w:val="center"/>
              <w:rPr>
                <w:color w:val="0000FF"/>
              </w:rPr>
            </w:pPr>
            <w:r>
              <w:rPr>
                <w:color w:val="0000FF"/>
              </w:rPr>
              <w:t>/</w:t>
            </w:r>
          </w:p>
        </w:tc>
        <w:tc>
          <w:tcPr>
            <w:tcW w:w="1040" w:type="dxa"/>
            <w:vAlign w:val="center"/>
          </w:tcPr>
          <w:p>
            <w:pPr>
              <w:pStyle w:val="22"/>
              <w:bidi w:val="0"/>
              <w:jc w:val="center"/>
              <w:rPr>
                <w:color w:val="0000FF"/>
              </w:rPr>
            </w:pPr>
            <w:r>
              <w:rPr>
                <w:color w:val="0000FF"/>
              </w:rPr>
              <w:t>65</w:t>
            </w:r>
          </w:p>
        </w:tc>
        <w:tc>
          <w:tcPr>
            <w:tcW w:w="759" w:type="dxa"/>
            <w:vAlign w:val="center"/>
          </w:tcPr>
          <w:p>
            <w:pPr>
              <w:pStyle w:val="22"/>
              <w:bidi w:val="0"/>
              <w:jc w:val="center"/>
              <w:rPr>
                <w:color w:val="0000FF"/>
              </w:rPr>
            </w:pPr>
            <w:r>
              <w:rPr>
                <w:color w:val="0000FF"/>
              </w:rPr>
              <w:t>间断</w:t>
            </w:r>
          </w:p>
        </w:tc>
        <w:tc>
          <w:tcPr>
            <w:tcW w:w="1952" w:type="dxa"/>
            <w:vAlign w:val="center"/>
          </w:tcPr>
          <w:p>
            <w:pPr>
              <w:pStyle w:val="22"/>
              <w:bidi w:val="0"/>
              <w:jc w:val="center"/>
              <w:rPr>
                <w:color w:val="0000FF"/>
              </w:rPr>
            </w:pPr>
            <w:r>
              <w:rPr>
                <w:color w:val="0000FF"/>
              </w:rPr>
              <w:t>张贴禁止喧哗标语</w:t>
            </w:r>
          </w:p>
        </w:tc>
        <w:tc>
          <w:tcPr>
            <w:tcW w:w="1953" w:type="dxa"/>
            <w:vAlign w:val="center"/>
          </w:tcPr>
          <w:p>
            <w:pPr>
              <w:pStyle w:val="22"/>
              <w:bidi w:val="0"/>
              <w:jc w:val="center"/>
              <w:rPr>
                <w:color w:val="0000FF"/>
              </w:rPr>
            </w:pPr>
            <w:r>
              <w:rPr>
                <w:color w:val="0000FF"/>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765" w:type="dxa"/>
            <w:vAlign w:val="center"/>
          </w:tcPr>
          <w:p>
            <w:pPr>
              <w:pStyle w:val="22"/>
              <w:bidi w:val="0"/>
              <w:jc w:val="center"/>
              <w:rPr>
                <w:color w:val="0000FF"/>
              </w:rPr>
            </w:pPr>
            <w:r>
              <w:rPr>
                <w:color w:val="0000FF"/>
              </w:rPr>
              <w:t>4</w:t>
            </w:r>
          </w:p>
        </w:tc>
        <w:tc>
          <w:tcPr>
            <w:tcW w:w="1040" w:type="dxa"/>
            <w:vAlign w:val="center"/>
          </w:tcPr>
          <w:p>
            <w:pPr>
              <w:pStyle w:val="22"/>
              <w:bidi w:val="0"/>
              <w:jc w:val="center"/>
              <w:rPr>
                <w:color w:val="0000FF"/>
              </w:rPr>
            </w:pPr>
            <w:r>
              <w:rPr>
                <w:color w:val="0000FF"/>
              </w:rPr>
              <w:t>车辆</w:t>
            </w:r>
          </w:p>
        </w:tc>
        <w:tc>
          <w:tcPr>
            <w:tcW w:w="915" w:type="dxa"/>
            <w:vAlign w:val="center"/>
          </w:tcPr>
          <w:p>
            <w:pPr>
              <w:pStyle w:val="22"/>
              <w:bidi w:val="0"/>
              <w:jc w:val="center"/>
              <w:rPr>
                <w:color w:val="0000FF"/>
              </w:rPr>
            </w:pPr>
            <w:r>
              <w:rPr>
                <w:color w:val="0000FF"/>
              </w:rPr>
              <w:t>/</w:t>
            </w:r>
          </w:p>
        </w:tc>
        <w:tc>
          <w:tcPr>
            <w:tcW w:w="1040" w:type="dxa"/>
            <w:vAlign w:val="center"/>
          </w:tcPr>
          <w:p>
            <w:pPr>
              <w:pStyle w:val="22"/>
              <w:bidi w:val="0"/>
              <w:jc w:val="center"/>
              <w:rPr>
                <w:color w:val="0000FF"/>
              </w:rPr>
            </w:pPr>
            <w:r>
              <w:rPr>
                <w:color w:val="0000FF"/>
              </w:rPr>
              <w:t>60</w:t>
            </w:r>
          </w:p>
        </w:tc>
        <w:tc>
          <w:tcPr>
            <w:tcW w:w="759" w:type="dxa"/>
            <w:vAlign w:val="center"/>
          </w:tcPr>
          <w:p>
            <w:pPr>
              <w:pStyle w:val="22"/>
              <w:bidi w:val="0"/>
              <w:jc w:val="center"/>
              <w:rPr>
                <w:color w:val="0000FF"/>
              </w:rPr>
            </w:pPr>
            <w:r>
              <w:rPr>
                <w:color w:val="0000FF"/>
              </w:rPr>
              <w:t>间断</w:t>
            </w:r>
          </w:p>
        </w:tc>
        <w:tc>
          <w:tcPr>
            <w:tcW w:w="1952" w:type="dxa"/>
            <w:vAlign w:val="center"/>
          </w:tcPr>
          <w:p>
            <w:pPr>
              <w:pStyle w:val="22"/>
              <w:bidi w:val="0"/>
              <w:jc w:val="center"/>
              <w:rPr>
                <w:color w:val="0000FF"/>
              </w:rPr>
            </w:pPr>
            <w:r>
              <w:rPr>
                <w:color w:val="0000FF"/>
              </w:rPr>
              <w:t>限速、禁止鸣笛</w:t>
            </w:r>
          </w:p>
        </w:tc>
        <w:tc>
          <w:tcPr>
            <w:tcW w:w="1953" w:type="dxa"/>
            <w:vAlign w:val="center"/>
          </w:tcPr>
          <w:p>
            <w:pPr>
              <w:pStyle w:val="22"/>
              <w:bidi w:val="0"/>
              <w:jc w:val="center"/>
              <w:rPr>
                <w:color w:val="0000FF"/>
              </w:rPr>
            </w:pPr>
            <w:r>
              <w:rPr>
                <w:color w:val="0000FF"/>
              </w:rPr>
              <w:t>60</w:t>
            </w:r>
          </w:p>
        </w:tc>
      </w:tr>
    </w:tbl>
    <w:p>
      <w:pPr>
        <w:bidi w:val="0"/>
        <w:rPr>
          <w:color w:val="0000FF"/>
        </w:rPr>
      </w:pPr>
      <w:r>
        <w:rPr>
          <w:color w:val="0000FF"/>
        </w:rPr>
        <w:t>因人群噪声和车辆噪声为间断不定时排放，且本项目外来人员和车辆较少，经过采取张贴禁止喧哗标语、限速、禁止鸣笛等措施后对周围环境影响较小，因此，本次评价主要针对设备噪声进行预测与评价。</w:t>
      </w:r>
    </w:p>
    <w:p>
      <w:pPr>
        <w:pStyle w:val="7"/>
        <w:bidi w:val="0"/>
        <w:rPr>
          <w:color w:val="0000FF"/>
        </w:rPr>
      </w:pPr>
      <w:r>
        <w:rPr>
          <w:color w:val="0000FF"/>
        </w:rPr>
        <w:t>5.</w:t>
      </w:r>
      <w:r>
        <w:rPr>
          <w:rFonts w:hint="eastAsia"/>
          <w:color w:val="0000FF"/>
          <w:lang w:val="en-US" w:eastAsia="zh-CN"/>
        </w:rPr>
        <w:t>2</w:t>
      </w:r>
      <w:r>
        <w:rPr>
          <w:color w:val="0000FF"/>
        </w:rPr>
        <w:t>.</w:t>
      </w:r>
      <w:r>
        <w:rPr>
          <w:rFonts w:hint="eastAsia"/>
          <w:color w:val="0000FF"/>
          <w:lang w:val="en-US" w:eastAsia="zh-CN"/>
        </w:rPr>
        <w:t>4.1</w:t>
      </w:r>
      <w:r>
        <w:rPr>
          <w:color w:val="0000FF"/>
        </w:rPr>
        <w:t>预测方法</w:t>
      </w:r>
    </w:p>
    <w:p>
      <w:pPr>
        <w:bidi w:val="0"/>
        <w:rPr>
          <w:color w:val="0000FF"/>
        </w:rPr>
      </w:pPr>
      <w:r>
        <w:rPr>
          <w:color w:val="0000FF"/>
        </w:rPr>
        <w:t>根据项目主要高噪声设备在厂区内的分布状况和源强声级值，结合噪声监测结果，采用点声源衰减模式和多声源的叠加贡献模式，预测正常生产情况下设备噪声对四周厂界的贡献值，具体公式如下：</w:t>
      </w:r>
    </w:p>
    <w:p>
      <w:pPr>
        <w:bidi w:val="0"/>
        <w:rPr>
          <w:color w:val="0000FF"/>
        </w:rPr>
      </w:pPr>
      <w:r>
        <w:rPr>
          <w:color w:val="0000FF"/>
        </w:rPr>
        <w:t>1、点声源衰减公式：</w:t>
      </w:r>
    </w:p>
    <w:p>
      <w:pPr>
        <w:pStyle w:val="2"/>
        <w:jc w:val="center"/>
        <w:rPr>
          <w:color w:val="0000FF"/>
        </w:rPr>
      </w:pPr>
      <w:r>
        <w:rPr>
          <w:color w:val="0000FF"/>
        </w:rPr>
        <w:drawing>
          <wp:inline distT="0" distB="0" distL="114300" distR="114300">
            <wp:extent cx="1571625" cy="4667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1571625" cy="466725"/>
                    </a:xfrm>
                    <a:prstGeom prst="rect">
                      <a:avLst/>
                    </a:prstGeom>
                    <a:noFill/>
                    <a:ln>
                      <a:noFill/>
                    </a:ln>
                  </pic:spPr>
                </pic:pic>
              </a:graphicData>
            </a:graphic>
          </wp:inline>
        </w:drawing>
      </w:r>
    </w:p>
    <w:p>
      <w:pPr>
        <w:bidi w:val="0"/>
        <w:rPr>
          <w:color w:val="0000FF"/>
        </w:rPr>
      </w:pPr>
      <w:r>
        <w:rPr>
          <w:color w:val="0000FF"/>
        </w:rPr>
        <w:t>式中：r</w:t>
      </w:r>
      <w:r>
        <w:rPr>
          <w:color w:val="0000FF"/>
          <w:vertAlign w:val="subscript"/>
        </w:rPr>
        <w:t>1</w:t>
      </w:r>
      <w:r>
        <w:rPr>
          <w:color w:val="0000FF"/>
        </w:rPr>
        <w:t>、r</w:t>
      </w:r>
      <w:r>
        <w:rPr>
          <w:color w:val="0000FF"/>
          <w:vertAlign w:val="subscript"/>
        </w:rPr>
        <w:t>2</w:t>
      </w:r>
      <w:r>
        <w:rPr>
          <w:color w:val="0000FF"/>
        </w:rPr>
        <w:t>——距声源的距离，单位：m</w:t>
      </w:r>
    </w:p>
    <w:p>
      <w:pPr>
        <w:bidi w:val="0"/>
        <w:rPr>
          <w:color w:val="0000FF"/>
        </w:rPr>
      </w:pPr>
      <w:r>
        <w:rPr>
          <w:color w:val="0000FF"/>
        </w:rPr>
        <w:t>L</w:t>
      </w:r>
      <w:r>
        <w:rPr>
          <w:color w:val="0000FF"/>
          <w:vertAlign w:val="subscript"/>
        </w:rPr>
        <w:t>1</w:t>
      </w:r>
      <w:r>
        <w:rPr>
          <w:color w:val="0000FF"/>
        </w:rPr>
        <w:t>、L</w:t>
      </w:r>
      <w:r>
        <w:rPr>
          <w:color w:val="0000FF"/>
          <w:vertAlign w:val="subscript"/>
        </w:rPr>
        <w:t>2</w:t>
      </w:r>
      <w:r>
        <w:rPr>
          <w:color w:val="0000FF"/>
        </w:rPr>
        <w:t>——r</w:t>
      </w:r>
      <w:r>
        <w:rPr>
          <w:color w:val="0000FF"/>
          <w:vertAlign w:val="subscript"/>
        </w:rPr>
        <w:t>1</w:t>
      </w:r>
      <w:r>
        <w:rPr>
          <w:color w:val="0000FF"/>
        </w:rPr>
        <w:t>、r</w:t>
      </w:r>
      <w:r>
        <w:rPr>
          <w:color w:val="0000FF"/>
          <w:vertAlign w:val="subscript"/>
        </w:rPr>
        <w:t>2</w:t>
      </w:r>
      <w:r>
        <w:rPr>
          <w:color w:val="0000FF"/>
        </w:rPr>
        <w:t>处的声级强度，单位：dB(A)</w:t>
      </w:r>
    </w:p>
    <w:p>
      <w:pPr>
        <w:bidi w:val="0"/>
        <w:rPr>
          <w:color w:val="0000FF"/>
        </w:rPr>
      </w:pPr>
      <w:r>
        <w:rPr>
          <w:color w:val="0000FF"/>
        </w:rPr>
        <w:t>2、噪声源叠加公式：</w:t>
      </w:r>
    </w:p>
    <w:p>
      <w:pPr>
        <w:pStyle w:val="3"/>
        <w:jc w:val="center"/>
        <w:rPr>
          <w:color w:val="0000FF"/>
        </w:rPr>
      </w:pPr>
      <w:r>
        <w:rPr>
          <w:color w:val="0000FF"/>
        </w:rPr>
        <w:drawing>
          <wp:inline distT="0" distB="0" distL="114300" distR="114300">
            <wp:extent cx="1685925" cy="704850"/>
            <wp:effectExtent l="0" t="0" r="9525"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6"/>
                    <a:stretch>
                      <a:fillRect/>
                    </a:stretch>
                  </pic:blipFill>
                  <pic:spPr>
                    <a:xfrm>
                      <a:off x="0" y="0"/>
                      <a:ext cx="1685925" cy="704850"/>
                    </a:xfrm>
                    <a:prstGeom prst="rect">
                      <a:avLst/>
                    </a:prstGeom>
                    <a:noFill/>
                    <a:ln>
                      <a:noFill/>
                    </a:ln>
                  </pic:spPr>
                </pic:pic>
              </a:graphicData>
            </a:graphic>
          </wp:inline>
        </w:drawing>
      </w:r>
    </w:p>
    <w:p>
      <w:pPr>
        <w:bidi w:val="0"/>
        <w:rPr>
          <w:color w:val="0000FF"/>
        </w:rPr>
      </w:pPr>
      <w:r>
        <w:rPr>
          <w:color w:val="0000FF"/>
        </w:rPr>
        <w:t>式中：L——预测点总等效声级，单位：dB(A)</w:t>
      </w:r>
    </w:p>
    <w:p>
      <w:pPr>
        <w:bidi w:val="0"/>
        <w:ind w:firstLine="1200" w:firstLineChars="500"/>
        <w:rPr>
          <w:color w:val="0000FF"/>
        </w:rPr>
      </w:pPr>
      <w:r>
        <w:rPr>
          <w:color w:val="0000FF"/>
        </w:rPr>
        <w:t>L</w:t>
      </w:r>
      <w:r>
        <w:rPr>
          <w:color w:val="0000FF"/>
          <w:vertAlign w:val="subscript"/>
        </w:rPr>
        <w:t>i</w:t>
      </w:r>
      <w:r>
        <w:rPr>
          <w:color w:val="0000FF"/>
        </w:rPr>
        <w:t>——第i个声源对预测点的等效声级，单位：dB(A)n—声源个数</w:t>
      </w:r>
    </w:p>
    <w:p>
      <w:pPr>
        <w:pStyle w:val="7"/>
        <w:bidi w:val="0"/>
        <w:rPr>
          <w:color w:val="0000FF"/>
        </w:rPr>
      </w:pPr>
      <w:r>
        <w:rPr>
          <w:color w:val="0000FF"/>
        </w:rPr>
        <w:t>5.</w:t>
      </w:r>
      <w:r>
        <w:rPr>
          <w:rFonts w:hint="eastAsia"/>
          <w:color w:val="0000FF"/>
          <w:lang w:val="en-US" w:eastAsia="zh-CN"/>
        </w:rPr>
        <w:t>2.4.2</w:t>
      </w:r>
      <w:r>
        <w:rPr>
          <w:color w:val="0000FF"/>
        </w:rPr>
        <w:t>评价标准</w:t>
      </w:r>
    </w:p>
    <w:p>
      <w:pPr>
        <w:bidi w:val="0"/>
        <w:rPr>
          <w:color w:val="0000FF"/>
        </w:rPr>
      </w:pPr>
      <w:r>
        <w:rPr>
          <w:color w:val="0000FF"/>
        </w:rPr>
        <w:t>本次声环境影响预测执行《工业企业场界环境噪声排放标准》（GB12348-2008）1类标准【昼间≤55dB(A)、夜间≤45dB(A)】。</w:t>
      </w:r>
    </w:p>
    <w:p>
      <w:pPr>
        <w:pStyle w:val="7"/>
        <w:bidi w:val="0"/>
        <w:rPr>
          <w:color w:val="0000FF"/>
        </w:rPr>
      </w:pPr>
      <w:r>
        <w:rPr>
          <w:color w:val="0000FF"/>
        </w:rPr>
        <w:t>5.</w:t>
      </w:r>
      <w:r>
        <w:rPr>
          <w:rFonts w:hint="eastAsia"/>
          <w:color w:val="0000FF"/>
          <w:lang w:val="en-US" w:eastAsia="zh-CN"/>
        </w:rPr>
        <w:t>2</w:t>
      </w:r>
      <w:r>
        <w:rPr>
          <w:color w:val="0000FF"/>
        </w:rPr>
        <w:t>.</w:t>
      </w:r>
      <w:r>
        <w:rPr>
          <w:rFonts w:hint="eastAsia"/>
          <w:color w:val="0000FF"/>
          <w:lang w:val="en-US" w:eastAsia="zh-CN"/>
        </w:rPr>
        <w:t>4.3</w:t>
      </w:r>
      <w:r>
        <w:rPr>
          <w:color w:val="0000FF"/>
        </w:rPr>
        <w:t>噪声影响预测与分析</w:t>
      </w:r>
    </w:p>
    <w:p>
      <w:pPr>
        <w:bidi w:val="0"/>
        <w:rPr>
          <w:color w:val="0000FF"/>
        </w:rPr>
      </w:pPr>
      <w:r>
        <w:rPr>
          <w:color w:val="0000FF"/>
        </w:rPr>
        <w:t>本项目建成投运后，项目高噪声设备对四周边界及敏感目标的噪声预测结果见表5</w:t>
      </w:r>
      <w:r>
        <w:rPr>
          <w:rFonts w:hint="eastAsia"/>
          <w:color w:val="0000FF"/>
          <w:lang w:val="en-US" w:eastAsia="zh-CN"/>
        </w:rPr>
        <w:t>.2-12</w:t>
      </w:r>
      <w:r>
        <w:rPr>
          <w:color w:val="0000FF"/>
        </w:rPr>
        <w:t>。</w:t>
      </w:r>
    </w:p>
    <w:p>
      <w:pPr>
        <w:pStyle w:val="22"/>
        <w:bidi w:val="0"/>
        <w:rPr>
          <w:b/>
          <w:bCs/>
          <w:color w:val="0000FF"/>
        </w:rPr>
      </w:pPr>
      <w:r>
        <w:rPr>
          <w:b/>
          <w:bCs/>
          <w:color w:val="0000FF"/>
        </w:rPr>
        <w:t>表5</w:t>
      </w:r>
      <w:r>
        <w:rPr>
          <w:rFonts w:hint="eastAsia"/>
          <w:b/>
          <w:bCs/>
          <w:color w:val="0000FF"/>
          <w:lang w:val="en-US" w:eastAsia="zh-CN"/>
        </w:rPr>
        <w:t>.2-1</w:t>
      </w:r>
      <w:r>
        <w:rPr>
          <w:b/>
          <w:bCs/>
          <w:color w:val="0000FF"/>
        </w:rPr>
        <w:t>2本项目噪声预测结果一览表</w:t>
      </w:r>
    </w:p>
    <w:p>
      <w:pPr>
        <w:spacing w:line="35" w:lineRule="exact"/>
        <w:rPr>
          <w:color w:val="0000FF"/>
        </w:rPr>
      </w:pPr>
    </w:p>
    <w:tbl>
      <w:tblPr>
        <w:tblStyle w:val="23"/>
        <w:tblW w:w="852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1065"/>
        <w:gridCol w:w="1064"/>
        <w:gridCol w:w="1065"/>
        <w:gridCol w:w="1064"/>
        <w:gridCol w:w="1065"/>
        <w:gridCol w:w="1064"/>
        <w:gridCol w:w="1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1070"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预测点</w:t>
            </w:r>
          </w:p>
        </w:tc>
        <w:tc>
          <w:tcPr>
            <w:tcW w:w="1065"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噪声设备</w:t>
            </w:r>
          </w:p>
        </w:tc>
        <w:tc>
          <w:tcPr>
            <w:tcW w:w="1064" w:type="dxa"/>
            <w:tcBorders>
              <w:tl2br w:val="nil"/>
              <w:tr2bl w:val="nil"/>
            </w:tcBorders>
            <w:vAlign w:val="center"/>
          </w:tcPr>
          <w:p>
            <w:pPr>
              <w:pStyle w:val="22"/>
              <w:bidi w:val="0"/>
              <w:jc w:val="center"/>
              <w:rPr>
                <w:color w:val="0000FF"/>
              </w:rPr>
            </w:pPr>
            <w:r>
              <w:rPr>
                <w:color w:val="0000FF"/>
              </w:rPr>
              <w:t>治理后声</w:t>
            </w:r>
          </w:p>
          <w:p>
            <w:pPr>
              <w:pStyle w:val="22"/>
              <w:bidi w:val="0"/>
              <w:jc w:val="center"/>
              <w:rPr>
                <w:color w:val="0000FF"/>
              </w:rPr>
            </w:pPr>
            <w:r>
              <w:rPr>
                <w:color w:val="0000FF"/>
              </w:rPr>
              <w:t>源值</w:t>
            </w:r>
          </w:p>
          <w:p>
            <w:pPr>
              <w:pStyle w:val="22"/>
              <w:bidi w:val="0"/>
              <w:jc w:val="center"/>
              <w:rPr>
                <w:color w:val="0000FF"/>
              </w:rPr>
            </w:pPr>
            <w:r>
              <w:rPr>
                <w:color w:val="0000FF"/>
              </w:rPr>
              <w:t>[dB(A)]</w:t>
            </w:r>
          </w:p>
        </w:tc>
        <w:tc>
          <w:tcPr>
            <w:tcW w:w="1065" w:type="dxa"/>
            <w:tcBorders>
              <w:tl2br w:val="nil"/>
              <w:tr2bl w:val="nil"/>
            </w:tcBorders>
            <w:vAlign w:val="center"/>
          </w:tcPr>
          <w:p>
            <w:pPr>
              <w:pStyle w:val="22"/>
              <w:bidi w:val="0"/>
              <w:jc w:val="center"/>
              <w:rPr>
                <w:color w:val="0000FF"/>
              </w:rPr>
            </w:pPr>
            <w:r>
              <w:rPr>
                <w:color w:val="0000FF"/>
              </w:rPr>
              <w:t>距预测点距离（m）</w:t>
            </w:r>
          </w:p>
        </w:tc>
        <w:tc>
          <w:tcPr>
            <w:tcW w:w="1064" w:type="dxa"/>
            <w:tcBorders>
              <w:tl2br w:val="nil"/>
              <w:tr2bl w:val="nil"/>
            </w:tcBorders>
            <w:vAlign w:val="center"/>
          </w:tcPr>
          <w:p>
            <w:pPr>
              <w:pStyle w:val="22"/>
              <w:bidi w:val="0"/>
              <w:jc w:val="center"/>
              <w:rPr>
                <w:color w:val="0000FF"/>
              </w:rPr>
            </w:pPr>
            <w:r>
              <w:rPr>
                <w:color w:val="0000FF"/>
              </w:rPr>
              <w:t>贡献值[dB(A)]</w:t>
            </w:r>
          </w:p>
        </w:tc>
        <w:tc>
          <w:tcPr>
            <w:tcW w:w="1065" w:type="dxa"/>
            <w:tcBorders>
              <w:tl2br w:val="nil"/>
              <w:tr2bl w:val="nil"/>
            </w:tcBorders>
            <w:vAlign w:val="center"/>
          </w:tcPr>
          <w:p>
            <w:pPr>
              <w:pStyle w:val="22"/>
              <w:bidi w:val="0"/>
              <w:jc w:val="center"/>
              <w:rPr>
                <w:color w:val="0000FF"/>
              </w:rPr>
            </w:pPr>
            <w:r>
              <w:rPr>
                <w:color w:val="0000FF"/>
              </w:rPr>
              <w:t>背景值[dB(A)]</w:t>
            </w:r>
          </w:p>
        </w:tc>
        <w:tc>
          <w:tcPr>
            <w:tcW w:w="1064" w:type="dxa"/>
            <w:tcBorders>
              <w:tl2br w:val="nil"/>
              <w:tr2bl w:val="nil"/>
            </w:tcBorders>
            <w:vAlign w:val="center"/>
          </w:tcPr>
          <w:p>
            <w:pPr>
              <w:pStyle w:val="22"/>
              <w:bidi w:val="0"/>
              <w:jc w:val="center"/>
              <w:rPr>
                <w:color w:val="0000FF"/>
              </w:rPr>
            </w:pPr>
            <w:r>
              <w:rPr>
                <w:color w:val="0000FF"/>
              </w:rPr>
              <w:t>叠加值[dB(A)]</w:t>
            </w:r>
          </w:p>
        </w:tc>
        <w:tc>
          <w:tcPr>
            <w:tcW w:w="1069" w:type="dxa"/>
            <w:tcBorders>
              <w:tl2br w:val="nil"/>
              <w:tr2bl w:val="nil"/>
            </w:tcBorders>
            <w:vAlign w:val="center"/>
          </w:tcPr>
          <w:p>
            <w:pPr>
              <w:pStyle w:val="22"/>
              <w:bidi w:val="0"/>
              <w:jc w:val="center"/>
              <w:rPr>
                <w:color w:val="0000FF"/>
              </w:rPr>
            </w:pPr>
            <w:r>
              <w:rPr>
                <w:color w:val="0000FF"/>
              </w:rPr>
              <w:t>标准值（昼/夜）[dB(A)]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070" w:type="dxa"/>
            <w:vMerge w:val="restart"/>
            <w:tcBorders>
              <w:tl2br w:val="nil"/>
              <w:tr2bl w:val="nil"/>
            </w:tcBorders>
            <w:vAlign w:val="center"/>
          </w:tcPr>
          <w:p>
            <w:pPr>
              <w:pStyle w:val="22"/>
              <w:bidi w:val="0"/>
              <w:jc w:val="center"/>
              <w:rPr>
                <w:color w:val="0000FF"/>
              </w:rPr>
            </w:pPr>
            <w:r>
              <w:rPr>
                <w:color w:val="0000FF"/>
              </w:rPr>
              <w:t>东厂界</w:t>
            </w:r>
          </w:p>
        </w:tc>
        <w:tc>
          <w:tcPr>
            <w:tcW w:w="1065" w:type="dxa"/>
            <w:tcBorders>
              <w:tl2br w:val="nil"/>
              <w:tr2bl w:val="nil"/>
            </w:tcBorders>
            <w:vAlign w:val="center"/>
          </w:tcPr>
          <w:p>
            <w:pPr>
              <w:pStyle w:val="22"/>
              <w:bidi w:val="0"/>
              <w:jc w:val="center"/>
              <w:rPr>
                <w:color w:val="0000FF"/>
              </w:rPr>
            </w:pPr>
            <w:r>
              <w:rPr>
                <w:color w:val="0000FF"/>
              </w:rPr>
              <w:t>水泵</w:t>
            </w:r>
          </w:p>
        </w:tc>
        <w:tc>
          <w:tcPr>
            <w:tcW w:w="1064" w:type="dxa"/>
            <w:tcBorders>
              <w:tl2br w:val="nil"/>
              <w:tr2bl w:val="nil"/>
            </w:tcBorders>
            <w:vAlign w:val="center"/>
          </w:tcPr>
          <w:p>
            <w:pPr>
              <w:pStyle w:val="22"/>
              <w:bidi w:val="0"/>
              <w:jc w:val="center"/>
              <w:rPr>
                <w:color w:val="0000FF"/>
              </w:rPr>
            </w:pPr>
            <w:r>
              <w:rPr>
                <w:color w:val="0000FF"/>
              </w:rPr>
              <w:t>60</w:t>
            </w:r>
          </w:p>
        </w:tc>
        <w:tc>
          <w:tcPr>
            <w:tcW w:w="1065" w:type="dxa"/>
            <w:tcBorders>
              <w:tl2br w:val="nil"/>
              <w:tr2bl w:val="nil"/>
            </w:tcBorders>
            <w:vAlign w:val="center"/>
          </w:tcPr>
          <w:p>
            <w:pPr>
              <w:pStyle w:val="22"/>
              <w:bidi w:val="0"/>
              <w:jc w:val="center"/>
              <w:rPr>
                <w:color w:val="0000FF"/>
              </w:rPr>
            </w:pPr>
            <w:r>
              <w:rPr>
                <w:color w:val="0000FF"/>
              </w:rPr>
              <w:t>82</w:t>
            </w:r>
          </w:p>
        </w:tc>
        <w:tc>
          <w:tcPr>
            <w:tcW w:w="1064" w:type="dxa"/>
            <w:vMerge w:val="restart"/>
            <w:tcBorders>
              <w:tl2br w:val="nil"/>
              <w:tr2bl w:val="nil"/>
            </w:tcBorders>
            <w:vAlign w:val="center"/>
          </w:tcPr>
          <w:p>
            <w:pPr>
              <w:pStyle w:val="22"/>
              <w:bidi w:val="0"/>
              <w:jc w:val="center"/>
              <w:rPr>
                <w:color w:val="0000FF"/>
              </w:rPr>
            </w:pPr>
            <w:r>
              <w:rPr>
                <w:color w:val="0000FF"/>
              </w:rPr>
              <w:t>35.2</w:t>
            </w:r>
          </w:p>
        </w:tc>
        <w:tc>
          <w:tcPr>
            <w:tcW w:w="1065" w:type="dxa"/>
            <w:vMerge w:val="restart"/>
            <w:tcBorders>
              <w:tl2br w:val="nil"/>
              <w:tr2bl w:val="nil"/>
            </w:tcBorders>
            <w:vAlign w:val="center"/>
          </w:tcPr>
          <w:p>
            <w:pPr>
              <w:pStyle w:val="22"/>
              <w:bidi w:val="0"/>
              <w:jc w:val="center"/>
              <w:rPr>
                <w:color w:val="0000FF"/>
              </w:rPr>
            </w:pPr>
            <w:r>
              <w:rPr>
                <w:color w:val="0000FF"/>
              </w:rPr>
              <w:t>43/40</w:t>
            </w:r>
          </w:p>
        </w:tc>
        <w:tc>
          <w:tcPr>
            <w:tcW w:w="1064" w:type="dxa"/>
            <w:vMerge w:val="restart"/>
            <w:tcBorders>
              <w:tl2br w:val="nil"/>
              <w:tr2bl w:val="nil"/>
            </w:tcBorders>
            <w:vAlign w:val="center"/>
          </w:tcPr>
          <w:p>
            <w:pPr>
              <w:pStyle w:val="22"/>
              <w:bidi w:val="0"/>
              <w:jc w:val="center"/>
              <w:rPr>
                <w:color w:val="0000FF"/>
              </w:rPr>
            </w:pPr>
            <w:r>
              <w:rPr>
                <w:color w:val="0000FF"/>
              </w:rPr>
              <w:t>43.7/41.2</w:t>
            </w:r>
          </w:p>
        </w:tc>
        <w:tc>
          <w:tcPr>
            <w:tcW w:w="1069" w:type="dxa"/>
            <w:vMerge w:val="restart"/>
            <w:tcBorders>
              <w:tl2br w:val="nil"/>
              <w:tr2bl w:val="nil"/>
            </w:tcBorders>
            <w:vAlign w:val="center"/>
          </w:tcPr>
          <w:p>
            <w:pPr>
              <w:pStyle w:val="22"/>
              <w:bidi w:val="0"/>
              <w:jc w:val="center"/>
              <w:rPr>
                <w:color w:val="0000FF"/>
              </w:rPr>
            </w:pPr>
            <w:r>
              <w:rPr>
                <w:color w:val="0000FF"/>
              </w:rPr>
              <w:t>55/45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70" w:type="dxa"/>
            <w:vMerge w:val="continue"/>
            <w:tcBorders>
              <w:tl2br w:val="nil"/>
              <w:tr2bl w:val="nil"/>
            </w:tcBorders>
            <w:vAlign w:val="center"/>
          </w:tcPr>
          <w:p>
            <w:pPr>
              <w:pStyle w:val="22"/>
              <w:bidi w:val="0"/>
              <w:jc w:val="center"/>
              <w:rPr>
                <w:color w:val="0000FF"/>
              </w:rPr>
            </w:pPr>
          </w:p>
        </w:tc>
        <w:tc>
          <w:tcPr>
            <w:tcW w:w="1065" w:type="dxa"/>
            <w:tcBorders>
              <w:tl2br w:val="nil"/>
              <w:tr2bl w:val="nil"/>
            </w:tcBorders>
            <w:vAlign w:val="center"/>
          </w:tcPr>
          <w:p>
            <w:pPr>
              <w:pStyle w:val="22"/>
              <w:bidi w:val="0"/>
              <w:jc w:val="center"/>
              <w:rPr>
                <w:color w:val="0000FF"/>
              </w:rPr>
            </w:pPr>
            <w:r>
              <w:rPr>
                <w:color w:val="0000FF"/>
              </w:rPr>
              <w:t>风机</w:t>
            </w:r>
          </w:p>
        </w:tc>
        <w:tc>
          <w:tcPr>
            <w:tcW w:w="1064" w:type="dxa"/>
            <w:tcBorders>
              <w:tl2br w:val="nil"/>
              <w:tr2bl w:val="nil"/>
            </w:tcBorders>
            <w:vAlign w:val="center"/>
          </w:tcPr>
          <w:p>
            <w:pPr>
              <w:pStyle w:val="22"/>
              <w:bidi w:val="0"/>
              <w:jc w:val="center"/>
              <w:rPr>
                <w:color w:val="0000FF"/>
              </w:rPr>
            </w:pPr>
            <w:r>
              <w:rPr>
                <w:color w:val="0000FF"/>
              </w:rPr>
              <w:t>70</w:t>
            </w:r>
          </w:p>
        </w:tc>
        <w:tc>
          <w:tcPr>
            <w:tcW w:w="1065" w:type="dxa"/>
            <w:tcBorders>
              <w:tl2br w:val="nil"/>
              <w:tr2bl w:val="nil"/>
            </w:tcBorders>
            <w:vAlign w:val="center"/>
          </w:tcPr>
          <w:p>
            <w:pPr>
              <w:pStyle w:val="22"/>
              <w:bidi w:val="0"/>
              <w:jc w:val="center"/>
              <w:rPr>
                <w:color w:val="0000FF"/>
              </w:rPr>
            </w:pPr>
            <w:r>
              <w:rPr>
                <w:color w:val="0000FF"/>
              </w:rPr>
              <w:t>80</w:t>
            </w:r>
          </w:p>
        </w:tc>
        <w:tc>
          <w:tcPr>
            <w:tcW w:w="1064" w:type="dxa"/>
            <w:vMerge w:val="continue"/>
            <w:tcBorders>
              <w:tl2br w:val="nil"/>
              <w:tr2bl w:val="nil"/>
            </w:tcBorders>
            <w:vAlign w:val="center"/>
          </w:tcPr>
          <w:p>
            <w:pPr>
              <w:pStyle w:val="22"/>
              <w:bidi w:val="0"/>
              <w:jc w:val="center"/>
              <w:rPr>
                <w:color w:val="0000FF"/>
              </w:rPr>
            </w:pPr>
          </w:p>
        </w:tc>
        <w:tc>
          <w:tcPr>
            <w:tcW w:w="1065" w:type="dxa"/>
            <w:vMerge w:val="continue"/>
            <w:tcBorders>
              <w:tl2br w:val="nil"/>
              <w:tr2bl w:val="nil"/>
            </w:tcBorders>
            <w:vAlign w:val="center"/>
          </w:tcPr>
          <w:p>
            <w:pPr>
              <w:pStyle w:val="22"/>
              <w:bidi w:val="0"/>
              <w:jc w:val="center"/>
              <w:rPr>
                <w:color w:val="0000FF"/>
              </w:rPr>
            </w:pPr>
          </w:p>
        </w:tc>
        <w:tc>
          <w:tcPr>
            <w:tcW w:w="1064" w:type="dxa"/>
            <w:vMerge w:val="continue"/>
            <w:tcBorders>
              <w:tl2br w:val="nil"/>
              <w:tr2bl w:val="nil"/>
            </w:tcBorders>
            <w:vAlign w:val="center"/>
          </w:tcPr>
          <w:p>
            <w:pPr>
              <w:pStyle w:val="22"/>
              <w:bidi w:val="0"/>
              <w:jc w:val="center"/>
              <w:rPr>
                <w:color w:val="0000FF"/>
              </w:rPr>
            </w:pPr>
          </w:p>
        </w:tc>
        <w:tc>
          <w:tcPr>
            <w:tcW w:w="1069"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70" w:type="dxa"/>
            <w:vMerge w:val="restart"/>
            <w:tcBorders>
              <w:tl2br w:val="nil"/>
              <w:tr2bl w:val="nil"/>
            </w:tcBorders>
            <w:vAlign w:val="center"/>
          </w:tcPr>
          <w:p>
            <w:pPr>
              <w:pStyle w:val="22"/>
              <w:bidi w:val="0"/>
              <w:jc w:val="center"/>
              <w:rPr>
                <w:color w:val="0000FF"/>
              </w:rPr>
            </w:pPr>
            <w:r>
              <w:rPr>
                <w:color w:val="0000FF"/>
              </w:rPr>
              <w:t>南厂界</w:t>
            </w:r>
          </w:p>
        </w:tc>
        <w:tc>
          <w:tcPr>
            <w:tcW w:w="1065" w:type="dxa"/>
            <w:tcBorders>
              <w:tl2br w:val="nil"/>
              <w:tr2bl w:val="nil"/>
            </w:tcBorders>
            <w:vAlign w:val="center"/>
          </w:tcPr>
          <w:p>
            <w:pPr>
              <w:pStyle w:val="22"/>
              <w:bidi w:val="0"/>
              <w:jc w:val="center"/>
              <w:rPr>
                <w:color w:val="0000FF"/>
              </w:rPr>
            </w:pPr>
            <w:r>
              <w:rPr>
                <w:color w:val="0000FF"/>
              </w:rPr>
              <w:t>水泵</w:t>
            </w:r>
          </w:p>
        </w:tc>
        <w:tc>
          <w:tcPr>
            <w:tcW w:w="1064" w:type="dxa"/>
            <w:tcBorders>
              <w:tl2br w:val="nil"/>
              <w:tr2bl w:val="nil"/>
            </w:tcBorders>
            <w:vAlign w:val="center"/>
          </w:tcPr>
          <w:p>
            <w:pPr>
              <w:pStyle w:val="22"/>
              <w:bidi w:val="0"/>
              <w:jc w:val="center"/>
              <w:rPr>
                <w:color w:val="0000FF"/>
              </w:rPr>
            </w:pPr>
            <w:r>
              <w:rPr>
                <w:color w:val="0000FF"/>
              </w:rPr>
              <w:t>60</w:t>
            </w:r>
          </w:p>
        </w:tc>
        <w:tc>
          <w:tcPr>
            <w:tcW w:w="1065" w:type="dxa"/>
            <w:tcBorders>
              <w:tl2br w:val="nil"/>
              <w:tr2bl w:val="nil"/>
            </w:tcBorders>
            <w:vAlign w:val="center"/>
          </w:tcPr>
          <w:p>
            <w:pPr>
              <w:pStyle w:val="22"/>
              <w:bidi w:val="0"/>
              <w:jc w:val="center"/>
              <w:rPr>
                <w:color w:val="0000FF"/>
              </w:rPr>
            </w:pPr>
            <w:r>
              <w:rPr>
                <w:color w:val="0000FF"/>
              </w:rPr>
              <w:t>72</w:t>
            </w:r>
          </w:p>
        </w:tc>
        <w:tc>
          <w:tcPr>
            <w:tcW w:w="1064" w:type="dxa"/>
            <w:vMerge w:val="restart"/>
            <w:tcBorders>
              <w:tl2br w:val="nil"/>
              <w:tr2bl w:val="nil"/>
            </w:tcBorders>
            <w:vAlign w:val="center"/>
          </w:tcPr>
          <w:p>
            <w:pPr>
              <w:pStyle w:val="22"/>
              <w:bidi w:val="0"/>
              <w:jc w:val="center"/>
              <w:rPr>
                <w:color w:val="0000FF"/>
              </w:rPr>
            </w:pPr>
            <w:r>
              <w:rPr>
                <w:color w:val="0000FF"/>
              </w:rPr>
              <w:t>36.1</w:t>
            </w:r>
          </w:p>
        </w:tc>
        <w:tc>
          <w:tcPr>
            <w:tcW w:w="1065" w:type="dxa"/>
            <w:vMerge w:val="restart"/>
            <w:tcBorders>
              <w:tl2br w:val="nil"/>
              <w:tr2bl w:val="nil"/>
            </w:tcBorders>
            <w:vAlign w:val="center"/>
          </w:tcPr>
          <w:p>
            <w:pPr>
              <w:pStyle w:val="22"/>
              <w:bidi w:val="0"/>
              <w:jc w:val="center"/>
              <w:rPr>
                <w:color w:val="0000FF"/>
              </w:rPr>
            </w:pPr>
            <w:r>
              <w:rPr>
                <w:color w:val="0000FF"/>
              </w:rPr>
              <w:t>44/38</w:t>
            </w:r>
          </w:p>
        </w:tc>
        <w:tc>
          <w:tcPr>
            <w:tcW w:w="1064" w:type="dxa"/>
            <w:vMerge w:val="restart"/>
            <w:tcBorders>
              <w:tl2br w:val="nil"/>
              <w:tr2bl w:val="nil"/>
            </w:tcBorders>
            <w:vAlign w:val="center"/>
          </w:tcPr>
          <w:p>
            <w:pPr>
              <w:pStyle w:val="22"/>
              <w:bidi w:val="0"/>
              <w:jc w:val="center"/>
              <w:rPr>
                <w:color w:val="0000FF"/>
              </w:rPr>
            </w:pPr>
            <w:r>
              <w:rPr>
                <w:color w:val="0000FF"/>
              </w:rPr>
              <w:t>44.7/40.2</w:t>
            </w:r>
          </w:p>
        </w:tc>
        <w:tc>
          <w:tcPr>
            <w:tcW w:w="1069"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70" w:type="dxa"/>
            <w:vMerge w:val="continue"/>
            <w:tcBorders>
              <w:tl2br w:val="nil"/>
              <w:tr2bl w:val="nil"/>
            </w:tcBorders>
            <w:vAlign w:val="center"/>
          </w:tcPr>
          <w:p>
            <w:pPr>
              <w:pStyle w:val="22"/>
              <w:bidi w:val="0"/>
              <w:jc w:val="center"/>
              <w:rPr>
                <w:color w:val="0000FF"/>
              </w:rPr>
            </w:pPr>
          </w:p>
        </w:tc>
        <w:tc>
          <w:tcPr>
            <w:tcW w:w="1065" w:type="dxa"/>
            <w:tcBorders>
              <w:tl2br w:val="nil"/>
              <w:tr2bl w:val="nil"/>
            </w:tcBorders>
            <w:vAlign w:val="center"/>
          </w:tcPr>
          <w:p>
            <w:pPr>
              <w:pStyle w:val="22"/>
              <w:bidi w:val="0"/>
              <w:jc w:val="center"/>
              <w:rPr>
                <w:color w:val="0000FF"/>
              </w:rPr>
            </w:pPr>
            <w:r>
              <w:rPr>
                <w:color w:val="0000FF"/>
              </w:rPr>
              <w:t>风机</w:t>
            </w:r>
          </w:p>
        </w:tc>
        <w:tc>
          <w:tcPr>
            <w:tcW w:w="1064" w:type="dxa"/>
            <w:tcBorders>
              <w:tl2br w:val="nil"/>
              <w:tr2bl w:val="nil"/>
            </w:tcBorders>
            <w:vAlign w:val="center"/>
          </w:tcPr>
          <w:p>
            <w:pPr>
              <w:pStyle w:val="22"/>
              <w:bidi w:val="0"/>
              <w:jc w:val="center"/>
              <w:rPr>
                <w:color w:val="0000FF"/>
              </w:rPr>
            </w:pPr>
            <w:r>
              <w:rPr>
                <w:color w:val="0000FF"/>
              </w:rPr>
              <w:t>70</w:t>
            </w:r>
          </w:p>
        </w:tc>
        <w:tc>
          <w:tcPr>
            <w:tcW w:w="1065" w:type="dxa"/>
            <w:tcBorders>
              <w:tl2br w:val="nil"/>
              <w:tr2bl w:val="nil"/>
            </w:tcBorders>
            <w:vAlign w:val="center"/>
          </w:tcPr>
          <w:p>
            <w:pPr>
              <w:pStyle w:val="22"/>
              <w:bidi w:val="0"/>
              <w:jc w:val="center"/>
              <w:rPr>
                <w:color w:val="0000FF"/>
              </w:rPr>
            </w:pPr>
            <w:r>
              <w:rPr>
                <w:color w:val="0000FF"/>
              </w:rPr>
              <w:t>72</w:t>
            </w:r>
          </w:p>
        </w:tc>
        <w:tc>
          <w:tcPr>
            <w:tcW w:w="1064" w:type="dxa"/>
            <w:vMerge w:val="continue"/>
            <w:tcBorders>
              <w:tl2br w:val="nil"/>
              <w:tr2bl w:val="nil"/>
            </w:tcBorders>
            <w:vAlign w:val="center"/>
          </w:tcPr>
          <w:p>
            <w:pPr>
              <w:pStyle w:val="22"/>
              <w:bidi w:val="0"/>
              <w:jc w:val="center"/>
              <w:rPr>
                <w:color w:val="0000FF"/>
              </w:rPr>
            </w:pPr>
          </w:p>
        </w:tc>
        <w:tc>
          <w:tcPr>
            <w:tcW w:w="1065" w:type="dxa"/>
            <w:vMerge w:val="continue"/>
            <w:tcBorders>
              <w:tl2br w:val="nil"/>
              <w:tr2bl w:val="nil"/>
            </w:tcBorders>
            <w:vAlign w:val="center"/>
          </w:tcPr>
          <w:p>
            <w:pPr>
              <w:pStyle w:val="22"/>
              <w:bidi w:val="0"/>
              <w:jc w:val="center"/>
              <w:rPr>
                <w:color w:val="0000FF"/>
              </w:rPr>
            </w:pPr>
          </w:p>
        </w:tc>
        <w:tc>
          <w:tcPr>
            <w:tcW w:w="1064" w:type="dxa"/>
            <w:vMerge w:val="continue"/>
            <w:tcBorders>
              <w:tl2br w:val="nil"/>
              <w:tr2bl w:val="nil"/>
            </w:tcBorders>
            <w:vAlign w:val="center"/>
          </w:tcPr>
          <w:p>
            <w:pPr>
              <w:pStyle w:val="22"/>
              <w:bidi w:val="0"/>
              <w:jc w:val="center"/>
              <w:rPr>
                <w:color w:val="0000FF"/>
              </w:rPr>
            </w:pPr>
          </w:p>
        </w:tc>
        <w:tc>
          <w:tcPr>
            <w:tcW w:w="1069"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070" w:type="dxa"/>
            <w:vMerge w:val="restart"/>
            <w:tcBorders>
              <w:tl2br w:val="nil"/>
              <w:tr2bl w:val="nil"/>
            </w:tcBorders>
            <w:vAlign w:val="center"/>
          </w:tcPr>
          <w:p>
            <w:pPr>
              <w:pStyle w:val="22"/>
              <w:bidi w:val="0"/>
              <w:jc w:val="center"/>
              <w:rPr>
                <w:color w:val="0000FF"/>
              </w:rPr>
            </w:pPr>
            <w:r>
              <w:rPr>
                <w:color w:val="0000FF"/>
              </w:rPr>
              <w:t>西厂界</w:t>
            </w:r>
          </w:p>
        </w:tc>
        <w:tc>
          <w:tcPr>
            <w:tcW w:w="1065" w:type="dxa"/>
            <w:tcBorders>
              <w:tl2br w:val="nil"/>
              <w:tr2bl w:val="nil"/>
            </w:tcBorders>
            <w:vAlign w:val="center"/>
          </w:tcPr>
          <w:p>
            <w:pPr>
              <w:pStyle w:val="22"/>
              <w:bidi w:val="0"/>
              <w:jc w:val="center"/>
              <w:rPr>
                <w:color w:val="0000FF"/>
              </w:rPr>
            </w:pPr>
            <w:r>
              <w:rPr>
                <w:color w:val="0000FF"/>
              </w:rPr>
              <w:t>水泵</w:t>
            </w:r>
          </w:p>
        </w:tc>
        <w:tc>
          <w:tcPr>
            <w:tcW w:w="1064" w:type="dxa"/>
            <w:tcBorders>
              <w:tl2br w:val="nil"/>
              <w:tr2bl w:val="nil"/>
            </w:tcBorders>
            <w:vAlign w:val="center"/>
          </w:tcPr>
          <w:p>
            <w:pPr>
              <w:pStyle w:val="22"/>
              <w:bidi w:val="0"/>
              <w:jc w:val="center"/>
              <w:rPr>
                <w:color w:val="0000FF"/>
              </w:rPr>
            </w:pPr>
            <w:r>
              <w:rPr>
                <w:color w:val="0000FF"/>
              </w:rPr>
              <w:t>60</w:t>
            </w:r>
          </w:p>
        </w:tc>
        <w:tc>
          <w:tcPr>
            <w:tcW w:w="1065" w:type="dxa"/>
            <w:tcBorders>
              <w:tl2br w:val="nil"/>
              <w:tr2bl w:val="nil"/>
            </w:tcBorders>
            <w:vAlign w:val="center"/>
          </w:tcPr>
          <w:p>
            <w:pPr>
              <w:pStyle w:val="22"/>
              <w:bidi w:val="0"/>
              <w:jc w:val="center"/>
              <w:rPr>
                <w:color w:val="0000FF"/>
              </w:rPr>
            </w:pPr>
            <w:r>
              <w:rPr>
                <w:color w:val="0000FF"/>
              </w:rPr>
              <w:t>62</w:t>
            </w:r>
          </w:p>
        </w:tc>
        <w:tc>
          <w:tcPr>
            <w:tcW w:w="1064" w:type="dxa"/>
            <w:vMerge w:val="restart"/>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37.1</w:t>
            </w:r>
          </w:p>
        </w:tc>
        <w:tc>
          <w:tcPr>
            <w:tcW w:w="1065" w:type="dxa"/>
            <w:vMerge w:val="restart"/>
            <w:tcBorders>
              <w:tl2br w:val="nil"/>
              <w:tr2bl w:val="nil"/>
            </w:tcBorders>
            <w:vAlign w:val="center"/>
          </w:tcPr>
          <w:p>
            <w:pPr>
              <w:pStyle w:val="22"/>
              <w:bidi w:val="0"/>
              <w:jc w:val="center"/>
              <w:rPr>
                <w:color w:val="0000FF"/>
              </w:rPr>
            </w:pPr>
            <w:r>
              <w:rPr>
                <w:color w:val="0000FF"/>
              </w:rPr>
              <w:t>44/38</w:t>
            </w:r>
          </w:p>
        </w:tc>
        <w:tc>
          <w:tcPr>
            <w:tcW w:w="1064" w:type="dxa"/>
            <w:vMerge w:val="restart"/>
            <w:tcBorders>
              <w:tl2br w:val="nil"/>
              <w:tr2bl w:val="nil"/>
            </w:tcBorders>
            <w:vAlign w:val="center"/>
          </w:tcPr>
          <w:p>
            <w:pPr>
              <w:pStyle w:val="22"/>
              <w:bidi w:val="0"/>
              <w:jc w:val="center"/>
              <w:rPr>
                <w:color w:val="0000FF"/>
              </w:rPr>
            </w:pPr>
            <w:r>
              <w:rPr>
                <w:color w:val="0000FF"/>
              </w:rPr>
              <w:t>44.8/40.1</w:t>
            </w:r>
          </w:p>
        </w:tc>
        <w:tc>
          <w:tcPr>
            <w:tcW w:w="1069"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70" w:type="dxa"/>
            <w:vMerge w:val="continue"/>
            <w:tcBorders>
              <w:tl2br w:val="nil"/>
              <w:tr2bl w:val="nil"/>
            </w:tcBorders>
            <w:vAlign w:val="center"/>
          </w:tcPr>
          <w:p>
            <w:pPr>
              <w:pStyle w:val="22"/>
              <w:bidi w:val="0"/>
              <w:jc w:val="center"/>
              <w:rPr>
                <w:color w:val="0000FF"/>
              </w:rPr>
            </w:pPr>
          </w:p>
        </w:tc>
        <w:tc>
          <w:tcPr>
            <w:tcW w:w="1065" w:type="dxa"/>
            <w:tcBorders>
              <w:tl2br w:val="nil"/>
              <w:tr2bl w:val="nil"/>
            </w:tcBorders>
            <w:vAlign w:val="center"/>
          </w:tcPr>
          <w:p>
            <w:pPr>
              <w:pStyle w:val="22"/>
              <w:bidi w:val="0"/>
              <w:jc w:val="center"/>
              <w:rPr>
                <w:color w:val="0000FF"/>
              </w:rPr>
            </w:pPr>
            <w:r>
              <w:rPr>
                <w:color w:val="0000FF"/>
              </w:rPr>
              <w:t>风机</w:t>
            </w:r>
          </w:p>
        </w:tc>
        <w:tc>
          <w:tcPr>
            <w:tcW w:w="1064" w:type="dxa"/>
            <w:tcBorders>
              <w:tl2br w:val="nil"/>
              <w:tr2bl w:val="nil"/>
            </w:tcBorders>
            <w:vAlign w:val="center"/>
          </w:tcPr>
          <w:p>
            <w:pPr>
              <w:pStyle w:val="22"/>
              <w:bidi w:val="0"/>
              <w:jc w:val="center"/>
              <w:rPr>
                <w:color w:val="0000FF"/>
              </w:rPr>
            </w:pPr>
            <w:r>
              <w:rPr>
                <w:color w:val="0000FF"/>
              </w:rPr>
              <w:t>70</w:t>
            </w:r>
          </w:p>
        </w:tc>
        <w:tc>
          <w:tcPr>
            <w:tcW w:w="1065" w:type="dxa"/>
            <w:tcBorders>
              <w:tl2br w:val="nil"/>
              <w:tr2bl w:val="nil"/>
            </w:tcBorders>
            <w:vAlign w:val="center"/>
          </w:tcPr>
          <w:p>
            <w:pPr>
              <w:pStyle w:val="22"/>
              <w:bidi w:val="0"/>
              <w:jc w:val="center"/>
              <w:rPr>
                <w:color w:val="0000FF"/>
              </w:rPr>
            </w:pPr>
            <w:r>
              <w:rPr>
                <w:color w:val="0000FF"/>
              </w:rPr>
              <w:t>64</w:t>
            </w:r>
          </w:p>
        </w:tc>
        <w:tc>
          <w:tcPr>
            <w:tcW w:w="1064" w:type="dxa"/>
            <w:vMerge w:val="continue"/>
            <w:tcBorders>
              <w:tl2br w:val="nil"/>
              <w:tr2bl w:val="nil"/>
            </w:tcBorders>
            <w:vAlign w:val="center"/>
          </w:tcPr>
          <w:p>
            <w:pPr>
              <w:pStyle w:val="22"/>
              <w:bidi w:val="0"/>
              <w:jc w:val="center"/>
              <w:rPr>
                <w:color w:val="0000FF"/>
              </w:rPr>
            </w:pPr>
          </w:p>
        </w:tc>
        <w:tc>
          <w:tcPr>
            <w:tcW w:w="1065" w:type="dxa"/>
            <w:vMerge w:val="continue"/>
            <w:tcBorders>
              <w:tl2br w:val="nil"/>
              <w:tr2bl w:val="nil"/>
            </w:tcBorders>
            <w:vAlign w:val="center"/>
          </w:tcPr>
          <w:p>
            <w:pPr>
              <w:pStyle w:val="22"/>
              <w:bidi w:val="0"/>
              <w:jc w:val="center"/>
              <w:rPr>
                <w:color w:val="0000FF"/>
              </w:rPr>
            </w:pPr>
          </w:p>
        </w:tc>
        <w:tc>
          <w:tcPr>
            <w:tcW w:w="1064" w:type="dxa"/>
            <w:vMerge w:val="continue"/>
            <w:tcBorders>
              <w:tl2br w:val="nil"/>
              <w:tr2bl w:val="nil"/>
            </w:tcBorders>
            <w:vAlign w:val="center"/>
          </w:tcPr>
          <w:p>
            <w:pPr>
              <w:pStyle w:val="22"/>
              <w:bidi w:val="0"/>
              <w:jc w:val="center"/>
              <w:rPr>
                <w:color w:val="0000FF"/>
              </w:rPr>
            </w:pPr>
          </w:p>
        </w:tc>
        <w:tc>
          <w:tcPr>
            <w:tcW w:w="1069"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070" w:type="dxa"/>
            <w:vMerge w:val="restart"/>
            <w:tcBorders>
              <w:tl2br w:val="nil"/>
              <w:tr2bl w:val="nil"/>
            </w:tcBorders>
            <w:vAlign w:val="center"/>
          </w:tcPr>
          <w:p>
            <w:pPr>
              <w:pStyle w:val="22"/>
              <w:bidi w:val="0"/>
              <w:jc w:val="center"/>
              <w:rPr>
                <w:color w:val="0000FF"/>
              </w:rPr>
            </w:pPr>
            <w:r>
              <w:rPr>
                <w:color w:val="0000FF"/>
              </w:rPr>
              <w:t>北厂界</w:t>
            </w:r>
          </w:p>
        </w:tc>
        <w:tc>
          <w:tcPr>
            <w:tcW w:w="1065" w:type="dxa"/>
            <w:tcBorders>
              <w:tl2br w:val="nil"/>
              <w:tr2bl w:val="nil"/>
            </w:tcBorders>
            <w:vAlign w:val="center"/>
          </w:tcPr>
          <w:p>
            <w:pPr>
              <w:pStyle w:val="22"/>
              <w:bidi w:val="0"/>
              <w:jc w:val="center"/>
              <w:rPr>
                <w:color w:val="0000FF"/>
              </w:rPr>
            </w:pPr>
            <w:r>
              <w:rPr>
                <w:color w:val="0000FF"/>
              </w:rPr>
              <w:t>水泵</w:t>
            </w:r>
          </w:p>
        </w:tc>
        <w:tc>
          <w:tcPr>
            <w:tcW w:w="1064" w:type="dxa"/>
            <w:tcBorders>
              <w:tl2br w:val="nil"/>
              <w:tr2bl w:val="nil"/>
            </w:tcBorders>
            <w:vAlign w:val="center"/>
          </w:tcPr>
          <w:p>
            <w:pPr>
              <w:pStyle w:val="22"/>
              <w:bidi w:val="0"/>
              <w:jc w:val="center"/>
              <w:rPr>
                <w:color w:val="0000FF"/>
              </w:rPr>
            </w:pPr>
            <w:r>
              <w:rPr>
                <w:color w:val="0000FF"/>
              </w:rPr>
              <w:t>60</w:t>
            </w:r>
          </w:p>
        </w:tc>
        <w:tc>
          <w:tcPr>
            <w:tcW w:w="1065" w:type="dxa"/>
            <w:tcBorders>
              <w:tl2br w:val="nil"/>
              <w:tr2bl w:val="nil"/>
            </w:tcBorders>
            <w:vAlign w:val="center"/>
          </w:tcPr>
          <w:p>
            <w:pPr>
              <w:pStyle w:val="22"/>
              <w:bidi w:val="0"/>
              <w:jc w:val="center"/>
              <w:rPr>
                <w:color w:val="0000FF"/>
              </w:rPr>
            </w:pPr>
            <w:r>
              <w:rPr>
                <w:color w:val="0000FF"/>
              </w:rPr>
              <w:t>30</w:t>
            </w:r>
          </w:p>
        </w:tc>
        <w:tc>
          <w:tcPr>
            <w:tcW w:w="1064" w:type="dxa"/>
            <w:vMerge w:val="restart"/>
            <w:tcBorders>
              <w:tl2br w:val="nil"/>
              <w:tr2bl w:val="nil"/>
            </w:tcBorders>
            <w:vAlign w:val="center"/>
          </w:tcPr>
          <w:p>
            <w:pPr>
              <w:pStyle w:val="22"/>
              <w:bidi w:val="0"/>
              <w:jc w:val="center"/>
              <w:rPr>
                <w:color w:val="0000FF"/>
              </w:rPr>
            </w:pPr>
            <w:r>
              <w:rPr>
                <w:color w:val="0000FF"/>
              </w:rPr>
              <w:t>43.7</w:t>
            </w:r>
          </w:p>
        </w:tc>
        <w:tc>
          <w:tcPr>
            <w:tcW w:w="1065" w:type="dxa"/>
            <w:vMerge w:val="restart"/>
            <w:tcBorders>
              <w:tl2br w:val="nil"/>
              <w:tr2bl w:val="nil"/>
            </w:tcBorders>
            <w:vAlign w:val="center"/>
          </w:tcPr>
          <w:p>
            <w:pPr>
              <w:pStyle w:val="22"/>
              <w:bidi w:val="0"/>
              <w:jc w:val="center"/>
              <w:rPr>
                <w:color w:val="0000FF"/>
              </w:rPr>
            </w:pPr>
            <w:r>
              <w:rPr>
                <w:color w:val="0000FF"/>
              </w:rPr>
              <w:t>45/40</w:t>
            </w:r>
          </w:p>
        </w:tc>
        <w:tc>
          <w:tcPr>
            <w:tcW w:w="1064" w:type="dxa"/>
            <w:vMerge w:val="restart"/>
            <w:tcBorders>
              <w:tl2br w:val="nil"/>
              <w:tr2bl w:val="nil"/>
            </w:tcBorders>
            <w:vAlign w:val="center"/>
          </w:tcPr>
          <w:p>
            <w:pPr>
              <w:pStyle w:val="22"/>
              <w:bidi w:val="0"/>
              <w:jc w:val="center"/>
              <w:rPr>
                <w:color w:val="0000FF"/>
              </w:rPr>
            </w:pPr>
            <w:r>
              <w:rPr>
                <w:color w:val="0000FF"/>
              </w:rPr>
              <w:t>47.4/44.8</w:t>
            </w:r>
          </w:p>
        </w:tc>
        <w:tc>
          <w:tcPr>
            <w:tcW w:w="1069"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70" w:type="dxa"/>
            <w:vMerge w:val="continue"/>
            <w:tcBorders>
              <w:tl2br w:val="nil"/>
              <w:tr2bl w:val="nil"/>
            </w:tcBorders>
            <w:vAlign w:val="center"/>
          </w:tcPr>
          <w:p>
            <w:pPr>
              <w:pStyle w:val="22"/>
              <w:bidi w:val="0"/>
              <w:jc w:val="center"/>
              <w:rPr>
                <w:color w:val="0000FF"/>
              </w:rPr>
            </w:pPr>
          </w:p>
        </w:tc>
        <w:tc>
          <w:tcPr>
            <w:tcW w:w="1065" w:type="dxa"/>
            <w:tcBorders>
              <w:tl2br w:val="nil"/>
              <w:tr2bl w:val="nil"/>
            </w:tcBorders>
            <w:vAlign w:val="center"/>
          </w:tcPr>
          <w:p>
            <w:pPr>
              <w:pStyle w:val="22"/>
              <w:bidi w:val="0"/>
              <w:jc w:val="center"/>
              <w:rPr>
                <w:color w:val="0000FF"/>
              </w:rPr>
            </w:pPr>
            <w:r>
              <w:rPr>
                <w:color w:val="0000FF"/>
              </w:rPr>
              <w:t>风机</w:t>
            </w:r>
          </w:p>
        </w:tc>
        <w:tc>
          <w:tcPr>
            <w:tcW w:w="1064" w:type="dxa"/>
            <w:tcBorders>
              <w:tl2br w:val="nil"/>
              <w:tr2bl w:val="nil"/>
            </w:tcBorders>
            <w:vAlign w:val="center"/>
          </w:tcPr>
          <w:p>
            <w:pPr>
              <w:pStyle w:val="22"/>
              <w:bidi w:val="0"/>
              <w:jc w:val="center"/>
              <w:rPr>
                <w:color w:val="0000FF"/>
              </w:rPr>
            </w:pPr>
            <w:r>
              <w:rPr>
                <w:color w:val="0000FF"/>
              </w:rPr>
              <w:t>70</w:t>
            </w:r>
          </w:p>
        </w:tc>
        <w:tc>
          <w:tcPr>
            <w:tcW w:w="1065" w:type="dxa"/>
            <w:tcBorders>
              <w:tl2br w:val="nil"/>
              <w:tr2bl w:val="nil"/>
            </w:tcBorders>
            <w:vAlign w:val="center"/>
          </w:tcPr>
          <w:p>
            <w:pPr>
              <w:pStyle w:val="22"/>
              <w:bidi w:val="0"/>
              <w:jc w:val="center"/>
              <w:rPr>
                <w:color w:val="0000FF"/>
              </w:rPr>
            </w:pPr>
            <w:r>
              <w:rPr>
                <w:color w:val="0000FF"/>
              </w:rPr>
              <w:t>30</w:t>
            </w:r>
          </w:p>
        </w:tc>
        <w:tc>
          <w:tcPr>
            <w:tcW w:w="1064" w:type="dxa"/>
            <w:vMerge w:val="continue"/>
            <w:tcBorders>
              <w:tl2br w:val="nil"/>
              <w:tr2bl w:val="nil"/>
            </w:tcBorders>
            <w:vAlign w:val="center"/>
          </w:tcPr>
          <w:p>
            <w:pPr>
              <w:pStyle w:val="22"/>
              <w:bidi w:val="0"/>
              <w:jc w:val="center"/>
              <w:rPr>
                <w:color w:val="0000FF"/>
              </w:rPr>
            </w:pPr>
          </w:p>
        </w:tc>
        <w:tc>
          <w:tcPr>
            <w:tcW w:w="1065" w:type="dxa"/>
            <w:vMerge w:val="continue"/>
            <w:tcBorders>
              <w:tl2br w:val="nil"/>
              <w:tr2bl w:val="nil"/>
            </w:tcBorders>
            <w:vAlign w:val="center"/>
          </w:tcPr>
          <w:p>
            <w:pPr>
              <w:pStyle w:val="22"/>
              <w:bidi w:val="0"/>
              <w:jc w:val="center"/>
              <w:rPr>
                <w:color w:val="0000FF"/>
              </w:rPr>
            </w:pPr>
          </w:p>
        </w:tc>
        <w:tc>
          <w:tcPr>
            <w:tcW w:w="1064" w:type="dxa"/>
            <w:vMerge w:val="continue"/>
            <w:tcBorders>
              <w:tl2br w:val="nil"/>
              <w:tr2bl w:val="nil"/>
            </w:tcBorders>
            <w:vAlign w:val="center"/>
          </w:tcPr>
          <w:p>
            <w:pPr>
              <w:pStyle w:val="22"/>
              <w:bidi w:val="0"/>
              <w:jc w:val="center"/>
              <w:rPr>
                <w:color w:val="0000FF"/>
              </w:rPr>
            </w:pPr>
          </w:p>
        </w:tc>
        <w:tc>
          <w:tcPr>
            <w:tcW w:w="1069" w:type="dxa"/>
            <w:vMerge w:val="continue"/>
            <w:tcBorders>
              <w:tl2br w:val="nil"/>
              <w:tr2bl w:val="nil"/>
            </w:tcBorders>
            <w:vAlign w:val="center"/>
          </w:tcPr>
          <w:p>
            <w:pPr>
              <w:pStyle w:val="22"/>
              <w:bidi w:val="0"/>
              <w:jc w:val="center"/>
              <w:rPr>
                <w:color w:val="0000FF"/>
              </w:rPr>
            </w:pPr>
          </w:p>
        </w:tc>
      </w:tr>
    </w:tbl>
    <w:p>
      <w:pPr>
        <w:bidi w:val="0"/>
        <w:rPr>
          <w:color w:val="0000FF"/>
        </w:rPr>
      </w:pPr>
      <w:r>
        <w:rPr>
          <w:color w:val="0000FF"/>
        </w:rPr>
        <w:t>由上表可知，本项目运营期噪声经采取隔声、减振等降噪措施后，各边界噪声值均能满足《工业企业厂界环境噪声排放标准》（GB12348-2008）1类【昼间≤55dB(A)、夜间≤45dB(A)】要求；各敏感目标处噪声预测值均能满足《声环境质量标准》（GB3096-2008）1类标准【昼间≤55dB(A)、夜间≤45dB(A)】要求，项目噪声对外环境影响较小。</w:t>
      </w:r>
    </w:p>
    <w:p>
      <w:pPr>
        <w:pStyle w:val="6"/>
        <w:bidi w:val="0"/>
        <w:rPr>
          <w:color w:val="0000FF"/>
          <w:highlight w:val="none"/>
        </w:rPr>
      </w:pPr>
      <w:bookmarkStart w:id="100" w:name="_Toc5848"/>
      <w:r>
        <w:rPr>
          <w:color w:val="0000FF"/>
          <w:highlight w:val="none"/>
        </w:rPr>
        <w:t>5.</w:t>
      </w:r>
      <w:r>
        <w:rPr>
          <w:rFonts w:hint="eastAsia"/>
          <w:color w:val="0000FF"/>
          <w:highlight w:val="none"/>
          <w:lang w:val="en-US" w:eastAsia="zh-CN"/>
        </w:rPr>
        <w:t>2</w:t>
      </w:r>
      <w:r>
        <w:rPr>
          <w:color w:val="0000FF"/>
          <w:highlight w:val="none"/>
        </w:rPr>
        <w:t>.</w:t>
      </w:r>
      <w:r>
        <w:rPr>
          <w:rFonts w:hint="eastAsia"/>
          <w:color w:val="0000FF"/>
          <w:highlight w:val="none"/>
          <w:lang w:val="en-US" w:eastAsia="zh-CN"/>
        </w:rPr>
        <w:t>5</w:t>
      </w:r>
      <w:r>
        <w:rPr>
          <w:color w:val="0000FF"/>
          <w:highlight w:val="none"/>
        </w:rPr>
        <w:t>固废环境影响分析</w:t>
      </w:r>
      <w:bookmarkEnd w:id="100"/>
    </w:p>
    <w:p>
      <w:pPr>
        <w:pStyle w:val="7"/>
        <w:bidi w:val="0"/>
        <w:rPr>
          <w:color w:val="0000FF"/>
        </w:rPr>
      </w:pPr>
      <w:r>
        <w:rPr>
          <w:rFonts w:hint="eastAsia"/>
          <w:color w:val="0000FF"/>
          <w:lang w:val="en-US" w:eastAsia="zh-CN"/>
        </w:rPr>
        <w:t>5</w:t>
      </w:r>
      <w:r>
        <w:rPr>
          <w:color w:val="0000FF"/>
        </w:rPr>
        <w:t>.</w:t>
      </w:r>
      <w:r>
        <w:rPr>
          <w:rFonts w:hint="eastAsia"/>
          <w:color w:val="0000FF"/>
          <w:lang w:val="en-US" w:eastAsia="zh-CN"/>
        </w:rPr>
        <w:t>2</w:t>
      </w:r>
      <w:r>
        <w:rPr>
          <w:color w:val="0000FF"/>
        </w:rPr>
        <w:t>.</w:t>
      </w:r>
      <w:r>
        <w:rPr>
          <w:rFonts w:hint="eastAsia"/>
          <w:color w:val="0000FF"/>
          <w:lang w:val="en-US" w:eastAsia="zh-CN"/>
        </w:rPr>
        <w:t>5</w:t>
      </w:r>
      <w:r>
        <w:rPr>
          <w:color w:val="0000FF"/>
        </w:rPr>
        <w:t>.1</w:t>
      </w:r>
      <w:r>
        <w:rPr>
          <w:rFonts w:ascii="宋体" w:hAnsi="宋体" w:eastAsia="宋体" w:cs="宋体"/>
          <w:b w:val="0"/>
          <w:bCs/>
          <w:color w:val="0000FF"/>
          <w:spacing w:val="-1"/>
          <w:sz w:val="24"/>
          <w:szCs w:val="24"/>
          <w14:textOutline w14:w="4358" w14:cap="sq" w14:cmpd="sng">
            <w14:solidFill>
              <w14:srgbClr w14:val="000000"/>
            </w14:solidFill>
            <w14:prstDash w14:val="solid"/>
            <w14:bevel/>
          </w14:textOutline>
        </w:rPr>
        <w:t>运营期固体废物产生及处置措施</w:t>
      </w:r>
    </w:p>
    <w:p>
      <w:pPr>
        <w:bidi w:val="0"/>
        <w:rPr>
          <w:color w:val="0000FF"/>
        </w:rPr>
      </w:pPr>
      <w:r>
        <w:rPr>
          <w:color w:val="0000FF"/>
        </w:rPr>
        <w:t>本项目固体废物主要有医疗废物、实验室废液、污水处理站栅渣和污泥、废活性炭、微生物实验室废过滤材料、废离子树脂及生活垃圾。</w:t>
      </w:r>
    </w:p>
    <w:p>
      <w:pPr>
        <w:bidi w:val="0"/>
        <w:rPr>
          <w:color w:val="0000FF"/>
        </w:rPr>
      </w:pPr>
      <w:r>
        <w:rPr>
          <w:color w:val="0000FF"/>
        </w:rPr>
        <w:t>本项目固体废物产生及处置情况见表5</w:t>
      </w:r>
      <w:r>
        <w:rPr>
          <w:rFonts w:hint="eastAsia"/>
          <w:color w:val="0000FF"/>
          <w:lang w:val="en-US" w:eastAsia="zh-CN"/>
        </w:rPr>
        <w:t>.2-13</w:t>
      </w:r>
      <w:r>
        <w:rPr>
          <w:color w:val="0000FF"/>
        </w:rPr>
        <w:t>。</w:t>
      </w:r>
    </w:p>
    <w:p>
      <w:pPr>
        <w:pStyle w:val="22"/>
        <w:bidi w:val="0"/>
        <w:rPr>
          <w:b/>
          <w:bCs/>
          <w:color w:val="0000FF"/>
        </w:rPr>
      </w:pPr>
      <w:r>
        <w:rPr>
          <w:b/>
          <w:bCs/>
          <w:color w:val="0000FF"/>
        </w:rPr>
        <w:t>表5</w:t>
      </w:r>
      <w:r>
        <w:rPr>
          <w:rFonts w:hint="eastAsia"/>
          <w:b/>
          <w:bCs/>
          <w:color w:val="0000FF"/>
          <w:lang w:val="en-US" w:eastAsia="zh-CN"/>
        </w:rPr>
        <w:t>.2-13</w:t>
      </w:r>
      <w:r>
        <w:rPr>
          <w:b/>
          <w:bCs/>
          <w:color w:val="0000FF"/>
        </w:rPr>
        <w:t>本项目固体废物产生及处置情况一览表</w:t>
      </w:r>
    </w:p>
    <w:tbl>
      <w:tblPr>
        <w:tblStyle w:val="23"/>
        <w:tblW w:w="84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
        <w:gridCol w:w="443"/>
        <w:gridCol w:w="1513"/>
        <w:gridCol w:w="2"/>
        <w:gridCol w:w="774"/>
        <w:gridCol w:w="1206"/>
        <w:gridCol w:w="2"/>
        <w:gridCol w:w="1185"/>
        <w:gridCol w:w="2"/>
        <w:gridCol w:w="3325"/>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571" w:hRule="atLeast"/>
          <w:jc w:val="center"/>
        </w:trPr>
        <w:tc>
          <w:tcPr>
            <w:tcW w:w="451" w:type="dxa"/>
            <w:gridSpan w:val="2"/>
            <w:tcBorders>
              <w:tl2br w:val="nil"/>
              <w:tr2bl w:val="nil"/>
            </w:tcBorders>
            <w:textDirection w:val="tbRlV"/>
            <w:vAlign w:val="center"/>
          </w:tcPr>
          <w:p>
            <w:pPr>
              <w:pStyle w:val="22"/>
              <w:bidi w:val="0"/>
              <w:jc w:val="center"/>
              <w:rPr>
                <w:color w:val="0000FF"/>
              </w:rPr>
            </w:pPr>
            <w:r>
              <w:rPr>
                <w:color w:val="0000FF"/>
              </w:rPr>
              <w:t>序号</w:t>
            </w:r>
          </w:p>
        </w:tc>
        <w:tc>
          <w:tcPr>
            <w:tcW w:w="1513" w:type="dxa"/>
            <w:tcBorders>
              <w:tl2br w:val="nil"/>
              <w:tr2bl w:val="nil"/>
            </w:tcBorders>
            <w:vAlign w:val="center"/>
          </w:tcPr>
          <w:p>
            <w:pPr>
              <w:pStyle w:val="22"/>
              <w:bidi w:val="0"/>
              <w:jc w:val="center"/>
              <w:rPr>
                <w:color w:val="0000FF"/>
              </w:rPr>
            </w:pPr>
            <w:r>
              <w:rPr>
                <w:color w:val="0000FF"/>
              </w:rPr>
              <w:t>名称</w:t>
            </w:r>
          </w:p>
        </w:tc>
        <w:tc>
          <w:tcPr>
            <w:tcW w:w="776" w:type="dxa"/>
            <w:gridSpan w:val="2"/>
            <w:tcBorders>
              <w:tl2br w:val="nil"/>
              <w:tr2bl w:val="nil"/>
            </w:tcBorders>
            <w:vAlign w:val="center"/>
          </w:tcPr>
          <w:p>
            <w:pPr>
              <w:pStyle w:val="22"/>
              <w:bidi w:val="0"/>
              <w:jc w:val="center"/>
              <w:rPr>
                <w:color w:val="0000FF"/>
              </w:rPr>
            </w:pPr>
            <w:r>
              <w:rPr>
                <w:color w:val="0000FF"/>
              </w:rPr>
              <w:t>排放量</w:t>
            </w:r>
          </w:p>
          <w:p>
            <w:pPr>
              <w:pStyle w:val="22"/>
              <w:bidi w:val="0"/>
              <w:jc w:val="center"/>
              <w:rPr>
                <w:color w:val="0000FF"/>
              </w:rPr>
            </w:pPr>
            <w:r>
              <w:rPr>
                <w:color w:val="0000FF"/>
              </w:rPr>
              <w:t>（t/a）</w:t>
            </w:r>
          </w:p>
        </w:tc>
        <w:tc>
          <w:tcPr>
            <w:tcW w:w="1206" w:type="dxa"/>
            <w:tcBorders>
              <w:tl2br w:val="nil"/>
              <w:tr2bl w:val="nil"/>
            </w:tcBorders>
            <w:vAlign w:val="center"/>
          </w:tcPr>
          <w:p>
            <w:pPr>
              <w:pStyle w:val="22"/>
              <w:bidi w:val="0"/>
              <w:jc w:val="center"/>
              <w:rPr>
                <w:color w:val="0000FF"/>
              </w:rPr>
            </w:pPr>
            <w:r>
              <w:rPr>
                <w:color w:val="0000FF"/>
              </w:rPr>
              <w:t>固废性质</w:t>
            </w:r>
          </w:p>
        </w:tc>
        <w:tc>
          <w:tcPr>
            <w:tcW w:w="1187" w:type="dxa"/>
            <w:gridSpan w:val="2"/>
            <w:tcBorders>
              <w:tl2br w:val="nil"/>
              <w:tr2bl w:val="nil"/>
            </w:tcBorders>
            <w:vAlign w:val="center"/>
          </w:tcPr>
          <w:p>
            <w:pPr>
              <w:pStyle w:val="22"/>
              <w:bidi w:val="0"/>
              <w:jc w:val="center"/>
              <w:rPr>
                <w:color w:val="0000FF"/>
              </w:rPr>
            </w:pPr>
            <w:r>
              <w:rPr>
                <w:color w:val="0000FF"/>
              </w:rPr>
              <w:t>废物代码</w:t>
            </w:r>
          </w:p>
        </w:tc>
        <w:tc>
          <w:tcPr>
            <w:tcW w:w="3327" w:type="dxa"/>
            <w:gridSpan w:val="2"/>
            <w:tcBorders>
              <w:tl2br w:val="nil"/>
              <w:tr2bl w:val="nil"/>
            </w:tcBorders>
            <w:vAlign w:val="center"/>
          </w:tcPr>
          <w:p>
            <w:pPr>
              <w:pStyle w:val="22"/>
              <w:bidi w:val="0"/>
              <w:jc w:val="center"/>
              <w:rPr>
                <w:color w:val="0000FF"/>
              </w:rPr>
            </w:pPr>
            <w:r>
              <w:rPr>
                <w:color w:val="0000FF"/>
              </w:rPr>
              <w:t>采取的处置措施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1</w:t>
            </w:r>
          </w:p>
        </w:tc>
        <w:tc>
          <w:tcPr>
            <w:tcW w:w="1515" w:type="dxa"/>
            <w:gridSpan w:val="2"/>
            <w:tcBorders>
              <w:tl2br w:val="nil"/>
              <w:tr2bl w:val="nil"/>
            </w:tcBorders>
            <w:vAlign w:val="center"/>
          </w:tcPr>
          <w:p>
            <w:pPr>
              <w:pStyle w:val="22"/>
              <w:bidi w:val="0"/>
              <w:jc w:val="center"/>
              <w:rPr>
                <w:color w:val="0000FF"/>
              </w:rPr>
            </w:pPr>
            <w:r>
              <w:rPr>
                <w:color w:val="0000FF"/>
              </w:rPr>
              <w:t>生活办公垃圾</w:t>
            </w:r>
          </w:p>
        </w:tc>
        <w:tc>
          <w:tcPr>
            <w:tcW w:w="774"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1</w:t>
            </w:r>
          </w:p>
        </w:tc>
        <w:tc>
          <w:tcPr>
            <w:tcW w:w="1208" w:type="dxa"/>
            <w:gridSpan w:val="2"/>
            <w:tcBorders>
              <w:tl2br w:val="nil"/>
              <w:tr2bl w:val="nil"/>
            </w:tcBorders>
            <w:vAlign w:val="center"/>
          </w:tcPr>
          <w:p>
            <w:pPr>
              <w:pStyle w:val="22"/>
              <w:bidi w:val="0"/>
              <w:jc w:val="center"/>
              <w:rPr>
                <w:color w:val="0000FF"/>
              </w:rPr>
            </w:pPr>
            <w:r>
              <w:rPr>
                <w:color w:val="0000FF"/>
              </w:rPr>
              <w:t>一般固废</w:t>
            </w:r>
          </w:p>
        </w:tc>
        <w:tc>
          <w:tcPr>
            <w:tcW w:w="1187" w:type="dxa"/>
            <w:gridSpan w:val="2"/>
            <w:tcBorders>
              <w:tl2br w:val="nil"/>
              <w:tr2bl w:val="nil"/>
            </w:tcBorders>
            <w:vAlign w:val="center"/>
          </w:tcPr>
          <w:p>
            <w:pPr>
              <w:pStyle w:val="22"/>
              <w:bidi w:val="0"/>
              <w:jc w:val="center"/>
              <w:rPr>
                <w:color w:val="0000FF"/>
              </w:rPr>
            </w:pPr>
            <w:r>
              <w:rPr>
                <w:color w:val="0000FF"/>
              </w:rPr>
              <w:t>——</w:t>
            </w:r>
          </w:p>
        </w:tc>
        <w:tc>
          <w:tcPr>
            <w:tcW w:w="3327" w:type="dxa"/>
            <w:gridSpan w:val="2"/>
            <w:tcBorders>
              <w:tl2br w:val="nil"/>
              <w:tr2bl w:val="nil"/>
            </w:tcBorders>
            <w:vAlign w:val="center"/>
          </w:tcPr>
          <w:p>
            <w:pPr>
              <w:pStyle w:val="22"/>
              <w:bidi w:val="0"/>
              <w:jc w:val="center"/>
              <w:rPr>
                <w:color w:val="0000FF"/>
              </w:rPr>
            </w:pPr>
            <w:r>
              <w:rPr>
                <w:color w:val="0000FF"/>
              </w:rPr>
              <w:t>在项目区设置垃圾箱集中收集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2</w:t>
            </w:r>
          </w:p>
        </w:tc>
        <w:tc>
          <w:tcPr>
            <w:tcW w:w="1515" w:type="dxa"/>
            <w:gridSpan w:val="2"/>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医疗废物</w:t>
            </w:r>
          </w:p>
        </w:tc>
        <w:tc>
          <w:tcPr>
            <w:tcW w:w="774"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0.85</w:t>
            </w:r>
          </w:p>
        </w:tc>
        <w:tc>
          <w:tcPr>
            <w:tcW w:w="1208" w:type="dxa"/>
            <w:gridSpan w:val="2"/>
            <w:tcBorders>
              <w:tl2br w:val="nil"/>
              <w:tr2bl w:val="nil"/>
            </w:tcBorders>
            <w:vAlign w:val="center"/>
          </w:tcPr>
          <w:p>
            <w:pPr>
              <w:pStyle w:val="22"/>
              <w:bidi w:val="0"/>
              <w:jc w:val="center"/>
              <w:rPr>
                <w:color w:val="0000FF"/>
              </w:rPr>
            </w:pPr>
            <w:r>
              <w:rPr>
                <w:color w:val="0000FF"/>
              </w:rPr>
              <w:t>危险废物</w:t>
            </w:r>
          </w:p>
        </w:tc>
        <w:tc>
          <w:tcPr>
            <w:tcW w:w="1187" w:type="dxa"/>
            <w:gridSpan w:val="2"/>
            <w:tcBorders>
              <w:tl2br w:val="nil"/>
              <w:tr2bl w:val="nil"/>
            </w:tcBorders>
            <w:vAlign w:val="center"/>
          </w:tcPr>
          <w:p>
            <w:pPr>
              <w:pStyle w:val="22"/>
              <w:bidi w:val="0"/>
              <w:jc w:val="center"/>
              <w:rPr>
                <w:color w:val="0000FF"/>
              </w:rPr>
            </w:pPr>
            <w:r>
              <w:rPr>
                <w:color w:val="0000FF"/>
              </w:rPr>
              <w:t>831-001-01</w:t>
            </w:r>
          </w:p>
          <w:p>
            <w:pPr>
              <w:pStyle w:val="22"/>
              <w:bidi w:val="0"/>
              <w:jc w:val="center"/>
              <w:rPr>
                <w:color w:val="0000FF"/>
              </w:rPr>
            </w:pPr>
            <w:r>
              <w:rPr>
                <w:color w:val="0000FF"/>
              </w:rPr>
              <w:t>831-002-01</w:t>
            </w:r>
          </w:p>
          <w:p>
            <w:pPr>
              <w:pStyle w:val="22"/>
              <w:bidi w:val="0"/>
              <w:jc w:val="center"/>
              <w:rPr>
                <w:color w:val="0000FF"/>
              </w:rPr>
            </w:pPr>
            <w:r>
              <w:rPr>
                <w:color w:val="0000FF"/>
              </w:rPr>
              <w:t>831-004-01</w:t>
            </w:r>
          </w:p>
          <w:p>
            <w:pPr>
              <w:pStyle w:val="22"/>
              <w:bidi w:val="0"/>
              <w:jc w:val="center"/>
              <w:rPr>
                <w:color w:val="0000FF"/>
              </w:rPr>
            </w:pPr>
            <w:r>
              <w:rPr>
                <w:color w:val="0000FF"/>
              </w:rPr>
              <w:t>831-005-01</w:t>
            </w:r>
          </w:p>
        </w:tc>
        <w:tc>
          <w:tcPr>
            <w:tcW w:w="3327" w:type="dxa"/>
            <w:gridSpan w:val="2"/>
            <w:tcBorders>
              <w:tl2br w:val="nil"/>
              <w:tr2bl w:val="nil"/>
            </w:tcBorders>
            <w:vAlign w:val="center"/>
          </w:tcPr>
          <w:p>
            <w:pPr>
              <w:pStyle w:val="22"/>
              <w:bidi w:val="0"/>
              <w:jc w:val="center"/>
              <w:rPr>
                <w:color w:val="0000FF"/>
              </w:rPr>
            </w:pPr>
            <w:r>
              <w:rPr>
                <w:color w:val="0000FF"/>
              </w:rPr>
              <w:t>灭活后，暂存于危废暂存间，委托有危废资质单位处理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1101"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3</w:t>
            </w:r>
          </w:p>
        </w:tc>
        <w:tc>
          <w:tcPr>
            <w:tcW w:w="1515" w:type="dxa"/>
            <w:gridSpan w:val="2"/>
            <w:tcBorders>
              <w:tl2br w:val="nil"/>
              <w:tr2bl w:val="nil"/>
            </w:tcBorders>
            <w:vAlign w:val="center"/>
          </w:tcPr>
          <w:p>
            <w:pPr>
              <w:pStyle w:val="22"/>
              <w:bidi w:val="0"/>
              <w:jc w:val="center"/>
              <w:rPr>
                <w:color w:val="0000FF"/>
              </w:rPr>
            </w:pPr>
            <w:r>
              <w:rPr>
                <w:color w:val="0000FF"/>
              </w:rPr>
              <w:t>废活性炭</w:t>
            </w:r>
          </w:p>
        </w:tc>
        <w:tc>
          <w:tcPr>
            <w:tcW w:w="774" w:type="dxa"/>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0</w:t>
            </w:r>
            <w:r>
              <w:rPr>
                <w:color w:val="0000FF"/>
              </w:rPr>
              <w:t>1</w:t>
            </w:r>
          </w:p>
        </w:tc>
        <w:tc>
          <w:tcPr>
            <w:tcW w:w="1208" w:type="dxa"/>
            <w:gridSpan w:val="2"/>
            <w:tcBorders>
              <w:tl2br w:val="nil"/>
              <w:tr2bl w:val="nil"/>
            </w:tcBorders>
            <w:vAlign w:val="center"/>
          </w:tcPr>
          <w:p>
            <w:pPr>
              <w:pStyle w:val="22"/>
              <w:bidi w:val="0"/>
              <w:jc w:val="center"/>
              <w:rPr>
                <w:color w:val="0000FF"/>
              </w:rPr>
            </w:pPr>
            <w:r>
              <w:rPr>
                <w:color w:val="0000FF"/>
              </w:rPr>
              <w:t>HW4</w:t>
            </w:r>
            <w:r>
              <w:rPr>
                <w:rFonts w:hint="eastAsia"/>
                <w:color w:val="0000FF"/>
                <w:lang w:val="en-US" w:eastAsia="zh-CN"/>
              </w:rPr>
              <w:t>9</w:t>
            </w:r>
            <w:r>
              <w:rPr>
                <w:color w:val="0000FF"/>
              </w:rPr>
              <w:t>其他非特定行业</w:t>
            </w:r>
          </w:p>
        </w:tc>
        <w:tc>
          <w:tcPr>
            <w:tcW w:w="1187" w:type="dxa"/>
            <w:gridSpan w:val="2"/>
            <w:tcBorders>
              <w:tl2br w:val="nil"/>
              <w:tr2bl w:val="nil"/>
            </w:tcBorders>
            <w:vAlign w:val="center"/>
          </w:tcPr>
          <w:p>
            <w:pPr>
              <w:pStyle w:val="22"/>
              <w:bidi w:val="0"/>
              <w:jc w:val="center"/>
              <w:rPr>
                <w:color w:val="0000FF"/>
              </w:rPr>
            </w:pPr>
            <w:r>
              <w:rPr>
                <w:color w:val="0000FF"/>
              </w:rPr>
              <w:t>900-039-49</w:t>
            </w:r>
          </w:p>
        </w:tc>
        <w:tc>
          <w:tcPr>
            <w:tcW w:w="3327" w:type="dxa"/>
            <w:gridSpan w:val="2"/>
            <w:tcBorders>
              <w:tl2br w:val="nil"/>
              <w:tr2bl w:val="nil"/>
            </w:tcBorders>
            <w:vAlign w:val="center"/>
          </w:tcPr>
          <w:p>
            <w:pPr>
              <w:pStyle w:val="22"/>
              <w:bidi w:val="0"/>
              <w:jc w:val="center"/>
              <w:rPr>
                <w:color w:val="0000FF"/>
              </w:rPr>
            </w:pPr>
            <w:r>
              <w:rPr>
                <w:color w:val="0000FF"/>
              </w:rPr>
              <w:t>暂存于危废暂存间，委托有危废资</w:t>
            </w:r>
          </w:p>
          <w:p>
            <w:pPr>
              <w:pStyle w:val="22"/>
              <w:bidi w:val="0"/>
              <w:jc w:val="center"/>
              <w:rPr>
                <w:color w:val="0000FF"/>
              </w:rPr>
            </w:pPr>
            <w:r>
              <w:rPr>
                <w:color w:val="0000FF"/>
              </w:rPr>
              <w:t>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4</w:t>
            </w:r>
          </w:p>
        </w:tc>
        <w:tc>
          <w:tcPr>
            <w:tcW w:w="1515" w:type="dxa"/>
            <w:gridSpan w:val="2"/>
            <w:tcBorders>
              <w:tl2br w:val="nil"/>
              <w:tr2bl w:val="nil"/>
            </w:tcBorders>
            <w:vAlign w:val="center"/>
          </w:tcPr>
          <w:p>
            <w:pPr>
              <w:pStyle w:val="22"/>
              <w:bidi w:val="0"/>
              <w:jc w:val="center"/>
              <w:rPr>
                <w:color w:val="0000FF"/>
              </w:rPr>
            </w:pPr>
            <w:r>
              <w:rPr>
                <w:color w:val="0000FF"/>
              </w:rPr>
              <w:t>废离子交换树脂</w:t>
            </w:r>
          </w:p>
        </w:tc>
        <w:tc>
          <w:tcPr>
            <w:tcW w:w="774" w:type="dxa"/>
            <w:tcBorders>
              <w:tl2br w:val="nil"/>
              <w:tr2bl w:val="nil"/>
            </w:tcBorders>
            <w:vAlign w:val="center"/>
          </w:tcPr>
          <w:p>
            <w:pPr>
              <w:pStyle w:val="22"/>
              <w:bidi w:val="0"/>
              <w:jc w:val="center"/>
              <w:rPr>
                <w:color w:val="0000FF"/>
              </w:rPr>
            </w:pPr>
            <w:r>
              <w:rPr>
                <w:color w:val="0000FF"/>
              </w:rPr>
              <w:t>0.003</w:t>
            </w:r>
          </w:p>
        </w:tc>
        <w:tc>
          <w:tcPr>
            <w:tcW w:w="1208" w:type="dxa"/>
            <w:gridSpan w:val="2"/>
            <w:tcBorders>
              <w:tl2br w:val="nil"/>
              <w:tr2bl w:val="nil"/>
            </w:tcBorders>
            <w:vAlign w:val="center"/>
          </w:tcPr>
          <w:p>
            <w:pPr>
              <w:pStyle w:val="22"/>
              <w:bidi w:val="0"/>
              <w:jc w:val="center"/>
              <w:rPr>
                <w:color w:val="0000FF"/>
              </w:rPr>
            </w:pPr>
            <w:r>
              <w:rPr>
                <w:color w:val="0000FF"/>
              </w:rPr>
              <w:t>一般固废</w:t>
            </w:r>
          </w:p>
        </w:tc>
        <w:tc>
          <w:tcPr>
            <w:tcW w:w="1187" w:type="dxa"/>
            <w:gridSpan w:val="2"/>
            <w:tcBorders>
              <w:tl2br w:val="nil"/>
              <w:tr2bl w:val="nil"/>
            </w:tcBorders>
            <w:vAlign w:val="center"/>
          </w:tcPr>
          <w:p>
            <w:pPr>
              <w:pStyle w:val="22"/>
              <w:bidi w:val="0"/>
              <w:jc w:val="center"/>
              <w:rPr>
                <w:color w:val="0000FF"/>
              </w:rPr>
            </w:pPr>
            <w:r>
              <w:rPr>
                <w:color w:val="0000FF"/>
              </w:rPr>
              <w:t>——</w:t>
            </w:r>
          </w:p>
        </w:tc>
        <w:tc>
          <w:tcPr>
            <w:tcW w:w="3327" w:type="dxa"/>
            <w:gridSpan w:val="2"/>
            <w:tcBorders>
              <w:tl2br w:val="nil"/>
              <w:tr2bl w:val="nil"/>
            </w:tcBorders>
            <w:vAlign w:val="center"/>
          </w:tcPr>
          <w:p>
            <w:pPr>
              <w:pStyle w:val="22"/>
              <w:bidi w:val="0"/>
              <w:jc w:val="center"/>
              <w:rPr>
                <w:color w:val="0000FF"/>
              </w:rPr>
            </w:pPr>
            <w:r>
              <w:rPr>
                <w:color w:val="0000FF"/>
              </w:rPr>
              <w:t>经收集后由专门厂家回收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112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5</w:t>
            </w:r>
          </w:p>
        </w:tc>
        <w:tc>
          <w:tcPr>
            <w:tcW w:w="1515" w:type="dxa"/>
            <w:gridSpan w:val="2"/>
            <w:tcBorders>
              <w:tl2br w:val="nil"/>
              <w:tr2bl w:val="nil"/>
            </w:tcBorders>
            <w:vAlign w:val="center"/>
          </w:tcPr>
          <w:p>
            <w:pPr>
              <w:pStyle w:val="22"/>
              <w:bidi w:val="0"/>
              <w:jc w:val="center"/>
              <w:rPr>
                <w:color w:val="0000FF"/>
              </w:rPr>
            </w:pPr>
            <w:r>
              <w:rPr>
                <w:rFonts w:hint="eastAsia"/>
                <w:color w:val="0000FF"/>
                <w:lang w:val="en-US" w:eastAsia="zh-CN"/>
              </w:rPr>
              <w:t>水处理栅渣及污泥</w:t>
            </w:r>
          </w:p>
        </w:tc>
        <w:tc>
          <w:tcPr>
            <w:tcW w:w="774" w:type="dxa"/>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3</w:t>
            </w:r>
            <w:r>
              <w:rPr>
                <w:color w:val="0000FF"/>
              </w:rPr>
              <w:t>t/a</w:t>
            </w:r>
          </w:p>
        </w:tc>
        <w:tc>
          <w:tcPr>
            <w:tcW w:w="1208" w:type="dxa"/>
            <w:gridSpan w:val="2"/>
            <w:tcBorders>
              <w:tl2br w:val="nil"/>
              <w:tr2bl w:val="nil"/>
            </w:tcBorders>
            <w:vAlign w:val="center"/>
          </w:tcPr>
          <w:p>
            <w:pPr>
              <w:pStyle w:val="22"/>
              <w:bidi w:val="0"/>
              <w:jc w:val="center"/>
              <w:rPr>
                <w:color w:val="0000FF"/>
              </w:rPr>
            </w:pPr>
            <w:r>
              <w:rPr>
                <w:color w:val="0000FF"/>
              </w:rPr>
              <w:t>HW4</w:t>
            </w:r>
            <w:r>
              <w:rPr>
                <w:rFonts w:hint="eastAsia"/>
                <w:color w:val="0000FF"/>
                <w:lang w:val="en-US" w:eastAsia="zh-CN"/>
              </w:rPr>
              <w:t>9</w:t>
            </w:r>
            <w:r>
              <w:rPr>
                <w:color w:val="0000FF"/>
              </w:rPr>
              <w:t>其他非特定行业</w:t>
            </w:r>
          </w:p>
        </w:tc>
        <w:tc>
          <w:tcPr>
            <w:tcW w:w="1187" w:type="dxa"/>
            <w:gridSpan w:val="2"/>
            <w:tcBorders>
              <w:tl2br w:val="nil"/>
              <w:tr2bl w:val="nil"/>
            </w:tcBorders>
            <w:vAlign w:val="center"/>
          </w:tcPr>
          <w:p>
            <w:pPr>
              <w:pStyle w:val="22"/>
              <w:bidi w:val="0"/>
              <w:jc w:val="center"/>
              <w:rPr>
                <w:color w:val="0000FF"/>
              </w:rPr>
            </w:pPr>
            <w:r>
              <w:rPr>
                <w:color w:val="0000FF"/>
              </w:rPr>
              <w:t>900-053-49</w:t>
            </w:r>
          </w:p>
        </w:tc>
        <w:tc>
          <w:tcPr>
            <w:tcW w:w="3327" w:type="dxa"/>
            <w:gridSpan w:val="2"/>
            <w:tcBorders>
              <w:tl2br w:val="nil"/>
              <w:tr2bl w:val="nil"/>
            </w:tcBorders>
            <w:vAlign w:val="center"/>
          </w:tcPr>
          <w:p>
            <w:pPr>
              <w:pStyle w:val="22"/>
              <w:bidi w:val="0"/>
              <w:rPr>
                <w:color w:val="0000FF"/>
              </w:rPr>
            </w:pPr>
            <w:r>
              <w:rPr>
                <w:color w:val="0000FF"/>
              </w:rPr>
              <w:t>污泥清掏前委托有资质的单位进行污泥监测，达到《医疗机构水污染物排放标准》（GB18466-2005）表4医疗机构污泥控制标准后再进行清掏，清掏出的污泥交由有资质的</w:t>
            </w:r>
          </w:p>
          <w:p>
            <w:pPr>
              <w:pStyle w:val="22"/>
              <w:bidi w:val="0"/>
              <w:jc w:val="center"/>
              <w:rPr>
                <w:color w:val="0000FF"/>
              </w:rPr>
            </w:pPr>
            <w:r>
              <w:rPr>
                <w:color w:val="0000FF"/>
              </w:rPr>
              <w:t>单位进行处置。</w:t>
            </w:r>
          </w:p>
        </w:tc>
      </w:tr>
    </w:tbl>
    <w:p>
      <w:pPr>
        <w:bidi w:val="0"/>
        <w:rPr>
          <w:color w:val="0000FF"/>
        </w:rPr>
      </w:pPr>
      <w:r>
        <w:rPr>
          <w:color w:val="0000FF"/>
        </w:rPr>
        <w:t>本项目在综合实验楼西侧设置1间约20m</w:t>
      </w:r>
      <w:r>
        <w:rPr>
          <w:color w:val="0000FF"/>
          <w:vertAlign w:val="superscript"/>
        </w:rPr>
        <w:t>2</w:t>
      </w:r>
      <w:r>
        <w:rPr>
          <w:color w:val="0000FF"/>
        </w:rPr>
        <w:t>的医疗废物暂存间。</w:t>
      </w:r>
    </w:p>
    <w:p>
      <w:pPr>
        <w:pStyle w:val="6"/>
        <w:bidi w:val="0"/>
        <w:rPr>
          <w:color w:val="0000FF"/>
        </w:rPr>
      </w:pPr>
      <w:bookmarkStart w:id="101" w:name="_Toc28679"/>
      <w:r>
        <w:rPr>
          <w:color w:val="0000FF"/>
        </w:rPr>
        <w:t>5.</w:t>
      </w:r>
      <w:r>
        <w:rPr>
          <w:rFonts w:hint="eastAsia"/>
          <w:color w:val="0000FF"/>
          <w:lang w:val="en-US" w:eastAsia="zh-CN"/>
        </w:rPr>
        <w:t>5.6</w:t>
      </w:r>
      <w:r>
        <w:rPr>
          <w:color w:val="0000FF"/>
        </w:rPr>
        <w:t>土壤环境影响预测与评价</w:t>
      </w:r>
      <w:bookmarkEnd w:id="101"/>
    </w:p>
    <w:p>
      <w:pPr>
        <w:bidi w:val="0"/>
        <w:rPr>
          <w:color w:val="0000FF"/>
        </w:rPr>
      </w:pPr>
      <w:r>
        <w:rPr>
          <w:color w:val="0000FF"/>
        </w:rPr>
        <w:t>根据《环境影响评价技术导则</w:t>
      </w:r>
      <w:r>
        <w:rPr>
          <w:rFonts w:hint="eastAsia"/>
          <w:color w:val="0000FF"/>
          <w:lang w:val="en-US" w:eastAsia="zh-CN"/>
        </w:rPr>
        <w:t xml:space="preserve"> </w:t>
      </w:r>
      <w:r>
        <w:rPr>
          <w:color w:val="0000FF"/>
        </w:rPr>
        <w:t>土壤环境（试行）》（HJ964-2018）附录A，本项目行业类别为其他行业，土壤环境影响评价项目类别为Ⅳ类，可不开展土壤环境影响评价，故本次评价不进行土壤环境影响评价。</w:t>
      </w:r>
    </w:p>
    <w:p>
      <w:pPr>
        <w:pStyle w:val="6"/>
        <w:bidi w:val="0"/>
        <w:rPr>
          <w:color w:val="0000FF"/>
        </w:rPr>
      </w:pPr>
      <w:bookmarkStart w:id="102" w:name="_Toc24868"/>
      <w:r>
        <w:rPr>
          <w:color w:val="0000FF"/>
        </w:rPr>
        <w:t>5.</w:t>
      </w:r>
      <w:r>
        <w:rPr>
          <w:rFonts w:hint="eastAsia"/>
          <w:color w:val="0000FF"/>
          <w:lang w:val="en-US" w:eastAsia="zh-CN"/>
        </w:rPr>
        <w:t>5</w:t>
      </w:r>
      <w:r>
        <w:rPr>
          <w:color w:val="0000FF"/>
        </w:rPr>
        <w:t>.</w:t>
      </w:r>
      <w:r>
        <w:rPr>
          <w:rFonts w:hint="eastAsia"/>
          <w:color w:val="0000FF"/>
          <w:lang w:val="en-US" w:eastAsia="zh-CN"/>
        </w:rPr>
        <w:t>7</w:t>
      </w:r>
      <w:r>
        <w:rPr>
          <w:color w:val="0000FF"/>
        </w:rPr>
        <w:t>环境风险分析</w:t>
      </w:r>
      <w:bookmarkEnd w:id="102"/>
    </w:p>
    <w:p>
      <w:pPr>
        <w:bidi w:val="0"/>
        <w:rPr>
          <w:color w:val="0000FF"/>
        </w:rPr>
      </w:pPr>
      <w:r>
        <w:rPr>
          <w:color w:val="0000FF"/>
        </w:rPr>
        <w:t>风险评价的目的是分析和预测建设项目存在的潜在危险，建设项目建设和运行期间发生的突发性事件，有毒有害和易燃易爆等物质的泄漏，所造成的人身安全与环境影响，提出合理可行的防范措施，以使事故率、损失达到最低可接受的水平。</w:t>
      </w:r>
    </w:p>
    <w:p>
      <w:pPr>
        <w:bidi w:val="0"/>
        <w:rPr>
          <w:color w:val="0000FF"/>
        </w:rPr>
      </w:pPr>
      <w:r>
        <w:rPr>
          <w:color w:val="0000FF"/>
        </w:rPr>
        <w:t>环境风险评价应把事故引起场界外人群的伤害、环境质量的恶化及对生态系统影响的预测和防护作为评价工作重点。本章节主要通过对主要风险源识别，分析可能造成的影响程度，提出应急与缓解措施，使项目的风险事故影响达到可接受水平。</w:t>
      </w:r>
    </w:p>
    <w:p>
      <w:pPr>
        <w:pStyle w:val="7"/>
        <w:bidi w:val="0"/>
        <w:rPr>
          <w:color w:val="0000FF"/>
        </w:rPr>
      </w:pPr>
      <w:r>
        <w:rPr>
          <w:rFonts w:hint="eastAsia"/>
          <w:color w:val="0000FF"/>
          <w:lang w:val="en-US" w:eastAsia="zh-CN"/>
        </w:rPr>
        <w:t>5.2.7.1</w:t>
      </w:r>
      <w:r>
        <w:rPr>
          <w:color w:val="0000FF"/>
        </w:rPr>
        <w:t>评价等级及范围</w:t>
      </w:r>
    </w:p>
    <w:p>
      <w:pPr>
        <w:bidi w:val="0"/>
        <w:rPr>
          <w:color w:val="0000FF"/>
        </w:rPr>
      </w:pPr>
      <w:r>
        <w:rPr>
          <w:color w:val="0000FF"/>
        </w:rPr>
        <w:t>（1）风险调查</w:t>
      </w:r>
    </w:p>
    <w:p>
      <w:pPr>
        <w:bidi w:val="0"/>
        <w:rPr>
          <w:color w:val="0000FF"/>
        </w:rPr>
      </w:pPr>
      <w:r>
        <w:rPr>
          <w:color w:val="0000FF"/>
        </w:rPr>
        <w:t>疾控中心中实验室需要使用一些危险化学品，用于存储疾控中心的管制品药剂，主要存有硫酸、硝酸等，其主要危险物特性及判定见表5.2-</w:t>
      </w:r>
      <w:r>
        <w:rPr>
          <w:rFonts w:hint="eastAsia"/>
          <w:color w:val="0000FF"/>
          <w:lang w:val="en-US" w:eastAsia="zh-CN"/>
        </w:rPr>
        <w:t>14</w:t>
      </w:r>
      <w:r>
        <w:rPr>
          <w:color w:val="0000FF"/>
        </w:rPr>
        <w:t>，涉及国家《危险化学品目录》中的危险化学品见表5.2-</w:t>
      </w:r>
      <w:r>
        <w:rPr>
          <w:rFonts w:hint="eastAsia"/>
          <w:color w:val="0000FF"/>
          <w:lang w:val="en-US" w:eastAsia="zh-CN"/>
        </w:rPr>
        <w:t>15</w:t>
      </w:r>
      <w:r>
        <w:rPr>
          <w:color w:val="0000FF"/>
        </w:rPr>
        <w:t>。</w:t>
      </w:r>
    </w:p>
    <w:p>
      <w:pPr>
        <w:pStyle w:val="22"/>
        <w:bidi w:val="0"/>
        <w:rPr>
          <w:b/>
          <w:bCs/>
          <w:color w:val="0000FF"/>
        </w:rPr>
      </w:pPr>
      <w:r>
        <w:rPr>
          <w:b/>
          <w:bCs/>
          <w:color w:val="0000FF"/>
        </w:rPr>
        <w:t>表5.2-</w:t>
      </w:r>
      <w:r>
        <w:rPr>
          <w:rFonts w:hint="eastAsia"/>
          <w:b/>
          <w:bCs/>
          <w:color w:val="0000FF"/>
          <w:lang w:val="en-US" w:eastAsia="zh-CN"/>
        </w:rPr>
        <w:t>14</w:t>
      </w:r>
      <w:r>
        <w:rPr>
          <w:b/>
          <w:bCs/>
          <w:color w:val="0000FF"/>
        </w:rPr>
        <w:t>项目主要危险物料特性一览表</w:t>
      </w: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1"/>
        <w:gridCol w:w="1"/>
        <w:gridCol w:w="802"/>
        <w:gridCol w:w="2"/>
        <w:gridCol w:w="2930"/>
        <w:gridCol w:w="3"/>
        <w:gridCol w:w="1689"/>
        <w:gridCol w:w="4"/>
        <w:gridCol w:w="2455"/>
        <w:gridCol w:w="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1278" w:hRule="atLeast"/>
          <w:jc w:val="center"/>
        </w:trPr>
        <w:tc>
          <w:tcPr>
            <w:tcW w:w="631" w:type="dxa"/>
            <w:tcBorders>
              <w:tl2br w:val="nil"/>
              <w:tr2bl w:val="nil"/>
            </w:tcBorders>
            <w:textDirection w:val="tbRlV"/>
            <w:vAlign w:val="center"/>
          </w:tcPr>
          <w:p>
            <w:pPr>
              <w:pStyle w:val="22"/>
              <w:bidi w:val="0"/>
              <w:jc w:val="center"/>
              <w:rPr>
                <w:color w:val="0000FF"/>
              </w:rPr>
            </w:pPr>
            <w:r>
              <w:rPr>
                <w:color w:val="0000FF"/>
              </w:rPr>
              <w:t>物料名称</w:t>
            </w:r>
          </w:p>
        </w:tc>
        <w:tc>
          <w:tcPr>
            <w:tcW w:w="803" w:type="dxa"/>
            <w:gridSpan w:val="2"/>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用途</w:t>
            </w:r>
          </w:p>
        </w:tc>
        <w:tc>
          <w:tcPr>
            <w:tcW w:w="2932" w:type="dxa"/>
            <w:gridSpan w:val="2"/>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健康危害</w:t>
            </w:r>
          </w:p>
        </w:tc>
        <w:tc>
          <w:tcPr>
            <w:tcW w:w="1692" w:type="dxa"/>
            <w:gridSpan w:val="2"/>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危险特性</w:t>
            </w:r>
          </w:p>
        </w:tc>
        <w:tc>
          <w:tcPr>
            <w:tcW w:w="2459" w:type="dxa"/>
            <w:gridSpan w:val="2"/>
            <w:tcBorders>
              <w:tl2br w:val="nil"/>
              <w:tr2bl w:val="nil"/>
            </w:tcBorders>
            <w:vAlign w:val="center"/>
          </w:tcPr>
          <w:p>
            <w:pPr>
              <w:pStyle w:val="22"/>
              <w:bidi w:val="0"/>
              <w:jc w:val="center"/>
              <w:rPr>
                <w:color w:val="0000FF"/>
              </w:rPr>
            </w:pPr>
          </w:p>
          <w:p>
            <w:pPr>
              <w:pStyle w:val="22"/>
              <w:bidi w:val="0"/>
              <w:jc w:val="center"/>
              <w:rPr>
                <w:color w:val="0000FF"/>
              </w:rPr>
            </w:pPr>
            <w:r>
              <w:rPr>
                <w:color w:val="0000FF"/>
              </w:rPr>
              <w:t>毒物危害程度分段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3" w:hRule="atLeast"/>
          <w:jc w:val="center"/>
        </w:trPr>
        <w:tc>
          <w:tcPr>
            <w:tcW w:w="632" w:type="dxa"/>
            <w:gridSpan w:val="2"/>
            <w:tcBorders>
              <w:tl2br w:val="nil"/>
              <w:tr2bl w:val="nil"/>
            </w:tcBorders>
            <w:textDirection w:val="tbRlV"/>
            <w:vAlign w:val="center"/>
          </w:tcPr>
          <w:p>
            <w:pPr>
              <w:pStyle w:val="22"/>
              <w:bidi w:val="0"/>
              <w:jc w:val="center"/>
              <w:rPr>
                <w:color w:val="0000FF"/>
              </w:rPr>
            </w:pPr>
            <w:r>
              <w:rPr>
                <w:color w:val="0000FF"/>
              </w:rPr>
              <w:t>盐酸</w:t>
            </w:r>
          </w:p>
        </w:tc>
        <w:tc>
          <w:tcPr>
            <w:tcW w:w="804" w:type="dxa"/>
            <w:gridSpan w:val="2"/>
            <w:tcBorders>
              <w:tl2br w:val="nil"/>
              <w:tr2bl w:val="nil"/>
            </w:tcBorders>
            <w:vAlign w:val="center"/>
          </w:tcPr>
          <w:p>
            <w:pPr>
              <w:pStyle w:val="22"/>
              <w:bidi w:val="0"/>
              <w:jc w:val="center"/>
              <w:rPr>
                <w:color w:val="0000FF"/>
              </w:rPr>
            </w:pPr>
            <w:r>
              <w:rPr>
                <w:color w:val="0000FF"/>
              </w:rPr>
              <w:t>试验</w:t>
            </w:r>
          </w:p>
        </w:tc>
        <w:tc>
          <w:tcPr>
            <w:tcW w:w="2933" w:type="dxa"/>
            <w:gridSpan w:val="2"/>
            <w:tcBorders>
              <w:tl2br w:val="nil"/>
              <w:tr2bl w:val="nil"/>
            </w:tcBorders>
            <w:vAlign w:val="center"/>
          </w:tcPr>
          <w:p>
            <w:pPr>
              <w:pStyle w:val="22"/>
              <w:bidi w:val="0"/>
              <w:jc w:val="center"/>
              <w:rPr>
                <w:color w:val="0000FF"/>
              </w:rPr>
            </w:pPr>
            <w:r>
              <w:rPr>
                <w:color w:val="0000FF"/>
              </w:rPr>
              <w:t>接触其蒸气或烟雾，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w:t>
            </w:r>
          </w:p>
        </w:tc>
        <w:tc>
          <w:tcPr>
            <w:tcW w:w="1693" w:type="dxa"/>
            <w:gridSpan w:val="2"/>
            <w:tcBorders>
              <w:tl2br w:val="nil"/>
              <w:tr2bl w:val="nil"/>
            </w:tcBorders>
            <w:vAlign w:val="center"/>
          </w:tcPr>
          <w:p>
            <w:pPr>
              <w:pStyle w:val="22"/>
              <w:bidi w:val="0"/>
              <w:jc w:val="center"/>
              <w:rPr>
                <w:color w:val="0000FF"/>
              </w:rPr>
            </w:pPr>
            <w:r>
              <w:rPr>
                <w:color w:val="0000FF"/>
              </w:rPr>
              <w:t>能与一些活性金属粉末发生反应，放出氢气。遇氰化物能产生剧毒的氰化氢气体。与碱发生中合反应，并放出大量的热。具有强腐蚀性。</w:t>
            </w:r>
          </w:p>
        </w:tc>
        <w:tc>
          <w:tcPr>
            <w:tcW w:w="2460" w:type="dxa"/>
            <w:gridSpan w:val="2"/>
            <w:tcBorders>
              <w:tl2br w:val="nil"/>
              <w:tr2bl w:val="nil"/>
            </w:tcBorders>
            <w:vAlign w:val="center"/>
          </w:tcPr>
          <w:p>
            <w:pPr>
              <w:pStyle w:val="22"/>
              <w:bidi w:val="0"/>
              <w:jc w:val="center"/>
              <w:rPr>
                <w:color w:val="0000FF"/>
              </w:rPr>
            </w:pPr>
            <w:r>
              <w:rPr>
                <w:color w:val="0000FF"/>
              </w:rPr>
              <w:t>LD50：900mg/kg</w:t>
            </w:r>
            <w:r>
              <w:rPr>
                <w:rFonts w:hint="eastAsia"/>
                <w:color w:val="0000FF"/>
                <w:lang w:eastAsia="zh-CN"/>
              </w:rPr>
              <w:t>（</w:t>
            </w:r>
            <w:r>
              <w:rPr>
                <w:color w:val="0000FF"/>
              </w:rPr>
              <w:t>兔经口</w:t>
            </w:r>
            <w:r>
              <w:rPr>
                <w:rFonts w:hint="eastAsia"/>
                <w:color w:val="0000FF"/>
                <w:lang w:eastAsia="zh-CN"/>
              </w:rPr>
              <w:t>）</w:t>
            </w:r>
            <w:r>
              <w:rPr>
                <w:color w:val="0000FF"/>
              </w:rPr>
              <w:t>；</w:t>
            </w:r>
          </w:p>
          <w:p>
            <w:pPr>
              <w:pStyle w:val="22"/>
              <w:bidi w:val="0"/>
              <w:jc w:val="center"/>
              <w:rPr>
                <w:color w:val="0000FF"/>
              </w:rPr>
            </w:pPr>
            <w:r>
              <w:rPr>
                <w:color w:val="0000FF"/>
              </w:rPr>
              <w:t>LC50：3124ppm，1小时</w:t>
            </w:r>
            <w:r>
              <w:rPr>
                <w:rFonts w:hint="eastAsia"/>
                <w:color w:val="0000FF"/>
                <w:lang w:eastAsia="zh-CN"/>
              </w:rPr>
              <w:t>（</w:t>
            </w:r>
            <w:r>
              <w:rPr>
                <w:color w:val="0000FF"/>
              </w:rPr>
              <w:t>大鼠吸入</w:t>
            </w:r>
            <w:r>
              <w:rPr>
                <w:rFonts w:hint="eastAsia"/>
                <w:color w:val="0000FF"/>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gridSpan w:val="2"/>
            <w:tcBorders>
              <w:tl2br w:val="nil"/>
              <w:tr2bl w:val="nil"/>
            </w:tcBorders>
            <w:textDirection w:val="tbRlV"/>
            <w:vAlign w:val="center"/>
          </w:tcPr>
          <w:p>
            <w:pPr>
              <w:pStyle w:val="22"/>
              <w:bidi w:val="0"/>
              <w:jc w:val="center"/>
              <w:rPr>
                <w:color w:val="0000FF"/>
              </w:rPr>
            </w:pPr>
            <w:r>
              <w:rPr>
                <w:color w:val="0000FF"/>
              </w:rPr>
              <w:t>硫酸</w:t>
            </w:r>
          </w:p>
        </w:tc>
        <w:tc>
          <w:tcPr>
            <w:tcW w:w="804" w:type="dxa"/>
            <w:gridSpan w:val="2"/>
            <w:tcBorders>
              <w:tl2br w:val="nil"/>
              <w:tr2bl w:val="nil"/>
            </w:tcBorders>
            <w:vAlign w:val="center"/>
          </w:tcPr>
          <w:p>
            <w:pPr>
              <w:pStyle w:val="22"/>
              <w:bidi w:val="0"/>
              <w:jc w:val="center"/>
              <w:rPr>
                <w:color w:val="0000FF"/>
              </w:rPr>
            </w:pPr>
            <w:r>
              <w:rPr>
                <w:color w:val="0000FF"/>
              </w:rPr>
              <w:t>试验</w:t>
            </w:r>
          </w:p>
        </w:tc>
        <w:tc>
          <w:tcPr>
            <w:tcW w:w="2933" w:type="dxa"/>
            <w:gridSpan w:val="2"/>
            <w:tcBorders>
              <w:tl2br w:val="nil"/>
              <w:tr2bl w:val="nil"/>
            </w:tcBorders>
            <w:vAlign w:val="center"/>
          </w:tcPr>
          <w:p>
            <w:pPr>
              <w:pStyle w:val="22"/>
              <w:bidi w:val="0"/>
              <w:jc w:val="center"/>
              <w:rPr>
                <w:color w:val="0000FF"/>
              </w:rPr>
            </w:pPr>
            <w:r>
              <w:rPr>
                <w:color w:val="0000FF"/>
              </w:rPr>
              <w:t>对皮肤、粘膜等组织有强烈的刺激和腐蚀作用。蒸气或雾可引起结膜炎、结膜水肿、角膜混浊，以致失明；引起呼吸道刺激，重者发生呼吸困难和肺水肿；高浓度引起痉挛或声门水肿而窒息死亡。口服后引起消化道烧伤以致溃疡形成；严重者可能有胃穿孔、腹膜炎、肾损害、休克等。皮肤灼伤轻者出现红斑，重者形成溃疡，愈后癍痕收缩影响功能。溅入眼内可造成灼伤，甚至角膜穿孔、全眼炎以致失明。慢性影响：牙齿酸蚀症、慢性支气管炎、肺气肿和肺硬化。</w:t>
            </w:r>
          </w:p>
        </w:tc>
        <w:tc>
          <w:tcPr>
            <w:tcW w:w="1693" w:type="dxa"/>
            <w:gridSpan w:val="2"/>
            <w:tcBorders>
              <w:tl2br w:val="nil"/>
              <w:tr2bl w:val="nil"/>
            </w:tcBorders>
            <w:vAlign w:val="center"/>
          </w:tcPr>
          <w:p>
            <w:pPr>
              <w:pStyle w:val="22"/>
              <w:bidi w:val="0"/>
              <w:jc w:val="center"/>
              <w:rPr>
                <w:color w:val="0000FF"/>
              </w:rPr>
            </w:pPr>
            <w:r>
              <w:rPr>
                <w:color w:val="0000FF"/>
              </w:rPr>
              <w:t>遇水大量放热，可发生沸溅。与易燃物（如苯）和可燃物（如糖、纤维素等）接触会发生剧烈反应，甚至引起燃烧。遇电石、高氯酸盐、雷酸盐、硝酸盐、苦味酸盐、金黄色属粉末等猛烈反应，发生爆炸或燃烧。有强烈的腐蚀性和吸水性。</w:t>
            </w:r>
          </w:p>
        </w:tc>
        <w:tc>
          <w:tcPr>
            <w:tcW w:w="2460" w:type="dxa"/>
            <w:gridSpan w:val="2"/>
            <w:tcBorders>
              <w:tl2br w:val="nil"/>
              <w:tr2bl w:val="nil"/>
            </w:tcBorders>
            <w:vAlign w:val="center"/>
          </w:tcPr>
          <w:p>
            <w:pPr>
              <w:pStyle w:val="22"/>
              <w:bidi w:val="0"/>
              <w:jc w:val="center"/>
              <w:rPr>
                <w:color w:val="0000FF"/>
              </w:rPr>
            </w:pPr>
            <w:r>
              <w:rPr>
                <w:color w:val="0000FF"/>
              </w:rPr>
              <w:t>LD502140mg/kg</w:t>
            </w:r>
            <w:r>
              <w:rPr>
                <w:rFonts w:hint="eastAsia"/>
                <w:color w:val="0000FF"/>
                <w:lang w:eastAsia="zh-CN"/>
              </w:rPr>
              <w:t>（</w:t>
            </w:r>
            <w:r>
              <w:rPr>
                <w:color w:val="0000FF"/>
              </w:rPr>
              <w:t>大鼠经口</w:t>
            </w:r>
            <w:r>
              <w:rPr>
                <w:rFonts w:hint="eastAsia"/>
                <w:color w:val="0000FF"/>
                <w:lang w:eastAsia="zh-CN"/>
              </w:rPr>
              <w:t>）</w:t>
            </w:r>
            <w:r>
              <w:rPr>
                <w:color w:val="0000FF"/>
              </w:rPr>
              <w:t>；LC50510mg/kg,2小时；</w:t>
            </w:r>
            <w:r>
              <w:rPr>
                <w:rFonts w:hint="eastAsia"/>
                <w:color w:val="0000FF"/>
                <w:lang w:eastAsia="zh-CN"/>
              </w:rPr>
              <w:t>（</w:t>
            </w:r>
            <w:r>
              <w:rPr>
                <w:color w:val="0000FF"/>
              </w:rPr>
              <w:t>小鼠吸入</w:t>
            </w:r>
            <w:r>
              <w:rPr>
                <w:rFonts w:hint="eastAsia"/>
                <w:color w:val="0000FF"/>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55" w:hRule="atLeast"/>
          <w:jc w:val="center"/>
        </w:trPr>
        <w:tc>
          <w:tcPr>
            <w:tcW w:w="632" w:type="dxa"/>
            <w:gridSpan w:val="2"/>
            <w:tcBorders>
              <w:tl2br w:val="nil"/>
              <w:tr2bl w:val="nil"/>
            </w:tcBorders>
            <w:textDirection w:val="tbRlV"/>
            <w:vAlign w:val="center"/>
          </w:tcPr>
          <w:p>
            <w:pPr>
              <w:pStyle w:val="22"/>
              <w:bidi w:val="0"/>
              <w:jc w:val="center"/>
              <w:rPr>
                <w:color w:val="0000FF"/>
              </w:rPr>
            </w:pPr>
            <w:r>
              <w:rPr>
                <w:color w:val="0000FF"/>
              </w:rPr>
              <w:t>硝酸</w:t>
            </w:r>
          </w:p>
        </w:tc>
        <w:tc>
          <w:tcPr>
            <w:tcW w:w="804" w:type="dxa"/>
            <w:gridSpan w:val="2"/>
            <w:tcBorders>
              <w:tl2br w:val="nil"/>
              <w:tr2bl w:val="nil"/>
            </w:tcBorders>
            <w:vAlign w:val="center"/>
          </w:tcPr>
          <w:p>
            <w:pPr>
              <w:pStyle w:val="22"/>
              <w:bidi w:val="0"/>
              <w:jc w:val="center"/>
              <w:rPr>
                <w:color w:val="0000FF"/>
              </w:rPr>
            </w:pPr>
            <w:r>
              <w:rPr>
                <w:color w:val="0000FF"/>
              </w:rPr>
              <w:t>试验</w:t>
            </w:r>
          </w:p>
        </w:tc>
        <w:tc>
          <w:tcPr>
            <w:tcW w:w="2933" w:type="dxa"/>
            <w:gridSpan w:val="2"/>
            <w:tcBorders>
              <w:tl2br w:val="nil"/>
              <w:tr2bl w:val="nil"/>
            </w:tcBorders>
            <w:vAlign w:val="center"/>
          </w:tcPr>
          <w:p>
            <w:pPr>
              <w:pStyle w:val="22"/>
              <w:bidi w:val="0"/>
              <w:jc w:val="center"/>
              <w:rPr>
                <w:color w:val="0000FF"/>
              </w:rPr>
            </w:pPr>
            <w:r>
              <w:rPr>
                <w:color w:val="0000FF"/>
              </w:rPr>
              <w:t>其蒸气有刺激作用，引起粘膜和上呼吸道的刺激症状。如流泪、咽喉刺激感、呛咳、并伴有头痛、头晕、胸闷等。长期接触可引起牙齿酸蚀症，皮肤接触引起灼伤。口服硝酸，引起上消化道剧痛、烧灼伤以至形成溃疡；严重者可能有胃穿孔、腹膜炎、喉痉挛、肾损害、休克以至窒息等。</w:t>
            </w:r>
          </w:p>
        </w:tc>
        <w:tc>
          <w:tcPr>
            <w:tcW w:w="1693" w:type="dxa"/>
            <w:gridSpan w:val="2"/>
            <w:tcBorders>
              <w:tl2br w:val="nil"/>
              <w:tr2bl w:val="nil"/>
            </w:tcBorders>
            <w:vAlign w:val="center"/>
          </w:tcPr>
          <w:p>
            <w:pPr>
              <w:pStyle w:val="22"/>
              <w:bidi w:val="0"/>
              <w:jc w:val="center"/>
              <w:rPr>
                <w:color w:val="0000FF"/>
              </w:rPr>
            </w:pPr>
            <w:r>
              <w:rPr>
                <w:color w:val="0000FF"/>
              </w:rPr>
              <w:t>强氧化剂。能与多种物质如金属粉末、电石、硫化氢、松节油等猛烈反应，甚至发生爆炸。与还原剂、可燃物如糖、纤维素、木屑、棉花、稻草或废纱头等接触，引起燃烧并散发出剧毒的棕色烟雾。具有强腐蚀性。</w:t>
            </w:r>
          </w:p>
        </w:tc>
        <w:tc>
          <w:tcPr>
            <w:tcW w:w="2460" w:type="dxa"/>
            <w:gridSpan w:val="2"/>
            <w:tcBorders>
              <w:tl2br w:val="nil"/>
              <w:tr2bl w:val="nil"/>
            </w:tcBorders>
            <w:vAlign w:val="center"/>
          </w:tcPr>
          <w:p>
            <w:pPr>
              <w:pStyle w:val="22"/>
              <w:bidi w:val="0"/>
              <w:jc w:val="center"/>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24" w:hRule="atLeast"/>
          <w:jc w:val="center"/>
        </w:trPr>
        <w:tc>
          <w:tcPr>
            <w:tcW w:w="632" w:type="dxa"/>
            <w:gridSpan w:val="2"/>
            <w:tcBorders>
              <w:tl2br w:val="nil"/>
              <w:tr2bl w:val="nil"/>
            </w:tcBorders>
            <w:textDirection w:val="tbRlV"/>
            <w:vAlign w:val="center"/>
          </w:tcPr>
          <w:p>
            <w:pPr>
              <w:pStyle w:val="22"/>
              <w:bidi w:val="0"/>
              <w:jc w:val="center"/>
              <w:rPr>
                <w:color w:val="0000FF"/>
              </w:rPr>
            </w:pPr>
            <w:r>
              <w:rPr>
                <w:color w:val="0000FF"/>
              </w:rPr>
              <w:t>丙醇</w:t>
            </w:r>
          </w:p>
        </w:tc>
        <w:tc>
          <w:tcPr>
            <w:tcW w:w="804" w:type="dxa"/>
            <w:gridSpan w:val="2"/>
            <w:tcBorders>
              <w:tl2br w:val="nil"/>
              <w:tr2bl w:val="nil"/>
            </w:tcBorders>
            <w:vAlign w:val="center"/>
          </w:tcPr>
          <w:p>
            <w:pPr>
              <w:pStyle w:val="22"/>
              <w:bidi w:val="0"/>
              <w:jc w:val="center"/>
              <w:rPr>
                <w:color w:val="0000FF"/>
              </w:rPr>
            </w:pPr>
            <w:r>
              <w:rPr>
                <w:color w:val="0000FF"/>
              </w:rPr>
              <w:t>试验</w:t>
            </w:r>
          </w:p>
        </w:tc>
        <w:tc>
          <w:tcPr>
            <w:tcW w:w="2933" w:type="dxa"/>
            <w:gridSpan w:val="2"/>
            <w:tcBorders>
              <w:tl2br w:val="nil"/>
              <w:tr2bl w:val="nil"/>
            </w:tcBorders>
            <w:vAlign w:val="center"/>
          </w:tcPr>
          <w:p>
            <w:pPr>
              <w:pStyle w:val="22"/>
              <w:bidi w:val="0"/>
              <w:jc w:val="center"/>
              <w:rPr>
                <w:color w:val="0000FF"/>
              </w:rPr>
            </w:pPr>
            <w:r>
              <w:rPr>
                <w:color w:val="0000FF"/>
              </w:rPr>
              <w:t>急性中毒主要表现为对中枢神经系统的麻醉作用，出现乏力、恶心、头痛、头晕、易激动。重者发生呕吐、气急、痉挛，甚至昏迷。对眼、鼻、喉有刺激性。口服后，口唇、咽喉有烧灼感，然后出现口干、呕吐、昏迷、酸中毒和酮症。慢性影响：长期接触该品出现眩晕、灼烧感、咽炎、支气管炎、乏力、易激动等。皮肤长期接触可致皮炎。</w:t>
            </w:r>
          </w:p>
        </w:tc>
        <w:tc>
          <w:tcPr>
            <w:tcW w:w="1693" w:type="dxa"/>
            <w:gridSpan w:val="2"/>
            <w:tcBorders>
              <w:tl2br w:val="nil"/>
              <w:tr2bl w:val="nil"/>
            </w:tcBorders>
            <w:vAlign w:val="center"/>
          </w:tcPr>
          <w:p>
            <w:pPr>
              <w:pStyle w:val="22"/>
              <w:bidi w:val="0"/>
              <w:jc w:val="center"/>
              <w:rPr>
                <w:color w:val="0000FF"/>
              </w:rPr>
            </w:pPr>
            <w:r>
              <w:rPr>
                <w:color w:val="0000FF"/>
              </w:rPr>
              <w:t>其蒸气与空气可形成爆炸性混合物。遇明火、高热极易燃烧爆炸。与氧化剂能发生强烈反应。其蒸气比空气重，能在较低处扩散到相当远的地方，遇明火会引着回燃。若遇高热，容器内压增大，有开裂和爆炸的危险</w:t>
            </w:r>
          </w:p>
        </w:tc>
        <w:tc>
          <w:tcPr>
            <w:tcW w:w="2460" w:type="dxa"/>
            <w:gridSpan w:val="2"/>
            <w:tcBorders>
              <w:tl2br w:val="nil"/>
              <w:tr2bl w:val="nil"/>
            </w:tcBorders>
            <w:vAlign w:val="center"/>
          </w:tcPr>
          <w:p>
            <w:pPr>
              <w:pStyle w:val="22"/>
              <w:bidi w:val="0"/>
              <w:jc w:val="center"/>
              <w:rPr>
                <w:color w:val="0000FF"/>
              </w:rPr>
            </w:pPr>
            <w:r>
              <w:rPr>
                <w:color w:val="0000FF"/>
              </w:rPr>
              <w:t>LD50：5800mg/kg（大鼠经口）；20000mg/kg（兔经皮）；人吸入12000ppm×4小时，最小中毒浓度。人经口200ml，昏迷，12小时恢复。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jc w:val="center"/>
        </w:trPr>
        <w:tc>
          <w:tcPr>
            <w:tcW w:w="632" w:type="dxa"/>
            <w:gridSpan w:val="2"/>
            <w:tcBorders>
              <w:tl2br w:val="nil"/>
              <w:tr2bl w:val="nil"/>
            </w:tcBorders>
            <w:textDirection w:val="tbRlV"/>
            <w:vAlign w:val="center"/>
          </w:tcPr>
          <w:p>
            <w:pPr>
              <w:pStyle w:val="22"/>
              <w:bidi w:val="0"/>
              <w:jc w:val="center"/>
              <w:rPr>
                <w:color w:val="0000FF"/>
              </w:rPr>
            </w:pPr>
            <w:r>
              <w:rPr>
                <w:color w:val="0000FF"/>
              </w:rPr>
              <w:t>三氯甲烷</w:t>
            </w:r>
          </w:p>
        </w:tc>
        <w:tc>
          <w:tcPr>
            <w:tcW w:w="804" w:type="dxa"/>
            <w:gridSpan w:val="2"/>
            <w:tcBorders>
              <w:tl2br w:val="nil"/>
              <w:tr2bl w:val="nil"/>
            </w:tcBorders>
            <w:vAlign w:val="center"/>
          </w:tcPr>
          <w:p>
            <w:pPr>
              <w:pStyle w:val="22"/>
              <w:bidi w:val="0"/>
              <w:jc w:val="center"/>
              <w:rPr>
                <w:color w:val="0000FF"/>
              </w:rPr>
            </w:pPr>
            <w:r>
              <w:rPr>
                <w:color w:val="0000FF"/>
              </w:rPr>
              <w:t>试验</w:t>
            </w:r>
          </w:p>
        </w:tc>
        <w:tc>
          <w:tcPr>
            <w:tcW w:w="2933" w:type="dxa"/>
            <w:gridSpan w:val="2"/>
            <w:tcBorders>
              <w:tl2br w:val="nil"/>
              <w:tr2bl w:val="nil"/>
            </w:tcBorders>
            <w:vAlign w:val="center"/>
          </w:tcPr>
          <w:p>
            <w:pPr>
              <w:pStyle w:val="22"/>
              <w:bidi w:val="0"/>
              <w:jc w:val="center"/>
              <w:rPr>
                <w:color w:val="0000FF"/>
              </w:rPr>
            </w:pPr>
            <w:r>
              <w:rPr>
                <w:color w:val="0000FF"/>
              </w:rPr>
              <w:t>主要作用于中枢神经系统，具有麻醉作用，对心、肝、肾有损害。急性中毒：吸入或经皮肤吸收引起急性中毒。初期有头痛、头晕、恶心、呕吐、兴奋、皮肤湿热和粘膜刺激症状。以后呈现精神紊乱、呼吸表浅、反射消失、昏迷等，重者发生呼吸麻痹、心室纤维性颤动。同时可伴有肝、肾损害。误服中毒时，胃有烧灼感，伴恶心、呕吐、腹痛、腹泻。以后出现麻醉症状。液态可致皮炎、湿疹，甚至皮肤灼伤。慢性影响：主要引起肝脏损害，并有消化不良、乏力、头痛、失眠等症状，少数有肾损害及嗜氯仿癖。</w:t>
            </w:r>
          </w:p>
        </w:tc>
        <w:tc>
          <w:tcPr>
            <w:tcW w:w="1693" w:type="dxa"/>
            <w:gridSpan w:val="2"/>
            <w:tcBorders>
              <w:tl2br w:val="nil"/>
              <w:tr2bl w:val="nil"/>
            </w:tcBorders>
            <w:vAlign w:val="center"/>
          </w:tcPr>
          <w:p>
            <w:pPr>
              <w:pStyle w:val="22"/>
              <w:bidi w:val="0"/>
              <w:jc w:val="center"/>
              <w:rPr>
                <w:color w:val="0000FF"/>
              </w:rPr>
            </w:pPr>
            <w:r>
              <w:rPr>
                <w:color w:val="0000FF"/>
              </w:rPr>
              <w:t>与明火或灼热的物体接触时能产生剧毒的光气。在空气、水分和光的作用下，酸度增加，因而对金属有强烈的腐蚀性。</w:t>
            </w:r>
          </w:p>
        </w:tc>
        <w:tc>
          <w:tcPr>
            <w:tcW w:w="2460" w:type="dxa"/>
            <w:gridSpan w:val="2"/>
            <w:tcBorders>
              <w:tl2br w:val="nil"/>
              <w:tr2bl w:val="nil"/>
            </w:tcBorders>
            <w:vAlign w:val="center"/>
          </w:tcPr>
          <w:p>
            <w:pPr>
              <w:pStyle w:val="22"/>
              <w:bidi w:val="0"/>
              <w:jc w:val="center"/>
              <w:rPr>
                <w:color w:val="0000FF"/>
              </w:rPr>
            </w:pPr>
            <w:r>
              <w:rPr>
                <w:color w:val="0000FF"/>
              </w:rPr>
              <w:t>LD50：908mg/kg</w:t>
            </w:r>
            <w:r>
              <w:rPr>
                <w:rFonts w:hint="eastAsia"/>
                <w:color w:val="0000FF"/>
                <w:lang w:eastAsia="zh-CN"/>
              </w:rPr>
              <w:t>（</w:t>
            </w:r>
            <w:r>
              <w:rPr>
                <w:color w:val="0000FF"/>
              </w:rPr>
              <w:t>大鼠经口</w:t>
            </w:r>
            <w:r>
              <w:rPr>
                <w:rFonts w:hint="eastAsia"/>
                <w:color w:val="0000FF"/>
                <w:lang w:eastAsia="zh-CN"/>
              </w:rPr>
              <w:t>）</w:t>
            </w:r>
          </w:p>
          <w:p>
            <w:pPr>
              <w:pStyle w:val="22"/>
              <w:bidi w:val="0"/>
              <w:jc w:val="center"/>
              <w:rPr>
                <w:color w:val="0000FF"/>
              </w:rPr>
            </w:pPr>
            <w:r>
              <w:rPr>
                <w:color w:val="0000FF"/>
              </w:rPr>
              <w:t>LC50：47702mg/m3,4小时</w:t>
            </w:r>
            <w:r>
              <w:rPr>
                <w:rFonts w:hint="eastAsia"/>
                <w:color w:val="0000FF"/>
                <w:lang w:eastAsia="zh-CN"/>
              </w:rPr>
              <w:t>（</w:t>
            </w:r>
            <w:r>
              <w:rPr>
                <w:color w:val="0000FF"/>
              </w:rPr>
              <w:t>大鼠吸入</w:t>
            </w:r>
            <w:r>
              <w:rPr>
                <w:rFonts w:hint="eastAsia"/>
                <w:color w:val="0000FF"/>
                <w:lang w:eastAsia="zh-CN"/>
              </w:rPr>
              <w:t>）</w:t>
            </w:r>
          </w:p>
        </w:tc>
      </w:tr>
    </w:tbl>
    <w:p>
      <w:pPr>
        <w:bidi w:val="0"/>
        <w:rPr>
          <w:color w:val="0000FF"/>
        </w:rPr>
      </w:pPr>
      <w:r>
        <w:rPr>
          <w:color w:val="0000FF"/>
        </w:rPr>
        <w:t>（2）风险潜式初判</w:t>
      </w:r>
    </w:p>
    <w:p>
      <w:pPr>
        <w:pStyle w:val="22"/>
        <w:bidi w:val="0"/>
        <w:rPr>
          <w:b/>
          <w:bCs/>
          <w:color w:val="0000FF"/>
        </w:rPr>
      </w:pPr>
      <w:r>
        <w:rPr>
          <w:b/>
          <w:bCs/>
          <w:color w:val="0000FF"/>
        </w:rPr>
        <w:t>表5.2-</w:t>
      </w:r>
      <w:r>
        <w:rPr>
          <w:rFonts w:hint="eastAsia"/>
          <w:b/>
          <w:bCs/>
          <w:color w:val="0000FF"/>
          <w:lang w:val="en-US" w:eastAsia="zh-CN"/>
        </w:rPr>
        <w:t>15</w:t>
      </w:r>
      <w:r>
        <w:rPr>
          <w:b/>
          <w:bCs/>
          <w:color w:val="0000FF"/>
        </w:rPr>
        <w:t>危险物质名称及临界量</w:t>
      </w:r>
    </w:p>
    <w:p>
      <w:pPr>
        <w:spacing w:line="49" w:lineRule="exact"/>
        <w:rPr>
          <w:color w:val="0000FF"/>
        </w:rPr>
      </w:pP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6"/>
        <w:gridCol w:w="2410"/>
        <w:gridCol w:w="2149"/>
        <w:gridCol w:w="1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677" w:type="dxa"/>
            <w:tcBorders>
              <w:tl2br w:val="nil"/>
              <w:tr2bl w:val="nil"/>
            </w:tcBorders>
            <w:vAlign w:val="center"/>
          </w:tcPr>
          <w:p>
            <w:pPr>
              <w:pStyle w:val="22"/>
              <w:bidi w:val="0"/>
              <w:jc w:val="center"/>
              <w:rPr>
                <w:color w:val="0000FF"/>
              </w:rPr>
            </w:pPr>
            <w:r>
              <w:rPr>
                <w:color w:val="0000FF"/>
              </w:rPr>
              <w:t>序号</w:t>
            </w:r>
          </w:p>
        </w:tc>
        <w:tc>
          <w:tcPr>
            <w:tcW w:w="1416" w:type="dxa"/>
            <w:tcBorders>
              <w:tl2br w:val="nil"/>
              <w:tr2bl w:val="nil"/>
            </w:tcBorders>
            <w:vAlign w:val="center"/>
          </w:tcPr>
          <w:p>
            <w:pPr>
              <w:pStyle w:val="22"/>
              <w:bidi w:val="0"/>
              <w:jc w:val="center"/>
              <w:rPr>
                <w:color w:val="0000FF"/>
              </w:rPr>
            </w:pPr>
            <w:r>
              <w:rPr>
                <w:color w:val="0000FF"/>
              </w:rPr>
              <w:t>物资名称</w:t>
            </w:r>
          </w:p>
        </w:tc>
        <w:tc>
          <w:tcPr>
            <w:tcW w:w="2410" w:type="dxa"/>
            <w:tcBorders>
              <w:tl2br w:val="nil"/>
              <w:tr2bl w:val="nil"/>
            </w:tcBorders>
            <w:vAlign w:val="center"/>
          </w:tcPr>
          <w:p>
            <w:pPr>
              <w:pStyle w:val="22"/>
              <w:bidi w:val="0"/>
              <w:jc w:val="center"/>
              <w:rPr>
                <w:color w:val="0000FF"/>
              </w:rPr>
            </w:pPr>
            <w:r>
              <w:rPr>
                <w:color w:val="0000FF"/>
              </w:rPr>
              <w:t>临界量（t）</w:t>
            </w:r>
          </w:p>
        </w:tc>
        <w:tc>
          <w:tcPr>
            <w:tcW w:w="2149" w:type="dxa"/>
            <w:tcBorders>
              <w:tl2br w:val="nil"/>
              <w:tr2bl w:val="nil"/>
            </w:tcBorders>
            <w:vAlign w:val="center"/>
          </w:tcPr>
          <w:p>
            <w:pPr>
              <w:pStyle w:val="22"/>
              <w:bidi w:val="0"/>
              <w:jc w:val="center"/>
              <w:rPr>
                <w:color w:val="0000FF"/>
              </w:rPr>
            </w:pPr>
            <w:r>
              <w:rPr>
                <w:color w:val="0000FF"/>
              </w:rPr>
              <w:t>本项目存储量（kg）</w:t>
            </w:r>
          </w:p>
        </w:tc>
        <w:tc>
          <w:tcPr>
            <w:tcW w:w="1870" w:type="dxa"/>
            <w:tcBorders>
              <w:tl2br w:val="nil"/>
              <w:tr2bl w:val="nil"/>
            </w:tcBorders>
            <w:vAlign w:val="center"/>
          </w:tcPr>
          <w:p>
            <w:pPr>
              <w:pStyle w:val="22"/>
              <w:bidi w:val="0"/>
              <w:jc w:val="center"/>
              <w:rPr>
                <w:color w:val="0000FF"/>
              </w:rPr>
            </w:pPr>
            <w:r>
              <w:rPr>
                <w:color w:val="0000FF"/>
              </w:rPr>
              <w:t>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1</w:t>
            </w:r>
          </w:p>
        </w:tc>
        <w:tc>
          <w:tcPr>
            <w:tcW w:w="1416" w:type="dxa"/>
            <w:tcBorders>
              <w:tl2br w:val="nil"/>
              <w:tr2bl w:val="nil"/>
            </w:tcBorders>
            <w:vAlign w:val="center"/>
          </w:tcPr>
          <w:p>
            <w:pPr>
              <w:pStyle w:val="22"/>
              <w:bidi w:val="0"/>
              <w:jc w:val="center"/>
              <w:rPr>
                <w:color w:val="0000FF"/>
              </w:rPr>
            </w:pPr>
            <w:r>
              <w:rPr>
                <w:color w:val="0000FF"/>
              </w:rPr>
              <w:t>硫酸</w:t>
            </w:r>
          </w:p>
        </w:tc>
        <w:tc>
          <w:tcPr>
            <w:tcW w:w="2410" w:type="dxa"/>
            <w:tcBorders>
              <w:tl2br w:val="nil"/>
              <w:tr2bl w:val="nil"/>
            </w:tcBorders>
            <w:vAlign w:val="center"/>
          </w:tcPr>
          <w:p>
            <w:pPr>
              <w:pStyle w:val="22"/>
              <w:bidi w:val="0"/>
              <w:jc w:val="center"/>
              <w:rPr>
                <w:color w:val="0000FF"/>
              </w:rPr>
            </w:pPr>
            <w:r>
              <w:rPr>
                <w:color w:val="0000FF"/>
              </w:rPr>
              <w:t>10</w:t>
            </w:r>
          </w:p>
        </w:tc>
        <w:tc>
          <w:tcPr>
            <w:tcW w:w="2149"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15</w:t>
            </w:r>
          </w:p>
        </w:tc>
        <w:tc>
          <w:tcPr>
            <w:tcW w:w="1870" w:type="dxa"/>
            <w:tcBorders>
              <w:tl2br w:val="nil"/>
              <w:tr2bl w:val="nil"/>
            </w:tcBorders>
            <w:vAlign w:val="center"/>
          </w:tcPr>
          <w:p>
            <w:pPr>
              <w:pStyle w:val="22"/>
              <w:bidi w:val="0"/>
              <w:jc w:val="center"/>
              <w:rPr>
                <w:rFonts w:hint="default" w:eastAsia="宋体"/>
                <w:color w:val="0000FF"/>
                <w:lang w:val="en-US" w:eastAsia="zh-CN"/>
              </w:rPr>
            </w:pPr>
            <w:r>
              <w:rPr>
                <w:color w:val="0000FF"/>
              </w:rPr>
              <w:t>0.00</w:t>
            </w:r>
            <w:r>
              <w:rPr>
                <w:rFonts w:hint="eastAsia"/>
                <w:color w:val="0000FF"/>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2</w:t>
            </w:r>
          </w:p>
        </w:tc>
        <w:tc>
          <w:tcPr>
            <w:tcW w:w="1416" w:type="dxa"/>
            <w:tcBorders>
              <w:tl2br w:val="nil"/>
              <w:tr2bl w:val="nil"/>
            </w:tcBorders>
            <w:vAlign w:val="center"/>
          </w:tcPr>
          <w:p>
            <w:pPr>
              <w:pStyle w:val="22"/>
              <w:bidi w:val="0"/>
              <w:jc w:val="center"/>
              <w:rPr>
                <w:color w:val="0000FF"/>
              </w:rPr>
            </w:pPr>
            <w:r>
              <w:rPr>
                <w:color w:val="0000FF"/>
              </w:rPr>
              <w:t>盐酸</w:t>
            </w:r>
          </w:p>
        </w:tc>
        <w:tc>
          <w:tcPr>
            <w:tcW w:w="2410" w:type="dxa"/>
            <w:tcBorders>
              <w:tl2br w:val="nil"/>
              <w:tr2bl w:val="nil"/>
            </w:tcBorders>
            <w:vAlign w:val="center"/>
          </w:tcPr>
          <w:p>
            <w:pPr>
              <w:pStyle w:val="22"/>
              <w:bidi w:val="0"/>
              <w:jc w:val="center"/>
              <w:rPr>
                <w:color w:val="0000FF"/>
              </w:rPr>
            </w:pPr>
            <w:r>
              <w:rPr>
                <w:color w:val="0000FF"/>
              </w:rPr>
              <w:t>7.5</w:t>
            </w:r>
          </w:p>
        </w:tc>
        <w:tc>
          <w:tcPr>
            <w:tcW w:w="2149"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6</w:t>
            </w:r>
          </w:p>
        </w:tc>
        <w:tc>
          <w:tcPr>
            <w:tcW w:w="1870" w:type="dxa"/>
            <w:tcBorders>
              <w:tl2br w:val="nil"/>
              <w:tr2bl w:val="nil"/>
            </w:tcBorders>
            <w:vAlign w:val="center"/>
          </w:tcPr>
          <w:p>
            <w:pPr>
              <w:pStyle w:val="22"/>
              <w:bidi w:val="0"/>
              <w:jc w:val="center"/>
              <w:rPr>
                <w:rFonts w:hint="eastAsia" w:eastAsia="宋体"/>
                <w:color w:val="0000FF"/>
                <w:lang w:eastAsia="zh-CN"/>
              </w:rPr>
            </w:pPr>
            <w:r>
              <w:rPr>
                <w:color w:val="0000FF"/>
              </w:rPr>
              <w:t>0.00</w:t>
            </w:r>
            <w:r>
              <w:rPr>
                <w:rFonts w:hint="eastAsia"/>
                <w:color w:val="0000FF"/>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3</w:t>
            </w:r>
          </w:p>
        </w:tc>
        <w:tc>
          <w:tcPr>
            <w:tcW w:w="1416" w:type="dxa"/>
            <w:tcBorders>
              <w:tl2br w:val="nil"/>
              <w:tr2bl w:val="nil"/>
            </w:tcBorders>
            <w:vAlign w:val="center"/>
          </w:tcPr>
          <w:p>
            <w:pPr>
              <w:pStyle w:val="22"/>
              <w:bidi w:val="0"/>
              <w:jc w:val="center"/>
              <w:rPr>
                <w:color w:val="0000FF"/>
              </w:rPr>
            </w:pPr>
            <w:r>
              <w:rPr>
                <w:color w:val="0000FF"/>
              </w:rPr>
              <w:t>硝酸</w:t>
            </w:r>
          </w:p>
        </w:tc>
        <w:tc>
          <w:tcPr>
            <w:tcW w:w="2410" w:type="dxa"/>
            <w:tcBorders>
              <w:tl2br w:val="nil"/>
              <w:tr2bl w:val="nil"/>
            </w:tcBorders>
            <w:vAlign w:val="center"/>
          </w:tcPr>
          <w:p>
            <w:pPr>
              <w:pStyle w:val="22"/>
              <w:bidi w:val="0"/>
              <w:jc w:val="center"/>
              <w:rPr>
                <w:color w:val="0000FF"/>
              </w:rPr>
            </w:pPr>
            <w:r>
              <w:rPr>
                <w:color w:val="0000FF"/>
              </w:rPr>
              <w:t>7.5</w:t>
            </w:r>
          </w:p>
        </w:tc>
        <w:tc>
          <w:tcPr>
            <w:tcW w:w="2149"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7</w:t>
            </w:r>
          </w:p>
        </w:tc>
        <w:tc>
          <w:tcPr>
            <w:tcW w:w="1870" w:type="dxa"/>
            <w:tcBorders>
              <w:tl2br w:val="nil"/>
              <w:tr2bl w:val="nil"/>
            </w:tcBorders>
            <w:vAlign w:val="center"/>
          </w:tcPr>
          <w:p>
            <w:pPr>
              <w:pStyle w:val="22"/>
              <w:bidi w:val="0"/>
              <w:jc w:val="center"/>
              <w:rPr>
                <w:rFonts w:hint="default" w:eastAsia="宋体"/>
                <w:color w:val="0000FF"/>
                <w:lang w:val="en-US" w:eastAsia="zh-CN"/>
              </w:rPr>
            </w:pPr>
            <w:r>
              <w:rPr>
                <w:color w:val="0000FF"/>
              </w:rPr>
              <w:t>0.00</w:t>
            </w:r>
            <w:r>
              <w:rPr>
                <w:rFonts w:hint="eastAsia"/>
                <w:color w:val="0000FF"/>
                <w:lang w:val="en-US" w:eastAsia="zh-CN"/>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4</w:t>
            </w:r>
          </w:p>
        </w:tc>
        <w:tc>
          <w:tcPr>
            <w:tcW w:w="1416" w:type="dxa"/>
            <w:tcBorders>
              <w:tl2br w:val="nil"/>
              <w:tr2bl w:val="nil"/>
            </w:tcBorders>
            <w:vAlign w:val="center"/>
          </w:tcPr>
          <w:p>
            <w:pPr>
              <w:pStyle w:val="22"/>
              <w:bidi w:val="0"/>
              <w:jc w:val="center"/>
              <w:rPr>
                <w:color w:val="0000FF"/>
              </w:rPr>
            </w:pPr>
            <w:r>
              <w:rPr>
                <w:color w:val="0000FF"/>
              </w:rPr>
              <w:t>异丙醇</w:t>
            </w:r>
          </w:p>
        </w:tc>
        <w:tc>
          <w:tcPr>
            <w:tcW w:w="2410" w:type="dxa"/>
            <w:tcBorders>
              <w:tl2br w:val="nil"/>
              <w:tr2bl w:val="nil"/>
            </w:tcBorders>
            <w:vAlign w:val="center"/>
          </w:tcPr>
          <w:p>
            <w:pPr>
              <w:pStyle w:val="22"/>
              <w:bidi w:val="0"/>
              <w:jc w:val="center"/>
              <w:rPr>
                <w:color w:val="0000FF"/>
              </w:rPr>
            </w:pPr>
            <w:r>
              <w:rPr>
                <w:color w:val="0000FF"/>
              </w:rPr>
              <w:t>10</w:t>
            </w:r>
          </w:p>
        </w:tc>
        <w:tc>
          <w:tcPr>
            <w:tcW w:w="2149"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0.25</w:t>
            </w:r>
          </w:p>
        </w:tc>
        <w:tc>
          <w:tcPr>
            <w:tcW w:w="1870" w:type="dxa"/>
            <w:tcBorders>
              <w:tl2br w:val="nil"/>
              <w:tr2bl w:val="nil"/>
            </w:tcBorders>
            <w:vAlign w:val="center"/>
          </w:tcPr>
          <w:p>
            <w:pPr>
              <w:pStyle w:val="22"/>
              <w:bidi w:val="0"/>
              <w:jc w:val="center"/>
              <w:rPr>
                <w:rFonts w:hint="default" w:eastAsia="宋体"/>
                <w:color w:val="0000FF"/>
                <w:lang w:val="en-US" w:eastAsia="zh-CN"/>
              </w:rPr>
            </w:pPr>
            <w:r>
              <w:rPr>
                <w:color w:val="0000FF"/>
              </w:rPr>
              <w:t>0.0000</w:t>
            </w:r>
            <w:r>
              <w:rPr>
                <w:rFonts w:hint="eastAsia"/>
                <w:color w:val="0000FF"/>
                <w:lang w:val="en-US"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5</w:t>
            </w:r>
          </w:p>
        </w:tc>
        <w:tc>
          <w:tcPr>
            <w:tcW w:w="1416" w:type="dxa"/>
            <w:tcBorders>
              <w:tl2br w:val="nil"/>
              <w:tr2bl w:val="nil"/>
            </w:tcBorders>
            <w:vAlign w:val="center"/>
          </w:tcPr>
          <w:p>
            <w:pPr>
              <w:pStyle w:val="22"/>
              <w:bidi w:val="0"/>
              <w:jc w:val="center"/>
              <w:rPr>
                <w:color w:val="0000FF"/>
              </w:rPr>
            </w:pPr>
            <w:r>
              <w:rPr>
                <w:color w:val="0000FF"/>
              </w:rPr>
              <w:t>丙醇</w:t>
            </w:r>
          </w:p>
        </w:tc>
        <w:tc>
          <w:tcPr>
            <w:tcW w:w="2410" w:type="dxa"/>
            <w:tcBorders>
              <w:tl2br w:val="nil"/>
              <w:tr2bl w:val="nil"/>
            </w:tcBorders>
            <w:vAlign w:val="center"/>
          </w:tcPr>
          <w:p>
            <w:pPr>
              <w:pStyle w:val="22"/>
              <w:bidi w:val="0"/>
              <w:jc w:val="center"/>
              <w:rPr>
                <w:color w:val="0000FF"/>
              </w:rPr>
            </w:pPr>
            <w:r>
              <w:rPr>
                <w:color w:val="0000FF"/>
              </w:rPr>
              <w:t>10</w:t>
            </w:r>
          </w:p>
        </w:tc>
        <w:tc>
          <w:tcPr>
            <w:tcW w:w="2149"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5</w:t>
            </w:r>
          </w:p>
        </w:tc>
        <w:tc>
          <w:tcPr>
            <w:tcW w:w="1870" w:type="dxa"/>
            <w:tcBorders>
              <w:tl2br w:val="nil"/>
              <w:tr2bl w:val="nil"/>
            </w:tcBorders>
            <w:vAlign w:val="center"/>
          </w:tcPr>
          <w:p>
            <w:pPr>
              <w:pStyle w:val="22"/>
              <w:bidi w:val="0"/>
              <w:jc w:val="center"/>
              <w:rPr>
                <w:rFonts w:hint="eastAsia" w:eastAsia="宋体"/>
                <w:color w:val="0000FF"/>
                <w:lang w:val="en-US" w:eastAsia="zh-CN"/>
              </w:rPr>
            </w:pPr>
            <w:r>
              <w:rPr>
                <w:color w:val="0000FF"/>
              </w:rPr>
              <w:t>0.000</w:t>
            </w:r>
            <w:r>
              <w:rPr>
                <w:rFonts w:hint="eastAsia"/>
                <w:color w:val="0000FF"/>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6</w:t>
            </w:r>
          </w:p>
        </w:tc>
        <w:tc>
          <w:tcPr>
            <w:tcW w:w="1416" w:type="dxa"/>
            <w:tcBorders>
              <w:tl2br w:val="nil"/>
              <w:tr2bl w:val="nil"/>
            </w:tcBorders>
            <w:vAlign w:val="center"/>
          </w:tcPr>
          <w:p>
            <w:pPr>
              <w:pStyle w:val="22"/>
              <w:bidi w:val="0"/>
              <w:jc w:val="center"/>
              <w:rPr>
                <w:color w:val="0000FF"/>
              </w:rPr>
            </w:pPr>
            <w:r>
              <w:rPr>
                <w:color w:val="0000FF"/>
              </w:rPr>
              <w:t>三氯甲烷</w:t>
            </w:r>
          </w:p>
        </w:tc>
        <w:tc>
          <w:tcPr>
            <w:tcW w:w="2410" w:type="dxa"/>
            <w:tcBorders>
              <w:tl2br w:val="nil"/>
              <w:tr2bl w:val="nil"/>
            </w:tcBorders>
            <w:vAlign w:val="center"/>
          </w:tcPr>
          <w:p>
            <w:pPr>
              <w:pStyle w:val="22"/>
              <w:bidi w:val="0"/>
              <w:jc w:val="center"/>
              <w:rPr>
                <w:color w:val="0000FF"/>
              </w:rPr>
            </w:pPr>
            <w:r>
              <w:rPr>
                <w:color w:val="0000FF"/>
              </w:rPr>
              <w:t>10</w:t>
            </w:r>
          </w:p>
        </w:tc>
        <w:tc>
          <w:tcPr>
            <w:tcW w:w="2149" w:type="dxa"/>
            <w:tcBorders>
              <w:tl2br w:val="nil"/>
              <w:tr2bl w:val="nil"/>
            </w:tcBorders>
            <w:vAlign w:val="center"/>
          </w:tcPr>
          <w:p>
            <w:pPr>
              <w:pStyle w:val="22"/>
              <w:bidi w:val="0"/>
              <w:jc w:val="center"/>
              <w:rPr>
                <w:color w:val="0000FF"/>
              </w:rPr>
            </w:pPr>
            <w:r>
              <w:rPr>
                <w:color w:val="0000FF"/>
              </w:rPr>
              <w:t>1.5</w:t>
            </w:r>
          </w:p>
        </w:tc>
        <w:tc>
          <w:tcPr>
            <w:tcW w:w="1870" w:type="dxa"/>
            <w:tcBorders>
              <w:tl2br w:val="nil"/>
              <w:tr2bl w:val="nil"/>
            </w:tcBorders>
            <w:vAlign w:val="center"/>
          </w:tcPr>
          <w:p>
            <w:pPr>
              <w:pStyle w:val="22"/>
              <w:bidi w:val="0"/>
              <w:jc w:val="center"/>
              <w:rPr>
                <w:color w:val="0000FF"/>
              </w:rPr>
            </w:pPr>
            <w:r>
              <w:rPr>
                <w:color w:val="0000FF"/>
              </w:rPr>
              <w:t>0.00015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677"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7</w:t>
            </w:r>
          </w:p>
        </w:tc>
        <w:tc>
          <w:tcPr>
            <w:tcW w:w="1416" w:type="dxa"/>
            <w:tcBorders>
              <w:tl2br w:val="nil"/>
              <w:tr2bl w:val="nil"/>
            </w:tcBorders>
            <w:vAlign w:val="center"/>
          </w:tcPr>
          <w:p>
            <w:pPr>
              <w:pStyle w:val="22"/>
              <w:bidi w:val="0"/>
              <w:jc w:val="center"/>
              <w:rPr>
                <w:color w:val="0000FF"/>
              </w:rPr>
            </w:pPr>
            <w:r>
              <w:rPr>
                <w:color w:val="0000FF"/>
              </w:rPr>
              <w:t>合计</w:t>
            </w:r>
          </w:p>
        </w:tc>
        <w:tc>
          <w:tcPr>
            <w:tcW w:w="2410" w:type="dxa"/>
            <w:tcBorders>
              <w:tl2br w:val="nil"/>
              <w:tr2bl w:val="nil"/>
            </w:tcBorders>
            <w:vAlign w:val="center"/>
          </w:tcPr>
          <w:p>
            <w:pPr>
              <w:pStyle w:val="22"/>
              <w:bidi w:val="0"/>
              <w:jc w:val="center"/>
              <w:rPr>
                <w:color w:val="0000FF"/>
              </w:rPr>
            </w:pPr>
          </w:p>
        </w:tc>
        <w:tc>
          <w:tcPr>
            <w:tcW w:w="2149" w:type="dxa"/>
            <w:tcBorders>
              <w:tl2br w:val="nil"/>
              <w:tr2bl w:val="nil"/>
            </w:tcBorders>
            <w:vAlign w:val="center"/>
          </w:tcPr>
          <w:p>
            <w:pPr>
              <w:pStyle w:val="22"/>
              <w:bidi w:val="0"/>
              <w:jc w:val="center"/>
              <w:rPr>
                <w:color w:val="0000FF"/>
              </w:rPr>
            </w:pPr>
          </w:p>
        </w:tc>
        <w:tc>
          <w:tcPr>
            <w:tcW w:w="1870" w:type="dxa"/>
            <w:tcBorders>
              <w:tl2br w:val="nil"/>
              <w:tr2bl w:val="nil"/>
            </w:tcBorders>
            <w:vAlign w:val="center"/>
          </w:tcPr>
          <w:p>
            <w:pPr>
              <w:pStyle w:val="22"/>
              <w:bidi w:val="0"/>
              <w:rPr>
                <w:rFonts w:hint="eastAsia"/>
                <w:color w:val="0000FF"/>
                <w:lang w:val="en-US" w:eastAsia="zh-CN"/>
              </w:rPr>
            </w:pPr>
            <w:r>
              <w:rPr>
                <w:rFonts w:hint="eastAsia"/>
                <w:color w:val="0000FF"/>
                <w:lang w:val="en-US" w:eastAsia="zh-CN"/>
              </w:rPr>
              <w:t>0.011075</w:t>
            </w:r>
          </w:p>
        </w:tc>
      </w:tr>
    </w:tbl>
    <w:p>
      <w:pPr>
        <w:bidi w:val="0"/>
        <w:rPr>
          <w:color w:val="0000FF"/>
        </w:rPr>
      </w:pPr>
      <w:r>
        <w:rPr>
          <w:color w:val="0000FF"/>
        </w:rPr>
        <w:t>由上表可知Q＜1，则该项目环境风险潜势为Ⅰ。</w:t>
      </w:r>
    </w:p>
    <w:p>
      <w:pPr>
        <w:bidi w:val="0"/>
        <w:rPr>
          <w:color w:val="0000FF"/>
        </w:rPr>
      </w:pPr>
      <w:r>
        <w:rPr>
          <w:color w:val="0000FF"/>
        </w:rPr>
        <w:t>（3）评价等级</w:t>
      </w:r>
    </w:p>
    <w:p>
      <w:pPr>
        <w:pStyle w:val="22"/>
        <w:bidi w:val="0"/>
        <w:rPr>
          <w:b/>
          <w:bCs/>
          <w:color w:val="0000FF"/>
        </w:rPr>
      </w:pPr>
      <w:r>
        <w:rPr>
          <w:b/>
          <w:bCs/>
          <w:color w:val="0000FF"/>
        </w:rPr>
        <w:t>表5.2-</w:t>
      </w:r>
      <w:r>
        <w:rPr>
          <w:rFonts w:hint="eastAsia"/>
          <w:b/>
          <w:bCs/>
          <w:color w:val="0000FF"/>
          <w:lang w:val="en-US" w:eastAsia="zh-CN"/>
        </w:rPr>
        <w:t>16</w:t>
      </w:r>
      <w:r>
        <w:rPr>
          <w:b/>
          <w:bCs/>
          <w:color w:val="0000FF"/>
        </w:rPr>
        <w:t>环境风险评价工作级别划分表</w:t>
      </w:r>
    </w:p>
    <w:p>
      <w:pPr>
        <w:spacing w:line="51" w:lineRule="exact"/>
        <w:rPr>
          <w:color w:val="0000FF"/>
        </w:rPr>
      </w:pP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1"/>
        <w:gridCol w:w="1701"/>
        <w:gridCol w:w="1418"/>
        <w:gridCol w:w="1984"/>
        <w:gridCol w:w="14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1951" w:type="dxa"/>
            <w:tcBorders>
              <w:tl2br w:val="nil"/>
              <w:tr2bl w:val="nil"/>
            </w:tcBorders>
            <w:vAlign w:val="center"/>
          </w:tcPr>
          <w:p>
            <w:pPr>
              <w:pStyle w:val="22"/>
              <w:bidi w:val="0"/>
              <w:jc w:val="center"/>
              <w:rPr>
                <w:color w:val="0000FF"/>
              </w:rPr>
            </w:pPr>
            <w:r>
              <w:rPr>
                <w:color w:val="0000FF"/>
              </w:rPr>
              <w:t>环境风险潜势</w:t>
            </w:r>
          </w:p>
        </w:tc>
        <w:tc>
          <w:tcPr>
            <w:tcW w:w="1701" w:type="dxa"/>
            <w:tcBorders>
              <w:tl2br w:val="nil"/>
              <w:tr2bl w:val="nil"/>
            </w:tcBorders>
            <w:vAlign w:val="center"/>
          </w:tcPr>
          <w:p>
            <w:pPr>
              <w:pStyle w:val="22"/>
              <w:bidi w:val="0"/>
              <w:jc w:val="center"/>
              <w:rPr>
                <w:color w:val="0000FF"/>
              </w:rPr>
            </w:pPr>
            <w:r>
              <w:rPr>
                <w:color w:val="0000FF"/>
              </w:rPr>
              <w:t>Ⅳ、Ⅳ+</w:t>
            </w:r>
          </w:p>
        </w:tc>
        <w:tc>
          <w:tcPr>
            <w:tcW w:w="1418" w:type="dxa"/>
            <w:tcBorders>
              <w:tl2br w:val="nil"/>
              <w:tr2bl w:val="nil"/>
            </w:tcBorders>
            <w:vAlign w:val="center"/>
          </w:tcPr>
          <w:p>
            <w:pPr>
              <w:pStyle w:val="22"/>
              <w:bidi w:val="0"/>
              <w:jc w:val="center"/>
              <w:rPr>
                <w:color w:val="0000FF"/>
              </w:rPr>
            </w:pPr>
            <w:r>
              <w:rPr>
                <w:color w:val="0000FF"/>
              </w:rPr>
              <w:t>Ⅲ</w:t>
            </w:r>
          </w:p>
        </w:tc>
        <w:tc>
          <w:tcPr>
            <w:tcW w:w="1984" w:type="dxa"/>
            <w:tcBorders>
              <w:tl2br w:val="nil"/>
              <w:tr2bl w:val="nil"/>
            </w:tcBorders>
            <w:vAlign w:val="center"/>
          </w:tcPr>
          <w:p>
            <w:pPr>
              <w:pStyle w:val="22"/>
              <w:bidi w:val="0"/>
              <w:jc w:val="center"/>
              <w:rPr>
                <w:color w:val="0000FF"/>
              </w:rPr>
            </w:pPr>
            <w:r>
              <w:rPr>
                <w:color w:val="0000FF"/>
              </w:rPr>
              <w:t>Ⅱ</w:t>
            </w:r>
          </w:p>
        </w:tc>
        <w:tc>
          <w:tcPr>
            <w:tcW w:w="1468" w:type="dxa"/>
            <w:tcBorders>
              <w:tl2br w:val="nil"/>
              <w:tr2bl w:val="nil"/>
            </w:tcBorders>
            <w:vAlign w:val="center"/>
          </w:tcPr>
          <w:p>
            <w:pPr>
              <w:pStyle w:val="22"/>
              <w:bidi w:val="0"/>
              <w:jc w:val="center"/>
              <w:rPr>
                <w:color w:val="0000FF"/>
              </w:rPr>
            </w:pPr>
            <w:r>
              <w:rPr>
                <w:color w:val="0000FF"/>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1951" w:type="dxa"/>
            <w:tcBorders>
              <w:tl2br w:val="nil"/>
              <w:tr2bl w:val="nil"/>
            </w:tcBorders>
            <w:vAlign w:val="center"/>
          </w:tcPr>
          <w:p>
            <w:pPr>
              <w:pStyle w:val="22"/>
              <w:bidi w:val="0"/>
              <w:jc w:val="center"/>
              <w:rPr>
                <w:color w:val="0000FF"/>
              </w:rPr>
            </w:pPr>
            <w:r>
              <w:rPr>
                <w:color w:val="0000FF"/>
              </w:rPr>
              <w:t>评价工作等级</w:t>
            </w:r>
          </w:p>
        </w:tc>
        <w:tc>
          <w:tcPr>
            <w:tcW w:w="1701" w:type="dxa"/>
            <w:tcBorders>
              <w:tl2br w:val="nil"/>
              <w:tr2bl w:val="nil"/>
            </w:tcBorders>
            <w:vAlign w:val="center"/>
          </w:tcPr>
          <w:p>
            <w:pPr>
              <w:pStyle w:val="22"/>
              <w:bidi w:val="0"/>
              <w:jc w:val="center"/>
              <w:rPr>
                <w:color w:val="0000FF"/>
              </w:rPr>
            </w:pPr>
            <w:r>
              <w:rPr>
                <w:color w:val="0000FF"/>
              </w:rPr>
              <w:t>一</w:t>
            </w:r>
          </w:p>
        </w:tc>
        <w:tc>
          <w:tcPr>
            <w:tcW w:w="1418" w:type="dxa"/>
            <w:tcBorders>
              <w:tl2br w:val="nil"/>
              <w:tr2bl w:val="nil"/>
            </w:tcBorders>
            <w:vAlign w:val="center"/>
          </w:tcPr>
          <w:p>
            <w:pPr>
              <w:pStyle w:val="22"/>
              <w:bidi w:val="0"/>
              <w:jc w:val="center"/>
              <w:rPr>
                <w:color w:val="0000FF"/>
              </w:rPr>
            </w:pPr>
            <w:r>
              <w:rPr>
                <w:color w:val="0000FF"/>
              </w:rPr>
              <w:t>二</w:t>
            </w:r>
          </w:p>
        </w:tc>
        <w:tc>
          <w:tcPr>
            <w:tcW w:w="1984" w:type="dxa"/>
            <w:tcBorders>
              <w:tl2br w:val="nil"/>
              <w:tr2bl w:val="nil"/>
            </w:tcBorders>
            <w:vAlign w:val="center"/>
          </w:tcPr>
          <w:p>
            <w:pPr>
              <w:pStyle w:val="22"/>
              <w:bidi w:val="0"/>
              <w:jc w:val="center"/>
              <w:rPr>
                <w:color w:val="0000FF"/>
              </w:rPr>
            </w:pPr>
            <w:r>
              <w:rPr>
                <w:color w:val="0000FF"/>
              </w:rPr>
              <w:t>三</w:t>
            </w:r>
          </w:p>
        </w:tc>
        <w:tc>
          <w:tcPr>
            <w:tcW w:w="1468" w:type="dxa"/>
            <w:tcBorders>
              <w:tl2br w:val="nil"/>
              <w:tr2bl w:val="nil"/>
            </w:tcBorders>
            <w:vAlign w:val="center"/>
          </w:tcPr>
          <w:p>
            <w:pPr>
              <w:pStyle w:val="22"/>
              <w:bidi w:val="0"/>
              <w:jc w:val="center"/>
              <w:rPr>
                <w:color w:val="0000FF"/>
              </w:rPr>
            </w:pPr>
            <w:r>
              <w:rPr>
                <w:color w:val="0000FF"/>
              </w:rPr>
              <w:t>简单分析a</w:t>
            </w:r>
          </w:p>
        </w:tc>
      </w:tr>
    </w:tbl>
    <w:p>
      <w:pPr>
        <w:pStyle w:val="22"/>
        <w:bidi w:val="0"/>
        <w:jc w:val="left"/>
        <w:rPr>
          <w:color w:val="0000FF"/>
        </w:rPr>
      </w:pPr>
      <w:r>
        <w:rPr>
          <w:color w:val="0000FF"/>
        </w:rPr>
        <w:t>a是相对于详细评价工作内容而言，在描述危险物质、环境影响途径、环境危害后果、风险防范措施等方面给出定性的说明。见附录A。</w:t>
      </w:r>
    </w:p>
    <w:p>
      <w:pPr>
        <w:bidi w:val="0"/>
        <w:rPr>
          <w:color w:val="0000FF"/>
        </w:rPr>
      </w:pPr>
      <w:r>
        <w:rPr>
          <w:color w:val="0000FF"/>
        </w:rPr>
        <w:t>综上所述，本项目的环境风险仅做简单分析。</w:t>
      </w:r>
    </w:p>
    <w:p>
      <w:pPr>
        <w:pStyle w:val="7"/>
        <w:bidi w:val="0"/>
        <w:rPr>
          <w:color w:val="0000FF"/>
        </w:rPr>
      </w:pPr>
      <w:r>
        <w:rPr>
          <w:color w:val="0000FF"/>
        </w:rPr>
        <w:t>5.</w:t>
      </w:r>
      <w:r>
        <w:rPr>
          <w:rFonts w:hint="eastAsia"/>
          <w:color w:val="0000FF"/>
          <w:lang w:val="en-US" w:eastAsia="zh-CN"/>
        </w:rPr>
        <w:t>2</w:t>
      </w:r>
      <w:r>
        <w:rPr>
          <w:color w:val="0000FF"/>
        </w:rPr>
        <w:t>.</w:t>
      </w:r>
      <w:r>
        <w:rPr>
          <w:rFonts w:hint="eastAsia"/>
          <w:color w:val="0000FF"/>
          <w:lang w:val="en-US" w:eastAsia="zh-CN"/>
        </w:rPr>
        <w:t>7.2</w:t>
      </w:r>
      <w:r>
        <w:rPr>
          <w:color w:val="0000FF"/>
        </w:rPr>
        <w:t>环境风险识别</w:t>
      </w:r>
    </w:p>
    <w:p>
      <w:pPr>
        <w:bidi w:val="0"/>
        <w:rPr>
          <w:color w:val="0000FF"/>
        </w:rPr>
      </w:pPr>
      <w:r>
        <w:rPr>
          <w:color w:val="0000FF"/>
        </w:rPr>
        <w:t>本项目运营过程可能产生的环境风险主要有：</w:t>
      </w:r>
    </w:p>
    <w:p>
      <w:pPr>
        <w:bidi w:val="0"/>
        <w:rPr>
          <w:color w:val="0000FF"/>
        </w:rPr>
      </w:pPr>
      <w:r>
        <w:rPr>
          <w:color w:val="0000FF"/>
        </w:rPr>
        <w:t>（1）化学品贮存、使用风险</w:t>
      </w:r>
    </w:p>
    <w:p>
      <w:pPr>
        <w:bidi w:val="0"/>
        <w:rPr>
          <w:color w:val="0000FF"/>
          <w:highlight w:val="none"/>
        </w:rPr>
      </w:pPr>
      <w:r>
        <w:rPr>
          <w:color w:val="0000FF"/>
          <w:highlight w:val="none"/>
        </w:rPr>
        <w:t>本项目实验室使用无机酸碱类试剂、无机试剂、有机溶剂类、有机试剂等，均属于风险物质，乙醚消耗量500mL×</w:t>
      </w:r>
      <w:r>
        <w:rPr>
          <w:rFonts w:hint="eastAsia"/>
          <w:color w:val="0000FF"/>
          <w:highlight w:val="none"/>
          <w:lang w:val="en-US" w:eastAsia="zh-CN"/>
        </w:rPr>
        <w:t>5</w:t>
      </w:r>
      <w:r>
        <w:rPr>
          <w:color w:val="0000FF"/>
          <w:highlight w:val="none"/>
        </w:rPr>
        <w:t>瓶、三氯甲烷年消耗量500mL×</w:t>
      </w:r>
      <w:r>
        <w:rPr>
          <w:rFonts w:hint="eastAsia"/>
          <w:color w:val="0000FF"/>
          <w:highlight w:val="none"/>
          <w:lang w:val="en-US" w:eastAsia="zh-CN"/>
        </w:rPr>
        <w:t>3</w:t>
      </w:r>
      <w:r>
        <w:rPr>
          <w:color w:val="0000FF"/>
          <w:highlight w:val="none"/>
        </w:rPr>
        <w:t>瓶、异丙醇年消耗量500mL×</w:t>
      </w:r>
      <w:r>
        <w:rPr>
          <w:rFonts w:hint="eastAsia"/>
          <w:color w:val="0000FF"/>
          <w:highlight w:val="none"/>
          <w:lang w:val="en-US" w:eastAsia="zh-CN"/>
        </w:rPr>
        <w:t>1</w:t>
      </w:r>
      <w:r>
        <w:rPr>
          <w:color w:val="0000FF"/>
          <w:highlight w:val="none"/>
        </w:rPr>
        <w:t>瓶，本项目非生产类企业，上述试剂使用量均较小，且分批购进储存，不构成重大危险源。</w:t>
      </w:r>
    </w:p>
    <w:p>
      <w:pPr>
        <w:bidi w:val="0"/>
        <w:rPr>
          <w:color w:val="0000FF"/>
        </w:rPr>
      </w:pPr>
      <w:r>
        <w:rPr>
          <w:color w:val="0000FF"/>
        </w:rPr>
        <w:t>（2）生物安全风险</w:t>
      </w:r>
    </w:p>
    <w:p>
      <w:pPr>
        <w:bidi w:val="0"/>
        <w:rPr>
          <w:color w:val="0000FF"/>
        </w:rPr>
      </w:pPr>
      <w:r>
        <w:rPr>
          <w:color w:val="0000FF"/>
        </w:rPr>
        <w:t>检验过程中将产生医疗废物，微生物实验室的核心问题是病原微生物的感染或污染，其感染的主要途径有接触性感染（通过体液、血液和食物的感染）和气溶胶感染（尘埃、飞沫等）。一旦病原微生物泄漏到外部环境，在环境及人群中传播将会造成事故风险。</w:t>
      </w:r>
    </w:p>
    <w:p>
      <w:pPr>
        <w:bidi w:val="0"/>
        <w:rPr>
          <w:color w:val="0000FF"/>
        </w:rPr>
      </w:pPr>
      <w:r>
        <w:rPr>
          <w:color w:val="0000FF"/>
        </w:rPr>
        <w:t>（3）污水处理站风险</w:t>
      </w:r>
    </w:p>
    <w:p>
      <w:pPr>
        <w:bidi w:val="0"/>
        <w:rPr>
          <w:color w:val="0000FF"/>
        </w:rPr>
      </w:pPr>
      <w:r>
        <w:rPr>
          <w:color w:val="0000FF"/>
        </w:rPr>
        <w:t>本项目废水若未经处理或未处理达标直接经市政污水管网排入</w:t>
      </w:r>
      <w:r>
        <w:rPr>
          <w:rFonts w:hint="eastAsia"/>
          <w:color w:val="0000FF"/>
          <w:lang w:val="en-US" w:eastAsia="zh-CN"/>
        </w:rPr>
        <w:t>225团</w:t>
      </w:r>
      <w:r>
        <w:rPr>
          <w:color w:val="0000FF"/>
        </w:rPr>
        <w:t>污水处理厂，则废水中的传染性细菌、病毒等病原性微生物和有毒有害的物理化学污染物将会对</w:t>
      </w:r>
      <w:r>
        <w:rPr>
          <w:rFonts w:hint="eastAsia"/>
          <w:color w:val="0000FF"/>
          <w:lang w:val="en-US" w:eastAsia="zh-CN"/>
        </w:rPr>
        <w:t>225团</w:t>
      </w:r>
      <w:r>
        <w:rPr>
          <w:color w:val="0000FF"/>
        </w:rPr>
        <w:t>污水处理厂造成影响。</w:t>
      </w:r>
    </w:p>
    <w:p>
      <w:pPr>
        <w:bidi w:val="0"/>
        <w:rPr>
          <w:color w:val="0000FF"/>
        </w:rPr>
      </w:pPr>
      <w:r>
        <w:rPr>
          <w:color w:val="0000FF"/>
        </w:rPr>
        <w:t>（4）二氧化氯发生器风险</w:t>
      </w:r>
    </w:p>
    <w:p>
      <w:pPr>
        <w:bidi w:val="0"/>
        <w:rPr>
          <w:color w:val="0000FF"/>
        </w:rPr>
      </w:pPr>
      <w:r>
        <w:rPr>
          <w:color w:val="0000FF"/>
        </w:rPr>
        <w:t>二氧化氯具有强氧化性，化学性质非常活泼，见光或受热分解时或与易被氧化的物质接触时往往会发生爆炸，当二氧化氯发生器发生泄漏，将会影响人员的身体健康、环境空气质量和废水消毒效果。</w:t>
      </w:r>
    </w:p>
    <w:p>
      <w:pPr>
        <w:pStyle w:val="7"/>
        <w:bidi w:val="0"/>
        <w:rPr>
          <w:color w:val="0000FF"/>
        </w:rPr>
      </w:pPr>
      <w:r>
        <w:rPr>
          <w:color w:val="0000FF"/>
        </w:rPr>
        <w:t>5.</w:t>
      </w:r>
      <w:r>
        <w:rPr>
          <w:rFonts w:hint="eastAsia"/>
          <w:color w:val="0000FF"/>
          <w:lang w:val="en-US" w:eastAsia="zh-CN"/>
        </w:rPr>
        <w:t>2</w:t>
      </w:r>
      <w:r>
        <w:rPr>
          <w:color w:val="0000FF"/>
        </w:rPr>
        <w:t>.</w:t>
      </w:r>
      <w:r>
        <w:rPr>
          <w:rFonts w:hint="eastAsia"/>
          <w:color w:val="0000FF"/>
          <w:lang w:val="en-US" w:eastAsia="zh-CN"/>
        </w:rPr>
        <w:t>7.3</w:t>
      </w:r>
      <w:r>
        <w:rPr>
          <w:color w:val="0000FF"/>
        </w:rPr>
        <w:t>风险事故分析</w:t>
      </w:r>
    </w:p>
    <w:p>
      <w:pPr>
        <w:bidi w:val="0"/>
        <w:rPr>
          <w:color w:val="0000FF"/>
        </w:rPr>
      </w:pPr>
      <w:r>
        <w:rPr>
          <w:color w:val="0000FF"/>
        </w:rPr>
        <w:t>（1）化学品贮存、使用过程风险事故分析</w:t>
      </w:r>
    </w:p>
    <w:p>
      <w:pPr>
        <w:bidi w:val="0"/>
        <w:rPr>
          <w:color w:val="0000FF"/>
        </w:rPr>
      </w:pPr>
      <w:r>
        <w:rPr>
          <w:color w:val="0000FF"/>
        </w:rPr>
        <w:t>本项目使用化学品由人工输送至使用点，在贮存、使用过程中可能潜在的风险事故如下：</w:t>
      </w:r>
    </w:p>
    <w:p>
      <w:pPr>
        <w:bidi w:val="0"/>
        <w:rPr>
          <w:color w:val="0000FF"/>
        </w:rPr>
      </w:pPr>
      <w:r>
        <w:rPr>
          <w:color w:val="0000FF"/>
        </w:rPr>
        <w:t>①由于贮存装置破裂或操作不当，造成泄漏，导致人员中毒和环境污染。</w:t>
      </w:r>
    </w:p>
    <w:p>
      <w:pPr>
        <w:bidi w:val="0"/>
        <w:rPr>
          <w:color w:val="0000FF"/>
        </w:rPr>
      </w:pPr>
      <w:r>
        <w:rPr>
          <w:color w:val="0000FF"/>
        </w:rPr>
        <w:t>②在使用过程中由于操作人员操作不当造成化学品泄漏。</w:t>
      </w:r>
    </w:p>
    <w:p>
      <w:pPr>
        <w:bidi w:val="0"/>
        <w:rPr>
          <w:color w:val="0000FF"/>
        </w:rPr>
      </w:pPr>
      <w:r>
        <w:rPr>
          <w:color w:val="0000FF"/>
        </w:rPr>
        <w:t>（2）生物安全风险事故分析</w:t>
      </w:r>
    </w:p>
    <w:p>
      <w:pPr>
        <w:bidi w:val="0"/>
        <w:rPr>
          <w:color w:val="0000FF"/>
        </w:rPr>
      </w:pPr>
      <w:r>
        <w:rPr>
          <w:color w:val="0000FF"/>
        </w:rPr>
        <w:t>医疗废物中可能存在细菌、病毒、化学污染物等有害物质，有医疗废物具有空间污染、传染和潜伏性污染等特征，其病毒、病菌的危害性是普通生活垃圾的几十、几百甚至上千倍，且基本没有回收再利用的价值。据检测，医疗废物中存在着大量的病毒、病菌等，医疗废物引起的交叉感染占社会交叉感染率的20%，存在极大的危险性。另外，项目实验室对危险物质、样品等的存储、使用和管理都做了相当严格的规定和防范，但是仍可能出现人为预料不到的各种因素导致风险事故的发生。类比调查国内外生物安全实验室运行情况，曾经发生了几起实验室病原微生物污染事件，造成了严重的人员伤亡和财产损失。</w:t>
      </w:r>
    </w:p>
    <w:p>
      <w:pPr>
        <w:bidi w:val="0"/>
        <w:rPr>
          <w:color w:val="0000FF"/>
        </w:rPr>
      </w:pPr>
      <w:r>
        <w:rPr>
          <w:color w:val="0000FF"/>
        </w:rPr>
        <w:t>实验室炭疽病菌泄漏事故</w:t>
      </w:r>
    </w:p>
    <w:p>
      <w:pPr>
        <w:bidi w:val="0"/>
        <w:rPr>
          <w:color w:val="0000FF"/>
        </w:rPr>
      </w:pPr>
      <w:r>
        <w:rPr>
          <w:color w:val="0000FF"/>
        </w:rPr>
        <w:t>1979年前苏联明斯克市一所军事微生物研究实验室曾经发生意外泄漏炭疽杆菌的事故，炭疽杆菌以气溶胶形式释放，通过空气进行传播，后来受影响地区出现了至少96例通过</w:t>
      </w:r>
      <w:r>
        <w:rPr>
          <w:rFonts w:hint="eastAsia"/>
          <w:color w:val="0000FF"/>
          <w:lang w:eastAsia="zh-CN"/>
        </w:rPr>
        <w:t>呼吸</w:t>
      </w:r>
      <w:r>
        <w:rPr>
          <w:color w:val="0000FF"/>
        </w:rPr>
        <w:t>感染炭疽杆菌的病例，其中69名感染者因此丧生，泄漏事故给当地环境及人群造成了严重的危害。</w:t>
      </w:r>
    </w:p>
    <w:p>
      <w:pPr>
        <w:bidi w:val="0"/>
        <w:rPr>
          <w:color w:val="0000FF"/>
        </w:rPr>
      </w:pPr>
      <w:r>
        <w:rPr>
          <w:color w:val="0000FF"/>
        </w:rPr>
        <w:t>（3）污水处理站事故排放</w:t>
      </w:r>
    </w:p>
    <w:p>
      <w:pPr>
        <w:bidi w:val="0"/>
        <w:rPr>
          <w:color w:val="0000FF"/>
        </w:rPr>
      </w:pPr>
      <w:r>
        <w:rPr>
          <w:color w:val="0000FF"/>
        </w:rPr>
        <w:t>本项目废水若未经处理或未处理达标直接经市政污水管网排入</w:t>
      </w:r>
      <w:r>
        <w:rPr>
          <w:rFonts w:hint="eastAsia"/>
          <w:color w:val="0000FF"/>
          <w:lang w:val="en-US" w:eastAsia="zh-CN"/>
        </w:rPr>
        <w:t>225团</w:t>
      </w:r>
      <w:r>
        <w:rPr>
          <w:color w:val="0000FF"/>
        </w:rPr>
        <w:t>污水处理厂，则废水中的传染性细菌、病毒等病原性微生物和有毒有害的物理化学污染物将会对</w:t>
      </w:r>
      <w:r>
        <w:rPr>
          <w:rFonts w:hint="eastAsia"/>
          <w:color w:val="0000FF"/>
          <w:lang w:val="en-US" w:eastAsia="zh-CN"/>
        </w:rPr>
        <w:t>225团</w:t>
      </w:r>
      <w:r>
        <w:rPr>
          <w:color w:val="0000FF"/>
        </w:rPr>
        <w:t>污水处理厂造成影响。</w:t>
      </w:r>
    </w:p>
    <w:p>
      <w:pPr>
        <w:bidi w:val="0"/>
        <w:rPr>
          <w:color w:val="0000FF"/>
        </w:rPr>
      </w:pPr>
      <w:r>
        <w:rPr>
          <w:color w:val="0000FF"/>
        </w:rPr>
        <w:t>（4）二氧化氯发生器风险</w:t>
      </w:r>
    </w:p>
    <w:p>
      <w:pPr>
        <w:spacing w:before="78" w:line="360" w:lineRule="auto"/>
        <w:ind w:left="22" w:right="45" w:firstLine="1"/>
        <w:rPr>
          <w:rFonts w:ascii="宋体" w:hAnsi="宋体" w:eastAsia="宋体" w:cs="宋体"/>
          <w:color w:val="0000FF"/>
          <w:sz w:val="24"/>
          <w:szCs w:val="24"/>
        </w:rPr>
      </w:pPr>
      <w:r>
        <w:rPr>
          <w:color w:val="0000FF"/>
        </w:rPr>
        <w:t>污水处理站使用的消毒剂是二氧化氯，采用现场二氧化氯发生器制取，无储存量，根据相关资料，二氧化氯的临时就地制造使用可大大降低其危险性。项目所需二氧化氯量较小，且二氧化氯在制取过程中一般不会发生泄漏。如果制取过程中二氧化氯泄漏，当其量达到一定程度时，可导致人员中毒。二氧化氯具有强氧化性，纯二氧化氯液体与气体性质极不稳定，在空气中二氧化氯浓度超过10%时就具有很高的爆炸性。由于二氧化氯的化学性质非常活泼，见光或受热分解时或与易被氧化的物质接触时往往会发生爆炸。燃烧分解产物为氯化氢。其次，二</w:t>
      </w:r>
      <w:r>
        <w:rPr>
          <w:rFonts w:ascii="宋体" w:hAnsi="宋体" w:eastAsia="宋体" w:cs="宋体"/>
          <w:color w:val="0000FF"/>
          <w:spacing w:val="-2"/>
          <w:sz w:val="24"/>
          <w:szCs w:val="24"/>
        </w:rPr>
        <w:t>氧化氯具有强烈的刺激性，人体接触二氧化氯气体后主要引起眼和呼吸道</w:t>
      </w:r>
      <w:r>
        <w:rPr>
          <w:rFonts w:hint="eastAsia" w:ascii="宋体" w:hAnsi="宋体" w:cs="宋体"/>
          <w:color w:val="0000FF"/>
          <w:spacing w:val="-2"/>
          <w:sz w:val="24"/>
          <w:szCs w:val="24"/>
          <w:lang w:eastAsia="zh-CN"/>
        </w:rPr>
        <w:t>刺激</w:t>
      </w:r>
      <w:r>
        <w:rPr>
          <w:rFonts w:ascii="宋体" w:hAnsi="宋体" w:eastAsia="宋体" w:cs="宋体"/>
          <w:color w:val="0000FF"/>
          <w:spacing w:val="-2"/>
          <w:sz w:val="24"/>
          <w:szCs w:val="24"/>
        </w:rPr>
        <w:t>，</w:t>
      </w:r>
      <w:r>
        <w:rPr>
          <w:rFonts w:ascii="宋体" w:hAnsi="宋体" w:eastAsia="宋体" w:cs="宋体"/>
          <w:color w:val="0000FF"/>
          <w:spacing w:val="-7"/>
          <w:sz w:val="24"/>
          <w:szCs w:val="24"/>
        </w:rPr>
        <w:t>吸入高浓度可发生肺水肿，能致死；对呼吸道产生严重损伤，可能对皮肤有刺激</w:t>
      </w:r>
      <w:r>
        <w:rPr>
          <w:rFonts w:ascii="宋体" w:hAnsi="宋体" w:eastAsia="宋体" w:cs="宋体"/>
          <w:color w:val="0000FF"/>
          <w:spacing w:val="-8"/>
          <w:sz w:val="24"/>
          <w:szCs w:val="24"/>
        </w:rPr>
        <w:t>性；皮肤接触或摄入二氧化氯的高浓度溶液，可能引起强烈刺激和腐蚀，长期接</w:t>
      </w:r>
      <w:r>
        <w:rPr>
          <w:rFonts w:ascii="宋体" w:hAnsi="宋体" w:eastAsia="宋体" w:cs="宋体"/>
          <w:color w:val="0000FF"/>
          <w:spacing w:val="-7"/>
          <w:sz w:val="24"/>
          <w:szCs w:val="24"/>
        </w:rPr>
        <w:t>触可能导致支气管炎；并且二氧化氯泄漏还会影响污水的消毒效果，使项目污水</w:t>
      </w:r>
      <w:r>
        <w:rPr>
          <w:rFonts w:ascii="宋体" w:hAnsi="宋体" w:eastAsia="宋体" w:cs="宋体"/>
          <w:color w:val="0000FF"/>
          <w:spacing w:val="-1"/>
          <w:sz w:val="24"/>
          <w:szCs w:val="24"/>
        </w:rPr>
        <w:t>超标排入市政污水管网。</w:t>
      </w:r>
    </w:p>
    <w:p>
      <w:pPr>
        <w:pStyle w:val="7"/>
        <w:bidi w:val="0"/>
        <w:rPr>
          <w:color w:val="0000FF"/>
        </w:rPr>
      </w:pPr>
      <w:r>
        <w:rPr>
          <w:color w:val="0000FF"/>
        </w:rPr>
        <w:t>5.</w:t>
      </w:r>
      <w:r>
        <w:rPr>
          <w:rFonts w:hint="eastAsia"/>
          <w:color w:val="0000FF"/>
          <w:lang w:val="en-US" w:eastAsia="zh-CN"/>
        </w:rPr>
        <w:t>2</w:t>
      </w:r>
      <w:r>
        <w:rPr>
          <w:color w:val="0000FF"/>
        </w:rPr>
        <w:t>.</w:t>
      </w:r>
      <w:r>
        <w:rPr>
          <w:rFonts w:hint="eastAsia"/>
          <w:color w:val="0000FF"/>
          <w:lang w:val="en-US" w:eastAsia="zh-CN"/>
        </w:rPr>
        <w:t>7.4</w:t>
      </w:r>
      <w:r>
        <w:rPr>
          <w:color w:val="0000FF"/>
        </w:rPr>
        <w:t>风险防范措施</w:t>
      </w:r>
    </w:p>
    <w:p>
      <w:pPr>
        <w:bidi w:val="0"/>
        <w:rPr>
          <w:color w:val="0000FF"/>
        </w:rPr>
      </w:pPr>
      <w:r>
        <w:rPr>
          <w:rFonts w:hint="eastAsia"/>
          <w:color w:val="0000FF"/>
          <w:lang w:eastAsia="zh-CN"/>
        </w:rPr>
        <w:t>（</w:t>
      </w:r>
      <w:r>
        <w:rPr>
          <w:rFonts w:hint="eastAsia"/>
          <w:color w:val="0000FF"/>
          <w:lang w:val="en-US" w:eastAsia="zh-CN"/>
        </w:rPr>
        <w:t>1</w:t>
      </w:r>
      <w:r>
        <w:rPr>
          <w:rFonts w:hint="eastAsia"/>
          <w:color w:val="0000FF"/>
          <w:lang w:eastAsia="zh-CN"/>
        </w:rPr>
        <w:t>）</w:t>
      </w:r>
      <w:r>
        <w:rPr>
          <w:color w:val="0000FF"/>
        </w:rPr>
        <w:t>危险化学品风险防范措施</w:t>
      </w:r>
    </w:p>
    <w:p>
      <w:pPr>
        <w:bidi w:val="0"/>
        <w:rPr>
          <w:color w:val="0000FF"/>
        </w:rPr>
      </w:pPr>
      <w:r>
        <w:rPr>
          <w:color w:val="0000FF"/>
        </w:rPr>
        <w:t>对于危险化学品的购买、储存、保管、使用等需按照《危险化学品安全管理条例》的规定进行管理。危险化学品中剧毒化学品必须向当地公安机关申请领取购买凭证，凭证购买。危险化学品必须储存在危险品库，其储存方式、方法与储存数量必须符合国家有关规定，并由专人管理，危险化学品出入库必须进行核查登记，并定期检查库存，剧毒化学品的储存必须在专用仓库内单独存放，</w:t>
      </w:r>
      <w:r>
        <w:rPr>
          <w:rFonts w:hint="eastAsia"/>
          <w:color w:val="0000FF"/>
          <w:lang w:eastAsia="zh-CN"/>
        </w:rPr>
        <w:t>实行</w:t>
      </w:r>
      <w:r>
        <w:rPr>
          <w:color w:val="0000FF"/>
        </w:rPr>
        <w:t>双人收发、双人保管制度。储存单位应当将储存剧毒化学品数量、地点及管理人员的情况报当地公安部门和负责危险化学品安全监督管理综合部门备案。危险化学品</w:t>
      </w:r>
      <w:r>
        <w:rPr>
          <w:rFonts w:hint="eastAsia"/>
          <w:color w:val="0000FF"/>
          <w:lang w:eastAsia="zh-CN"/>
        </w:rPr>
        <w:t>仓库</w:t>
      </w:r>
      <w:r>
        <w:rPr>
          <w:color w:val="0000FF"/>
        </w:rPr>
        <w:t>应当符合国家相关规定（安全、消防）要求，设置明显标志。危险化学品专用仓库的储存设备和安全设施应当定期检测。而对于精神药品和麻醉药品，则根据《麻醉药品管理办法》中的要求购买、储存、使用，其检查监督由卫生部门管理。要求一般药品和毒、麻药品分开储存，专人负责药品收发、验库、使用登记、报废等工作，建立药品和药剂的管理办法，只要严格按照管理办法执行，其化学危险品不会对周围环境和人群健康造成损害。</w:t>
      </w:r>
    </w:p>
    <w:p>
      <w:pPr>
        <w:bidi w:val="0"/>
        <w:rPr>
          <w:color w:val="0000FF"/>
        </w:rPr>
      </w:pPr>
      <w:r>
        <w:rPr>
          <w:rFonts w:hint="eastAsia"/>
          <w:color w:val="0000FF"/>
          <w:lang w:eastAsia="zh-CN"/>
        </w:rPr>
        <w:t>（</w:t>
      </w:r>
      <w:r>
        <w:rPr>
          <w:rFonts w:hint="eastAsia"/>
          <w:color w:val="0000FF"/>
          <w:lang w:val="en-US" w:eastAsia="zh-CN"/>
        </w:rPr>
        <w:t>2</w:t>
      </w:r>
      <w:r>
        <w:rPr>
          <w:rFonts w:hint="eastAsia"/>
          <w:color w:val="0000FF"/>
          <w:lang w:eastAsia="zh-CN"/>
        </w:rPr>
        <w:t>）</w:t>
      </w:r>
      <w:r>
        <w:rPr>
          <w:color w:val="0000FF"/>
        </w:rPr>
        <w:t>生物安全风险防范措施</w:t>
      </w:r>
    </w:p>
    <w:p>
      <w:pPr>
        <w:bidi w:val="0"/>
        <w:rPr>
          <w:color w:val="0000FF"/>
        </w:rPr>
      </w:pPr>
      <w:r>
        <w:rPr>
          <w:color w:val="0000FF"/>
        </w:rPr>
        <w:t>1）医疗废物风险防范措施</w:t>
      </w:r>
    </w:p>
    <w:p>
      <w:pPr>
        <w:bidi w:val="0"/>
        <w:rPr>
          <w:color w:val="0000FF"/>
        </w:rPr>
      </w:pPr>
      <w:r>
        <w:rPr>
          <w:color w:val="0000FF"/>
        </w:rPr>
        <w:t>发生医疗废物流失、泄漏、扩散和意外事故时，应当按照以下要求及时采取紧急处理措施：</w:t>
      </w:r>
    </w:p>
    <w:p>
      <w:pPr>
        <w:bidi w:val="0"/>
        <w:rPr>
          <w:color w:val="0000FF"/>
        </w:rPr>
      </w:pPr>
      <w:r>
        <w:rPr>
          <w:color w:val="0000FF"/>
        </w:rPr>
        <w:t>①确定流失、泄漏、扩散的医疗废物的类别、数量、发生时间、影响范围及严重程度；</w:t>
      </w:r>
    </w:p>
    <w:p>
      <w:pPr>
        <w:bidi w:val="0"/>
        <w:rPr>
          <w:color w:val="0000FF"/>
        </w:rPr>
      </w:pPr>
      <w:r>
        <w:rPr>
          <w:color w:val="0000FF"/>
        </w:rPr>
        <w:t>②组织有关人员尽快对发生医疗废物泄漏、扩散的现场进行处理；</w:t>
      </w:r>
    </w:p>
    <w:p>
      <w:pPr>
        <w:bidi w:val="0"/>
        <w:rPr>
          <w:color w:val="0000FF"/>
        </w:rPr>
      </w:pPr>
      <w:r>
        <w:rPr>
          <w:color w:val="0000FF"/>
        </w:rPr>
        <w:t>③对被医疗废物污染的区域进行处理时，应当尽可能减少对病人、医务人员、其他现场人员及环境的影响；</w:t>
      </w:r>
    </w:p>
    <w:p>
      <w:pPr>
        <w:bidi w:val="0"/>
        <w:rPr>
          <w:color w:val="0000FF"/>
        </w:rPr>
      </w:pPr>
      <w:r>
        <w:rPr>
          <w:color w:val="0000FF"/>
        </w:rPr>
        <w:t>④采取适当的安全处置措施，对泄漏物及受污染的区域、物品进行消毒或者其他无害化处置，必要时封锁污染区域，以防扩大污染；</w:t>
      </w:r>
    </w:p>
    <w:p>
      <w:pPr>
        <w:bidi w:val="0"/>
        <w:rPr>
          <w:color w:val="0000FF"/>
        </w:rPr>
      </w:pPr>
      <w:r>
        <w:rPr>
          <w:color w:val="0000FF"/>
        </w:rPr>
        <w:t>⑤对感染性废物污染区域进行消毒时，消毒工作从污染最轻区域向污染最严重的区域进行，对可能被污染的所有使用过的工具也应当进行消毒；</w:t>
      </w:r>
    </w:p>
    <w:p>
      <w:pPr>
        <w:bidi w:val="0"/>
        <w:rPr>
          <w:color w:val="0000FF"/>
        </w:rPr>
      </w:pPr>
      <w:r>
        <w:rPr>
          <w:color w:val="0000FF"/>
        </w:rPr>
        <w:t>⑥工作人员应当做好卫生安全防护后再工作；</w:t>
      </w:r>
    </w:p>
    <w:p>
      <w:pPr>
        <w:bidi w:val="0"/>
        <w:rPr>
          <w:color w:val="0000FF"/>
        </w:rPr>
      </w:pPr>
      <w:r>
        <w:rPr>
          <w:color w:val="0000FF"/>
        </w:rPr>
        <w:t>⑦固体废物集中场所、运输车辆消毒。实验室产生的医疗废物经消毒、灭活处理后暂存于实验室危废容器</w:t>
      </w:r>
      <w:r>
        <w:rPr>
          <w:rFonts w:hint="eastAsia"/>
          <w:color w:val="0000FF"/>
          <w:lang w:eastAsia="zh-CN"/>
        </w:rPr>
        <w:t>中</w:t>
      </w:r>
      <w:r>
        <w:rPr>
          <w:color w:val="0000FF"/>
        </w:rPr>
        <w:t>，集中运至为危废暂存间，委托有资质的单位进行处置，工作人员定期对危废暂存间及固体废物运输通道进行消毒处理。</w:t>
      </w:r>
    </w:p>
    <w:p>
      <w:pPr>
        <w:bidi w:val="0"/>
        <w:rPr>
          <w:color w:val="0000FF"/>
        </w:rPr>
      </w:pPr>
      <w:r>
        <w:rPr>
          <w:rFonts w:hint="eastAsia"/>
          <w:color w:val="0000FF"/>
          <w:lang w:val="en-US" w:eastAsia="zh-CN"/>
        </w:rPr>
        <w:t>2</w:t>
      </w:r>
      <w:r>
        <w:rPr>
          <w:color w:val="0000FF"/>
        </w:rPr>
        <w:t>）生物安全实验室风险防范措施</w:t>
      </w:r>
    </w:p>
    <w:p>
      <w:pPr>
        <w:bidi w:val="0"/>
        <w:rPr>
          <w:color w:val="0000FF"/>
        </w:rPr>
      </w:pPr>
      <w:r>
        <w:rPr>
          <w:color w:val="0000FF"/>
        </w:rPr>
        <w:t>为降低P2实验室产生的生物风险，在实验室设计中设置一系列保护和防范措施，用以保证在各种极端条件下，病毒外逸造成环境危害的</w:t>
      </w:r>
      <w:r>
        <w:rPr>
          <w:rFonts w:hint="eastAsia"/>
          <w:color w:val="0000FF"/>
          <w:lang w:eastAsia="zh-CN"/>
        </w:rPr>
        <w:t>概率</w:t>
      </w:r>
      <w:r>
        <w:rPr>
          <w:color w:val="0000FF"/>
        </w:rPr>
        <w:t>最小。</w:t>
      </w:r>
    </w:p>
    <w:p>
      <w:pPr>
        <w:bidi w:val="0"/>
        <w:rPr>
          <w:color w:val="0000FF"/>
        </w:rPr>
      </w:pPr>
      <w:r>
        <w:rPr>
          <w:color w:val="0000FF"/>
        </w:rPr>
        <w:t>①生物通过水环境排放的风险防范措施</w:t>
      </w:r>
    </w:p>
    <w:p>
      <w:pPr>
        <w:bidi w:val="0"/>
        <w:rPr>
          <w:color w:val="0000FF"/>
        </w:rPr>
      </w:pPr>
      <w:r>
        <w:rPr>
          <w:color w:val="0000FF"/>
        </w:rPr>
        <w:t>微生物实验室不设置下水管道，主试验区产生的少量废液经高温高压灭菌消毒后作为危险废物处理。清洗废水由清洗间排入实验楼污水管道，进入污水处理站处理，有效防止排放废水中病原微生物的逃逸。采用专用灭菌化学指示卡定期检验灭菌器材的有效性，确认细菌微生物有效灭活。</w:t>
      </w:r>
    </w:p>
    <w:p>
      <w:pPr>
        <w:bidi w:val="0"/>
        <w:rPr>
          <w:color w:val="0000FF"/>
        </w:rPr>
      </w:pPr>
      <w:r>
        <w:rPr>
          <w:color w:val="0000FF"/>
        </w:rPr>
        <w:t>发生管道破裂或堵塞时，立即向总务科报告并关闭水源，向科室负责人或安全负责人报告后由总务科组织有关人员尽快维修，事后检查现场有毒有害和感染性材料的情况和环境影响，并制定纠正预防措施，事态严重时报告中心安全领导小组或生物安全管理委员会。同时注意工作人员自身防护，所有操作均要戴手套，污水处理系统发生故障时，排放下水进入应急池消毒处理。</w:t>
      </w:r>
    </w:p>
    <w:p>
      <w:pPr>
        <w:bidi w:val="0"/>
        <w:rPr>
          <w:color w:val="0000FF"/>
        </w:rPr>
      </w:pPr>
      <w:r>
        <w:rPr>
          <w:color w:val="0000FF"/>
        </w:rPr>
        <w:t>②生物通过大气环境排放的风险防范措施</w:t>
      </w:r>
    </w:p>
    <w:p>
      <w:pPr>
        <w:bidi w:val="0"/>
        <w:rPr>
          <w:color w:val="0000FF"/>
        </w:rPr>
      </w:pPr>
      <w:r>
        <w:rPr>
          <w:color w:val="0000FF"/>
        </w:rPr>
        <w:t>为防止P2实验室病原微生物逃逸，整个P2实验室设为负压状态，保证整个实验室气流组织流向固定，其压力梯度差严格遵守《生物安全实验室建筑技术规范》（</w:t>
      </w:r>
      <w:r>
        <w:rPr>
          <w:rFonts w:hint="eastAsia"/>
          <w:color w:val="0000FF"/>
          <w:lang w:eastAsia="zh-CN"/>
        </w:rPr>
        <w:t>GB50345-2012</w:t>
      </w:r>
      <w:r>
        <w:rPr>
          <w:color w:val="0000FF"/>
        </w:rPr>
        <w:t>）的要求。安全柜安装有高效空气过滤器，安全柜排气筒内置的高效过滤器对粒径0.5μm以上的气溶胶去除效率达到99.99%，排气中的病原微生物可被彻底去除，达到空气洁净度7级。实验室内各入口处显著位置均设置室内压力显示装置，当负压值偏离控制区间时，则通过声、光等手段向实验室内外的人员发出警报。为防止断电引起排风系统不工作，实验室供电由市政电网双回路供应与发电机室连接，保证所有实验室不断电。为防止生物安全实验室病原微生物通过实验室排气泄露，实验室排风系统设置扫描检漏排风高效过滤装置，实现排风效果的及时扫描监测，确保达到净化效果后方可排入大气。排风系统一用一备，一旦运行系统出现问题，可自动切换，高效过滤装置同时进行定期检测。生物安全柜、实验室中高效过滤器的更换依据室内压差的变化来确定，通过监控系统监视高效过滤器的过滤效率，并对异常情况发出警报，提醒工作人员及时更换，避免在更换高效过滤器时造成实验室生物因子的泄漏，必须根据高效过滤器更换操作规程进行作业。在更换前，废弃的过滤材料均先进行在线消毒后，再拆除，废弃的过滤材料暂存于危废暂存间，定期交由有资质的单位进行处置。</w:t>
      </w:r>
    </w:p>
    <w:p>
      <w:pPr>
        <w:bidi w:val="0"/>
        <w:rPr>
          <w:color w:val="0000FF"/>
        </w:rPr>
      </w:pPr>
      <w:r>
        <w:rPr>
          <w:color w:val="0000FF"/>
        </w:rPr>
        <w:t>③生物通过固体废物排放的风险防范措施</w:t>
      </w:r>
    </w:p>
    <w:p>
      <w:pPr>
        <w:bidi w:val="0"/>
        <w:rPr>
          <w:color w:val="0000FF"/>
        </w:rPr>
      </w:pPr>
      <w:r>
        <w:rPr>
          <w:color w:val="0000FF"/>
        </w:rPr>
        <w:t>在污染区和半污染物集中收集，并及时用高压灭菌器和高温高压锅两次消毒后传出实验室，然后采用高密度塑料袋再次密封包装，表面化学消毒，放入危废暂存箱，存放在危废暂存间，委托有资质的单位进行处置。所有记录一律通过电脑和电传机数字化传递，手写记录纸不准携带出实验室。</w:t>
      </w:r>
    </w:p>
    <w:p>
      <w:pPr>
        <w:bidi w:val="0"/>
        <w:rPr>
          <w:color w:val="0000FF"/>
        </w:rPr>
      </w:pPr>
      <w:r>
        <w:rPr>
          <w:color w:val="0000FF"/>
        </w:rPr>
        <w:t>④火险</w:t>
      </w:r>
    </w:p>
    <w:p>
      <w:pPr>
        <w:bidi w:val="0"/>
        <w:rPr>
          <w:color w:val="0000FF"/>
        </w:rPr>
      </w:pPr>
      <w:r>
        <w:rPr>
          <w:color w:val="0000FF"/>
        </w:rPr>
        <w:t>发生局部小范围火灾要立即扑灭，事后检查现场有毒有害和感染性材料情况和环境影响，写出事故报告并分析原因。发生局部火灾扑灭不及，立即按下报警系统，时间允许时立即切断电源，就近沿安全通道逃离，并立即拨打119报警。</w:t>
      </w:r>
    </w:p>
    <w:p>
      <w:pPr>
        <w:bidi w:val="0"/>
        <w:rPr>
          <w:color w:val="0000FF"/>
        </w:rPr>
      </w:pPr>
      <w:r>
        <w:rPr>
          <w:color w:val="0000FF"/>
        </w:rPr>
        <w:t>⑤实验室人员携带病毒的风险防范措施</w:t>
      </w:r>
    </w:p>
    <w:p>
      <w:pPr>
        <w:bidi w:val="0"/>
        <w:rPr>
          <w:color w:val="0000FF"/>
        </w:rPr>
      </w:pPr>
      <w:r>
        <w:rPr>
          <w:color w:val="0000FF"/>
        </w:rPr>
        <w:t>A</w:t>
      </w:r>
      <w:r>
        <w:rPr>
          <w:rFonts w:hint="eastAsia"/>
          <w:color w:val="0000FF"/>
          <w:lang w:eastAsia="zh-CN"/>
        </w:rPr>
        <w:t>.</w:t>
      </w:r>
      <w:r>
        <w:rPr>
          <w:color w:val="0000FF"/>
        </w:rPr>
        <w:t>加强人员培训。实验人员、辅助人员、后勤保障人员上岗前须接受严格的生物安全以及相关操作的技术培训，包括实验室设施、设备、个体防护、操作等培训，熟悉并严格遵守实验室的管理要求。</w:t>
      </w:r>
    </w:p>
    <w:p>
      <w:pPr>
        <w:bidi w:val="0"/>
        <w:rPr>
          <w:color w:val="0000FF"/>
        </w:rPr>
      </w:pPr>
      <w:r>
        <w:rPr>
          <w:color w:val="0000FF"/>
        </w:rPr>
        <w:t>B</w:t>
      </w:r>
      <w:r>
        <w:rPr>
          <w:rFonts w:hint="eastAsia"/>
          <w:color w:val="0000FF"/>
          <w:lang w:eastAsia="zh-CN"/>
        </w:rPr>
        <w:t>.</w:t>
      </w:r>
      <w:r>
        <w:rPr>
          <w:color w:val="0000FF"/>
        </w:rPr>
        <w:t>严格准入制度。未经培训并获得实验室安全负责人的许可，任何人员严禁进入实验室。对从事实验活动的人员，必须在身体状况良好的情况下，才能进入微生物实验室工作。出现下列情况不能进入：身体出现开放性损伤；患发热性疾病；感冒、上呼吸道感染或其他导致抵抗力下降的情况；妊娠、已经在实验室控制区域内连续工作4h以上，或其他原因造成的疲劳状态。</w:t>
      </w:r>
    </w:p>
    <w:p>
      <w:pPr>
        <w:bidi w:val="0"/>
        <w:rPr>
          <w:color w:val="0000FF"/>
        </w:rPr>
      </w:pPr>
      <w:r>
        <w:rPr>
          <w:color w:val="0000FF"/>
        </w:rPr>
        <w:t>C</w:t>
      </w:r>
      <w:r>
        <w:rPr>
          <w:rFonts w:hint="eastAsia"/>
          <w:color w:val="0000FF"/>
          <w:lang w:eastAsia="zh-CN"/>
        </w:rPr>
        <w:t>.</w:t>
      </w:r>
      <w:r>
        <w:rPr>
          <w:color w:val="0000FF"/>
        </w:rPr>
        <w:t>严格按照标准操作程序开展工作。实验室从事的下列实验活动必须在微生物实验室中的生物安全柜中操作：病毒标本的分装、病毒分离、病毒分离物的鉴定、病毒核酸的提取等。实验操作应当按良好的实验室操作规范操作，尽量避免产生气溶胶。实验室严格遵守人流、物流分开的原则，未经许可，任何人不得将病毒标本、病毒分离物等带出实验室。</w:t>
      </w:r>
    </w:p>
    <w:p>
      <w:pPr>
        <w:bidi w:val="0"/>
        <w:rPr>
          <w:color w:val="0000FF"/>
        </w:rPr>
      </w:pPr>
      <w:r>
        <w:rPr>
          <w:color w:val="0000FF"/>
        </w:rPr>
        <w:t>D</w:t>
      </w:r>
      <w:r>
        <w:rPr>
          <w:rFonts w:hint="eastAsia"/>
          <w:color w:val="0000FF"/>
          <w:lang w:eastAsia="zh-CN"/>
        </w:rPr>
        <w:t>.</w:t>
      </w:r>
      <w:r>
        <w:rPr>
          <w:color w:val="0000FF"/>
        </w:rPr>
        <w:t>开展实验活动或实验室后勤维护等人员进出实验室，严格进行个人防护。</w:t>
      </w:r>
    </w:p>
    <w:p>
      <w:pPr>
        <w:bidi w:val="0"/>
        <w:rPr>
          <w:color w:val="0000FF"/>
        </w:rPr>
      </w:pPr>
      <w:r>
        <w:rPr>
          <w:color w:val="0000FF"/>
        </w:rPr>
        <w:t>E</w:t>
      </w:r>
      <w:r>
        <w:rPr>
          <w:rFonts w:hint="eastAsia"/>
          <w:color w:val="0000FF"/>
          <w:lang w:eastAsia="zh-CN"/>
        </w:rPr>
        <w:t>.</w:t>
      </w:r>
      <w:r>
        <w:rPr>
          <w:color w:val="0000FF"/>
        </w:rPr>
        <w:t>严格实验室消毒措施。对病毒、细菌标本、分离物、可能被污染的实验耗材等进行二次消毒处理。可在污染区先进行高压预消毒后，再经高压锅消毒方可退出实验室，任何从实验室退出的物品均应做消毒处理。实验操作完成，对实验室设备等应及时使用化学消毒剂进行消毒处理后并清洁。</w:t>
      </w:r>
    </w:p>
    <w:p>
      <w:pPr>
        <w:bidi w:val="0"/>
        <w:rPr>
          <w:color w:val="0000FF"/>
        </w:rPr>
      </w:pPr>
      <w:r>
        <w:rPr>
          <w:color w:val="0000FF"/>
        </w:rPr>
        <w:t>F</w:t>
      </w:r>
      <w:r>
        <w:rPr>
          <w:rFonts w:hint="eastAsia"/>
          <w:color w:val="0000FF"/>
          <w:lang w:eastAsia="zh-CN"/>
        </w:rPr>
        <w:t>.</w:t>
      </w:r>
      <w:r>
        <w:rPr>
          <w:color w:val="0000FF"/>
        </w:rPr>
        <w:t>建立人员的健康监测档案。对实验操作人员、后勤辅助人员等均进行健康监测，实验活动结束后进行一段时间的病症监测。</w:t>
      </w:r>
    </w:p>
    <w:p>
      <w:pPr>
        <w:bidi w:val="0"/>
        <w:rPr>
          <w:color w:val="0000FF"/>
        </w:rPr>
      </w:pPr>
      <w:r>
        <w:rPr>
          <w:color w:val="0000FF"/>
        </w:rPr>
        <w:t>G</w:t>
      </w:r>
      <w:r>
        <w:rPr>
          <w:rFonts w:hint="eastAsia"/>
          <w:color w:val="0000FF"/>
          <w:lang w:eastAsia="zh-CN"/>
        </w:rPr>
        <w:t>.</w:t>
      </w:r>
      <w:r>
        <w:rPr>
          <w:color w:val="0000FF"/>
        </w:rPr>
        <w:t>实验室内部配备应急设备和设施，如洗眼器、喷淋装置等。确保实验室应急逃生通道能正常使用。</w:t>
      </w:r>
    </w:p>
    <w:p>
      <w:pPr>
        <w:bidi w:val="0"/>
        <w:rPr>
          <w:color w:val="0000FF"/>
        </w:rPr>
      </w:pPr>
      <w:r>
        <w:rPr>
          <w:color w:val="0000FF"/>
        </w:rPr>
        <w:t>H</w:t>
      </w:r>
      <w:r>
        <w:rPr>
          <w:rFonts w:hint="eastAsia"/>
          <w:color w:val="0000FF"/>
          <w:lang w:eastAsia="zh-CN"/>
        </w:rPr>
        <w:t>.</w:t>
      </w:r>
      <w:r>
        <w:rPr>
          <w:color w:val="0000FF"/>
        </w:rPr>
        <w:t>实验室储备一定量的预防性药物，如盐酸金刚烷胺达菲等，并经常检查、更换，保证药物的有效期。进入实验室的工作人员应当注射流感疫苗。</w:t>
      </w:r>
    </w:p>
    <w:p>
      <w:pPr>
        <w:bidi w:val="0"/>
        <w:rPr>
          <w:color w:val="0000FF"/>
        </w:rPr>
      </w:pPr>
      <w:r>
        <w:rPr>
          <w:color w:val="0000FF"/>
        </w:rPr>
        <w:t>L</w:t>
      </w:r>
      <w:r>
        <w:rPr>
          <w:rFonts w:hint="eastAsia"/>
          <w:color w:val="0000FF"/>
          <w:lang w:eastAsia="zh-CN"/>
        </w:rPr>
        <w:t>.</w:t>
      </w:r>
      <w:r>
        <w:rPr>
          <w:color w:val="0000FF"/>
        </w:rPr>
        <w:t>意外事故的处理。对各种实验室意外事故的处理方法进行规定，任何人员进入实验室前，应当熟悉意外事故的处理方法。</w:t>
      </w:r>
    </w:p>
    <w:p>
      <w:pPr>
        <w:bidi w:val="0"/>
        <w:rPr>
          <w:color w:val="0000FF"/>
        </w:rPr>
      </w:pPr>
      <w:r>
        <w:rPr>
          <w:color w:val="0000FF"/>
        </w:rPr>
        <w:t>J</w:t>
      </w:r>
      <w:r>
        <w:rPr>
          <w:rFonts w:hint="eastAsia"/>
          <w:color w:val="0000FF"/>
          <w:lang w:eastAsia="zh-CN"/>
        </w:rPr>
        <w:t>.</w:t>
      </w:r>
      <w:r>
        <w:rPr>
          <w:color w:val="0000FF"/>
        </w:rPr>
        <w:t>封闭被病原微生物污染的实验室或者可能造成病原微生物扩散的场所。</w:t>
      </w:r>
    </w:p>
    <w:p>
      <w:pPr>
        <w:bidi w:val="0"/>
        <w:rPr>
          <w:color w:val="0000FF"/>
        </w:rPr>
      </w:pPr>
      <w:r>
        <w:rPr>
          <w:rFonts w:hint="eastAsia"/>
          <w:color w:val="0000FF"/>
          <w:lang w:eastAsia="zh-CN"/>
        </w:rPr>
        <w:t>（</w:t>
      </w:r>
      <w:r>
        <w:rPr>
          <w:rFonts w:hint="eastAsia"/>
          <w:color w:val="0000FF"/>
          <w:lang w:val="en-US" w:eastAsia="zh-CN"/>
        </w:rPr>
        <w:t>3</w:t>
      </w:r>
      <w:r>
        <w:rPr>
          <w:rFonts w:hint="eastAsia"/>
          <w:color w:val="0000FF"/>
          <w:lang w:eastAsia="zh-CN"/>
        </w:rPr>
        <w:t>）</w:t>
      </w:r>
      <w:r>
        <w:rPr>
          <w:color w:val="0000FF"/>
        </w:rPr>
        <w:t>医疗废水事故排放措施</w:t>
      </w:r>
    </w:p>
    <w:p>
      <w:pPr>
        <w:bidi w:val="0"/>
        <w:rPr>
          <w:color w:val="0000FF"/>
        </w:rPr>
      </w:pPr>
      <w:r>
        <w:rPr>
          <w:rFonts w:hint="eastAsia"/>
          <w:color w:val="0000FF"/>
          <w:lang w:val="en-US" w:eastAsia="zh-CN"/>
        </w:rPr>
        <w:t>①</w:t>
      </w:r>
      <w:r>
        <w:rPr>
          <w:color w:val="0000FF"/>
        </w:rPr>
        <w:t>为确保污水处理站正常、不出现停止运行的情况，防止环境风险的发生，需对污水处理站提供双路电源和应急电源，保证污水处理站用电不间断，重复的设备需有备用，并备有应急用的消毒剂，在万一设备停运情况下，直接人工投加消毒剂。平日加强对机械设备的维护，一旦发生事故应及时进行维修。</w:t>
      </w:r>
    </w:p>
    <w:p>
      <w:pPr>
        <w:bidi w:val="0"/>
        <w:rPr>
          <w:color w:val="0000FF"/>
        </w:rPr>
      </w:pPr>
      <w:r>
        <w:rPr>
          <w:rFonts w:hint="eastAsia"/>
          <w:color w:val="0000FF"/>
          <w:lang w:val="en-US" w:eastAsia="zh-CN"/>
        </w:rPr>
        <w:t>②</w:t>
      </w:r>
      <w:r>
        <w:rPr>
          <w:color w:val="0000FF"/>
        </w:rPr>
        <w:t>污水处理站处理工艺、加药系统和流量控制系统均安装自动化检测仪器，发生故障时，可及时报警并停止向外排放废水。</w:t>
      </w:r>
    </w:p>
    <w:p>
      <w:pPr>
        <w:bidi w:val="0"/>
        <w:rPr>
          <w:color w:val="0000FF"/>
        </w:rPr>
      </w:pPr>
      <w:r>
        <w:rPr>
          <w:rFonts w:hint="eastAsia"/>
          <w:color w:val="0000FF"/>
          <w:lang w:val="en-US" w:eastAsia="zh-CN"/>
        </w:rPr>
        <w:t>③</w:t>
      </w:r>
      <w:r>
        <w:rPr>
          <w:color w:val="0000FF"/>
        </w:rPr>
        <w:t>参照《医院污水处理工程技术规范》（HJ2029-2013），医院污水处理工程应设置事故池，以贮存处理系统事故或其他突发事件污水。项目设置事故应急池，有效容积</w:t>
      </w:r>
      <w:r>
        <w:rPr>
          <w:rFonts w:hint="eastAsia"/>
          <w:color w:val="0000FF"/>
          <w:lang w:val="en-US" w:eastAsia="zh-CN"/>
        </w:rPr>
        <w:t>10</w:t>
      </w:r>
      <w:r>
        <w:rPr>
          <w:color w:val="0000FF"/>
        </w:rPr>
        <w:t>m3，可储存大于8小时的污水量。污水处理设施出现故障后，</w:t>
      </w:r>
    </w:p>
    <w:p>
      <w:pPr>
        <w:bidi w:val="0"/>
        <w:rPr>
          <w:color w:val="0000FF"/>
        </w:rPr>
      </w:pPr>
      <w:r>
        <w:rPr>
          <w:color w:val="0000FF"/>
        </w:rPr>
        <w:t>排放的废水进入事故应急池，暂不外排，并及时派人检修，待污水处理设施正常运行后再排入污水处理站进行处理。</w:t>
      </w:r>
    </w:p>
    <w:p>
      <w:pPr>
        <w:bidi w:val="0"/>
        <w:rPr>
          <w:color w:val="0000FF"/>
        </w:rPr>
      </w:pPr>
      <w:r>
        <w:rPr>
          <w:rFonts w:hint="eastAsia"/>
          <w:color w:val="0000FF"/>
          <w:lang w:val="en-US" w:eastAsia="zh-CN"/>
        </w:rPr>
        <w:t>④</w:t>
      </w:r>
      <w:r>
        <w:rPr>
          <w:color w:val="0000FF"/>
        </w:rPr>
        <w:t>定期巡检、调节、保养、维修。及时发现有可能引起事故的异常运行苗头，消除事故隐患。</w:t>
      </w:r>
    </w:p>
    <w:p>
      <w:pPr>
        <w:bidi w:val="0"/>
        <w:rPr>
          <w:color w:val="0000FF"/>
        </w:rPr>
      </w:pPr>
      <w:r>
        <w:rPr>
          <w:rFonts w:hint="eastAsia"/>
          <w:color w:val="0000FF"/>
          <w:lang w:val="en-US" w:eastAsia="zh-CN"/>
        </w:rPr>
        <w:t>⑤</w:t>
      </w:r>
      <w:r>
        <w:rPr>
          <w:color w:val="0000FF"/>
        </w:rPr>
        <w:t>建立安全操作规程，在平时严格按规程办事，定期对污水处理站人员的理论知识和操作技能进行培训和检查。</w:t>
      </w:r>
    </w:p>
    <w:p>
      <w:pPr>
        <w:bidi w:val="0"/>
        <w:rPr>
          <w:color w:val="0000FF"/>
        </w:rPr>
      </w:pPr>
      <w:r>
        <w:rPr>
          <w:rFonts w:hint="eastAsia"/>
          <w:color w:val="0000FF"/>
          <w:lang w:val="en-US" w:eastAsia="zh-CN"/>
        </w:rPr>
        <w:t>⑥</w:t>
      </w:r>
      <w:r>
        <w:rPr>
          <w:color w:val="0000FF"/>
        </w:rPr>
        <w:t>加强运行管理和水质监测工作。</w:t>
      </w:r>
    </w:p>
    <w:p>
      <w:pPr>
        <w:bidi w:val="0"/>
        <w:rPr>
          <w:color w:val="0000FF"/>
        </w:rPr>
      </w:pPr>
      <w:r>
        <w:rPr>
          <w:rFonts w:hint="eastAsia"/>
          <w:color w:val="0000FF"/>
          <w:lang w:val="en-US" w:eastAsia="zh-CN"/>
        </w:rPr>
        <w:t>⑦</w:t>
      </w:r>
      <w:r>
        <w:rPr>
          <w:color w:val="0000FF"/>
        </w:rPr>
        <w:t>建立安全责任制度，在日常的工作管理方面建立一套完整的制度，落实到人、明确责任、定期检查。制定风险事故应急措施，明确事故发生时的应急、抢险操作制度。</w:t>
      </w:r>
    </w:p>
    <w:p>
      <w:pPr>
        <w:bidi w:val="0"/>
        <w:rPr>
          <w:color w:val="0000FF"/>
        </w:rPr>
      </w:pPr>
      <w:r>
        <w:rPr>
          <w:rFonts w:hint="eastAsia"/>
          <w:color w:val="0000FF"/>
          <w:lang w:eastAsia="zh-CN"/>
        </w:rPr>
        <w:t>（</w:t>
      </w:r>
      <w:r>
        <w:rPr>
          <w:rFonts w:hint="eastAsia"/>
          <w:color w:val="0000FF"/>
          <w:lang w:val="en-US" w:eastAsia="zh-CN"/>
        </w:rPr>
        <w:t>4</w:t>
      </w:r>
      <w:r>
        <w:rPr>
          <w:rFonts w:hint="eastAsia"/>
          <w:color w:val="0000FF"/>
          <w:lang w:eastAsia="zh-CN"/>
        </w:rPr>
        <w:t>）</w:t>
      </w:r>
      <w:r>
        <w:rPr>
          <w:color w:val="0000FF"/>
        </w:rPr>
        <w:t>二氧化氯发生器风险防范措施</w:t>
      </w:r>
    </w:p>
    <w:p>
      <w:pPr>
        <w:bidi w:val="0"/>
        <w:rPr>
          <w:color w:val="0000FF"/>
        </w:rPr>
      </w:pPr>
      <w:r>
        <w:rPr>
          <w:rFonts w:hint="eastAsia"/>
          <w:color w:val="0000FF"/>
          <w:lang w:val="en-US" w:eastAsia="zh-CN"/>
        </w:rPr>
        <w:t>①</w:t>
      </w:r>
      <w:r>
        <w:rPr>
          <w:color w:val="0000FF"/>
        </w:rPr>
        <w:t>加强二氧化氯发生器的管理，定期检查，保证其正常运行。</w:t>
      </w:r>
    </w:p>
    <w:p>
      <w:pPr>
        <w:bidi w:val="0"/>
        <w:rPr>
          <w:color w:val="0000FF"/>
        </w:rPr>
      </w:pPr>
      <w:r>
        <w:rPr>
          <w:rFonts w:hint="eastAsia"/>
          <w:color w:val="0000FF"/>
          <w:lang w:val="en-US" w:eastAsia="zh-CN"/>
        </w:rPr>
        <w:t>②</w:t>
      </w:r>
      <w:r>
        <w:rPr>
          <w:color w:val="0000FF"/>
        </w:rPr>
        <w:t>对操作人员进行安全和技能培训，确保对二氧化氯发生器的正确操作和维护。</w:t>
      </w:r>
    </w:p>
    <w:p>
      <w:pPr>
        <w:bidi w:val="0"/>
        <w:rPr>
          <w:color w:val="0000FF"/>
        </w:rPr>
      </w:pPr>
      <w:r>
        <w:rPr>
          <w:rFonts w:hint="eastAsia"/>
          <w:color w:val="0000FF"/>
          <w:lang w:val="en-US" w:eastAsia="zh-CN"/>
        </w:rPr>
        <w:t>③</w:t>
      </w:r>
      <w:r>
        <w:rPr>
          <w:color w:val="0000FF"/>
        </w:rPr>
        <w:t>在工程设计、建设和运行后的管理上应考虑可能发生的事故风险，尤其在设备选型上充分考虑安全措施。</w:t>
      </w:r>
    </w:p>
    <w:p>
      <w:pPr>
        <w:bidi w:val="0"/>
        <w:rPr>
          <w:color w:val="0000FF"/>
        </w:rPr>
      </w:pPr>
      <w:r>
        <w:rPr>
          <w:rFonts w:hint="eastAsia"/>
          <w:color w:val="0000FF"/>
          <w:lang w:val="en-US" w:eastAsia="zh-CN"/>
        </w:rPr>
        <w:t>④</w:t>
      </w:r>
      <w:r>
        <w:rPr>
          <w:color w:val="0000FF"/>
        </w:rPr>
        <w:t>工作现场严禁烟火、禁止吸烟。</w:t>
      </w:r>
    </w:p>
    <w:p>
      <w:pPr>
        <w:bidi w:val="0"/>
        <w:rPr>
          <w:color w:val="0000FF"/>
        </w:rPr>
      </w:pPr>
      <w:r>
        <w:rPr>
          <w:rFonts w:hint="eastAsia"/>
          <w:color w:val="0000FF"/>
          <w:lang w:val="en-US" w:eastAsia="zh-CN"/>
        </w:rPr>
        <w:t>⑤</w:t>
      </w:r>
      <w:r>
        <w:rPr>
          <w:color w:val="0000FF"/>
        </w:rPr>
        <w:t>做好制取场地内的通风措施。</w:t>
      </w:r>
    </w:p>
    <w:p>
      <w:pPr>
        <w:pStyle w:val="7"/>
        <w:bidi w:val="0"/>
        <w:rPr>
          <w:color w:val="0000FF"/>
        </w:rPr>
      </w:pPr>
      <w:r>
        <w:rPr>
          <w:color w:val="0000FF"/>
        </w:rPr>
        <w:t>5.</w:t>
      </w:r>
      <w:r>
        <w:rPr>
          <w:rFonts w:hint="eastAsia"/>
          <w:color w:val="0000FF"/>
          <w:lang w:val="en-US" w:eastAsia="zh-CN"/>
        </w:rPr>
        <w:t>2</w:t>
      </w:r>
      <w:r>
        <w:rPr>
          <w:color w:val="0000FF"/>
        </w:rPr>
        <w:t>.</w:t>
      </w:r>
      <w:r>
        <w:rPr>
          <w:rFonts w:hint="eastAsia"/>
          <w:color w:val="0000FF"/>
          <w:lang w:val="en-US" w:eastAsia="zh-CN"/>
        </w:rPr>
        <w:t>7.5</w:t>
      </w:r>
      <w:r>
        <w:rPr>
          <w:color w:val="0000FF"/>
        </w:rPr>
        <w:t>环境风险应急预案</w:t>
      </w:r>
    </w:p>
    <w:p>
      <w:pPr>
        <w:bidi w:val="0"/>
        <w:rPr>
          <w:color w:val="0000FF"/>
        </w:rPr>
      </w:pPr>
      <w:r>
        <w:rPr>
          <w:color w:val="0000FF"/>
        </w:rPr>
        <w:t>根据项目特点，本项目应编制事故</w:t>
      </w:r>
      <w:r>
        <w:rPr>
          <w:rFonts w:hint="eastAsia"/>
          <w:color w:val="0000FF"/>
          <w:lang w:eastAsia="zh-CN"/>
        </w:rPr>
        <w:t>应急</w:t>
      </w:r>
      <w:r>
        <w:rPr>
          <w:color w:val="0000FF"/>
        </w:rPr>
        <w:t>预案，突发事故应急预案要求见表5</w:t>
      </w:r>
      <w:r>
        <w:rPr>
          <w:rFonts w:hint="eastAsia"/>
          <w:color w:val="0000FF"/>
          <w:lang w:val="en-US" w:eastAsia="zh-CN"/>
        </w:rPr>
        <w:t>.2-17</w:t>
      </w:r>
      <w:r>
        <w:rPr>
          <w:color w:val="0000FF"/>
        </w:rPr>
        <w:t>。</w:t>
      </w:r>
    </w:p>
    <w:p>
      <w:pPr>
        <w:pStyle w:val="22"/>
        <w:bidi w:val="0"/>
        <w:rPr>
          <w:b/>
          <w:bCs/>
          <w:color w:val="0000FF"/>
        </w:rPr>
      </w:pPr>
      <w:r>
        <w:rPr>
          <w:b/>
          <w:bCs/>
          <w:color w:val="0000FF"/>
        </w:rPr>
        <w:t>表5</w:t>
      </w:r>
      <w:r>
        <w:rPr>
          <w:rFonts w:hint="eastAsia"/>
          <w:b/>
          <w:bCs/>
          <w:color w:val="0000FF"/>
          <w:lang w:val="en-US" w:eastAsia="zh-CN"/>
        </w:rPr>
        <w:t>.2-17</w:t>
      </w:r>
      <w:r>
        <w:rPr>
          <w:b/>
          <w:bCs/>
          <w:color w:val="0000FF"/>
        </w:rPr>
        <w:t>突发事故应急预案内容</w:t>
      </w:r>
    </w:p>
    <w:tbl>
      <w:tblPr>
        <w:tblStyle w:val="23"/>
        <w:tblW w:w="84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2812"/>
        <w:gridCol w:w="5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5" w:hRule="atLeast"/>
          <w:jc w:val="center"/>
        </w:trPr>
        <w:tc>
          <w:tcPr>
            <w:tcW w:w="626" w:type="dxa"/>
            <w:vAlign w:val="center"/>
          </w:tcPr>
          <w:p>
            <w:pPr>
              <w:pStyle w:val="22"/>
              <w:bidi w:val="0"/>
              <w:jc w:val="center"/>
              <w:rPr>
                <w:color w:val="0000FF"/>
              </w:rPr>
            </w:pPr>
            <w:r>
              <w:rPr>
                <w:color w:val="0000FF"/>
              </w:rPr>
              <w:t>序号</w:t>
            </w:r>
          </w:p>
        </w:tc>
        <w:tc>
          <w:tcPr>
            <w:tcW w:w="2812" w:type="dxa"/>
            <w:vAlign w:val="center"/>
          </w:tcPr>
          <w:p>
            <w:pPr>
              <w:pStyle w:val="22"/>
              <w:bidi w:val="0"/>
              <w:jc w:val="center"/>
              <w:rPr>
                <w:color w:val="0000FF"/>
              </w:rPr>
            </w:pPr>
            <w:r>
              <w:rPr>
                <w:color w:val="0000FF"/>
              </w:rPr>
              <w:t>项目</w:t>
            </w:r>
          </w:p>
        </w:tc>
        <w:tc>
          <w:tcPr>
            <w:tcW w:w="5042" w:type="dxa"/>
            <w:vAlign w:val="center"/>
          </w:tcPr>
          <w:p>
            <w:pPr>
              <w:pStyle w:val="22"/>
              <w:bidi w:val="0"/>
              <w:jc w:val="center"/>
              <w:rPr>
                <w:color w:val="0000FF"/>
              </w:rPr>
            </w:pPr>
            <w:r>
              <w:rPr>
                <w:color w:val="0000FF"/>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0" w:hRule="atLeast"/>
          <w:jc w:val="center"/>
        </w:trPr>
        <w:tc>
          <w:tcPr>
            <w:tcW w:w="626" w:type="dxa"/>
            <w:vAlign w:val="center"/>
          </w:tcPr>
          <w:p>
            <w:pPr>
              <w:pStyle w:val="22"/>
              <w:bidi w:val="0"/>
              <w:jc w:val="center"/>
              <w:rPr>
                <w:color w:val="0000FF"/>
              </w:rPr>
            </w:pPr>
            <w:r>
              <w:rPr>
                <w:color w:val="0000FF"/>
              </w:rPr>
              <w:t>1</w:t>
            </w:r>
          </w:p>
        </w:tc>
        <w:tc>
          <w:tcPr>
            <w:tcW w:w="2812" w:type="dxa"/>
            <w:vAlign w:val="center"/>
          </w:tcPr>
          <w:p>
            <w:pPr>
              <w:pStyle w:val="22"/>
              <w:bidi w:val="0"/>
              <w:jc w:val="center"/>
              <w:rPr>
                <w:color w:val="0000FF"/>
              </w:rPr>
            </w:pPr>
            <w:r>
              <w:rPr>
                <w:color w:val="0000FF"/>
              </w:rPr>
              <w:t>应急计划区</w:t>
            </w:r>
          </w:p>
        </w:tc>
        <w:tc>
          <w:tcPr>
            <w:tcW w:w="5042" w:type="dxa"/>
            <w:vAlign w:val="center"/>
          </w:tcPr>
          <w:p>
            <w:pPr>
              <w:pStyle w:val="22"/>
              <w:bidi w:val="0"/>
              <w:jc w:val="center"/>
              <w:rPr>
                <w:color w:val="0000FF"/>
              </w:rPr>
            </w:pPr>
            <w:r>
              <w:rPr>
                <w:color w:val="0000FF"/>
              </w:rPr>
              <w:t>污水处理站、危废暂存间、环境保护目标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jc w:val="center"/>
        </w:trPr>
        <w:tc>
          <w:tcPr>
            <w:tcW w:w="626" w:type="dxa"/>
            <w:vAlign w:val="center"/>
          </w:tcPr>
          <w:p>
            <w:pPr>
              <w:pStyle w:val="22"/>
              <w:bidi w:val="0"/>
              <w:jc w:val="center"/>
              <w:rPr>
                <w:color w:val="0000FF"/>
              </w:rPr>
            </w:pPr>
          </w:p>
          <w:p>
            <w:pPr>
              <w:pStyle w:val="22"/>
              <w:bidi w:val="0"/>
              <w:jc w:val="center"/>
              <w:rPr>
                <w:color w:val="0000FF"/>
              </w:rPr>
            </w:pPr>
          </w:p>
          <w:p>
            <w:pPr>
              <w:pStyle w:val="22"/>
              <w:bidi w:val="0"/>
              <w:jc w:val="center"/>
              <w:rPr>
                <w:color w:val="0000FF"/>
              </w:rPr>
            </w:pPr>
            <w:r>
              <w:rPr>
                <w:color w:val="0000FF"/>
              </w:rPr>
              <w:t>2</w:t>
            </w:r>
          </w:p>
        </w:tc>
        <w:tc>
          <w:tcPr>
            <w:tcW w:w="2812" w:type="dxa"/>
            <w:vAlign w:val="center"/>
          </w:tcPr>
          <w:p>
            <w:pPr>
              <w:pStyle w:val="22"/>
              <w:bidi w:val="0"/>
              <w:jc w:val="center"/>
              <w:rPr>
                <w:color w:val="0000FF"/>
              </w:rPr>
            </w:pPr>
          </w:p>
          <w:p>
            <w:pPr>
              <w:pStyle w:val="22"/>
              <w:bidi w:val="0"/>
              <w:jc w:val="center"/>
              <w:rPr>
                <w:color w:val="0000FF"/>
              </w:rPr>
            </w:pPr>
          </w:p>
          <w:p>
            <w:pPr>
              <w:pStyle w:val="22"/>
              <w:bidi w:val="0"/>
              <w:jc w:val="center"/>
              <w:rPr>
                <w:color w:val="0000FF"/>
              </w:rPr>
            </w:pPr>
            <w:r>
              <w:rPr>
                <w:color w:val="0000FF"/>
              </w:rPr>
              <w:t>应急组织</w:t>
            </w:r>
          </w:p>
        </w:tc>
        <w:tc>
          <w:tcPr>
            <w:tcW w:w="5042" w:type="dxa"/>
            <w:vAlign w:val="center"/>
          </w:tcPr>
          <w:p>
            <w:pPr>
              <w:pStyle w:val="22"/>
              <w:bidi w:val="0"/>
              <w:jc w:val="center"/>
              <w:rPr>
                <w:color w:val="0000FF"/>
              </w:rPr>
            </w:pPr>
            <w:r>
              <w:rPr>
                <w:color w:val="0000FF"/>
              </w:rPr>
              <w:t>疾控中心：指挥部——负责全中心全面指挥，专业救援队伍——负责事故控制、救援善后处理</w:t>
            </w:r>
          </w:p>
          <w:p>
            <w:pPr>
              <w:pStyle w:val="22"/>
              <w:bidi w:val="0"/>
              <w:jc w:val="center"/>
              <w:rPr>
                <w:color w:val="0000FF"/>
              </w:rPr>
            </w:pPr>
            <w:r>
              <w:rPr>
                <w:color w:val="0000FF"/>
              </w:rPr>
              <w:t>地区：地区指挥部——负责项目附近地区全面指挥、救援疏散，专业救援队伍——负责对疾控中心专业救援队伍支持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jc w:val="center"/>
        </w:trPr>
        <w:tc>
          <w:tcPr>
            <w:tcW w:w="626" w:type="dxa"/>
            <w:vAlign w:val="center"/>
          </w:tcPr>
          <w:p>
            <w:pPr>
              <w:pStyle w:val="22"/>
              <w:bidi w:val="0"/>
              <w:jc w:val="center"/>
              <w:rPr>
                <w:color w:val="0000FF"/>
              </w:rPr>
            </w:pPr>
            <w:r>
              <w:rPr>
                <w:color w:val="0000FF"/>
              </w:rPr>
              <w:t>3</w:t>
            </w:r>
          </w:p>
        </w:tc>
        <w:tc>
          <w:tcPr>
            <w:tcW w:w="2812" w:type="dxa"/>
            <w:vAlign w:val="center"/>
          </w:tcPr>
          <w:p>
            <w:pPr>
              <w:pStyle w:val="22"/>
              <w:bidi w:val="0"/>
              <w:jc w:val="center"/>
              <w:rPr>
                <w:color w:val="0000FF"/>
              </w:rPr>
            </w:pPr>
            <w:r>
              <w:rPr>
                <w:color w:val="0000FF"/>
              </w:rPr>
              <w:t>应急状态分类及应急响应程序</w:t>
            </w:r>
          </w:p>
        </w:tc>
        <w:tc>
          <w:tcPr>
            <w:tcW w:w="5042" w:type="dxa"/>
            <w:vAlign w:val="center"/>
          </w:tcPr>
          <w:p>
            <w:pPr>
              <w:pStyle w:val="22"/>
              <w:bidi w:val="0"/>
              <w:jc w:val="center"/>
              <w:rPr>
                <w:color w:val="0000FF"/>
              </w:rPr>
            </w:pPr>
            <w:r>
              <w:rPr>
                <w:color w:val="0000FF"/>
              </w:rPr>
              <w:t>规定事故的级别及相应的应急分离响应程序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jc w:val="center"/>
        </w:trPr>
        <w:tc>
          <w:tcPr>
            <w:tcW w:w="626" w:type="dxa"/>
            <w:vAlign w:val="center"/>
          </w:tcPr>
          <w:p>
            <w:pPr>
              <w:pStyle w:val="22"/>
              <w:bidi w:val="0"/>
              <w:jc w:val="center"/>
              <w:rPr>
                <w:color w:val="0000FF"/>
              </w:rPr>
            </w:pPr>
          </w:p>
          <w:p>
            <w:pPr>
              <w:pStyle w:val="22"/>
              <w:bidi w:val="0"/>
              <w:jc w:val="center"/>
              <w:rPr>
                <w:color w:val="0000FF"/>
              </w:rPr>
            </w:pPr>
            <w:r>
              <w:rPr>
                <w:color w:val="0000FF"/>
              </w:rPr>
              <w:t>4</w:t>
            </w:r>
          </w:p>
        </w:tc>
        <w:tc>
          <w:tcPr>
            <w:tcW w:w="2812" w:type="dxa"/>
            <w:vAlign w:val="center"/>
          </w:tcPr>
          <w:p>
            <w:pPr>
              <w:pStyle w:val="22"/>
              <w:bidi w:val="0"/>
              <w:jc w:val="center"/>
              <w:rPr>
                <w:color w:val="0000FF"/>
              </w:rPr>
            </w:pPr>
          </w:p>
          <w:p>
            <w:pPr>
              <w:pStyle w:val="22"/>
              <w:bidi w:val="0"/>
              <w:jc w:val="center"/>
              <w:rPr>
                <w:color w:val="0000FF"/>
              </w:rPr>
            </w:pPr>
            <w:r>
              <w:rPr>
                <w:color w:val="0000FF"/>
              </w:rPr>
              <w:t>应急设施、设备</w:t>
            </w:r>
          </w:p>
        </w:tc>
        <w:tc>
          <w:tcPr>
            <w:tcW w:w="5042" w:type="dxa"/>
            <w:vAlign w:val="center"/>
          </w:tcPr>
          <w:p>
            <w:pPr>
              <w:pStyle w:val="22"/>
              <w:bidi w:val="0"/>
              <w:jc w:val="center"/>
              <w:rPr>
                <w:color w:val="0000FF"/>
              </w:rPr>
            </w:pPr>
            <w:r>
              <w:rPr>
                <w:color w:val="0000FF"/>
              </w:rPr>
              <w:t>（1）防火灾、爆炸事故，防中毒应急设施、设备与材料，主要为消防器材，防毒面具和防护服装（2）防止试剂、病毒微生物外溢、扩散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626" w:type="dxa"/>
            <w:vAlign w:val="center"/>
          </w:tcPr>
          <w:p>
            <w:pPr>
              <w:pStyle w:val="22"/>
              <w:bidi w:val="0"/>
              <w:jc w:val="center"/>
              <w:rPr>
                <w:color w:val="0000FF"/>
              </w:rPr>
            </w:pPr>
            <w:r>
              <w:rPr>
                <w:color w:val="0000FF"/>
              </w:rPr>
              <w:t>5</w:t>
            </w:r>
          </w:p>
        </w:tc>
        <w:tc>
          <w:tcPr>
            <w:tcW w:w="2812" w:type="dxa"/>
            <w:vAlign w:val="center"/>
          </w:tcPr>
          <w:p>
            <w:pPr>
              <w:pStyle w:val="22"/>
              <w:bidi w:val="0"/>
              <w:jc w:val="center"/>
              <w:rPr>
                <w:color w:val="0000FF"/>
              </w:rPr>
            </w:pPr>
            <w:r>
              <w:rPr>
                <w:color w:val="0000FF"/>
              </w:rPr>
              <w:t>应急通讯、通知和交通</w:t>
            </w:r>
          </w:p>
        </w:tc>
        <w:tc>
          <w:tcPr>
            <w:tcW w:w="5042" w:type="dxa"/>
            <w:vAlign w:val="center"/>
          </w:tcPr>
          <w:p>
            <w:pPr>
              <w:pStyle w:val="22"/>
              <w:bidi w:val="0"/>
              <w:jc w:val="center"/>
              <w:rPr>
                <w:color w:val="0000FF"/>
              </w:rPr>
            </w:pPr>
            <w:r>
              <w:rPr>
                <w:color w:val="0000FF"/>
              </w:rPr>
              <w:t>规定应急状态下的通讯方式、通知方式和交通保障、管制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626" w:type="dxa"/>
            <w:vAlign w:val="center"/>
          </w:tcPr>
          <w:p>
            <w:pPr>
              <w:pStyle w:val="22"/>
              <w:bidi w:val="0"/>
              <w:jc w:val="center"/>
              <w:rPr>
                <w:color w:val="0000FF"/>
              </w:rPr>
            </w:pPr>
            <w:r>
              <w:rPr>
                <w:color w:val="0000FF"/>
              </w:rPr>
              <w:t>6</w:t>
            </w:r>
          </w:p>
        </w:tc>
        <w:tc>
          <w:tcPr>
            <w:tcW w:w="2812" w:type="dxa"/>
            <w:vAlign w:val="center"/>
          </w:tcPr>
          <w:p>
            <w:pPr>
              <w:pStyle w:val="22"/>
              <w:bidi w:val="0"/>
              <w:jc w:val="center"/>
              <w:rPr>
                <w:color w:val="0000FF"/>
              </w:rPr>
            </w:pPr>
            <w:r>
              <w:rPr>
                <w:color w:val="0000FF"/>
              </w:rPr>
              <w:t>应急环境监测及事故后评估</w:t>
            </w:r>
          </w:p>
        </w:tc>
        <w:tc>
          <w:tcPr>
            <w:tcW w:w="5042" w:type="dxa"/>
            <w:vAlign w:val="center"/>
          </w:tcPr>
          <w:p>
            <w:pPr>
              <w:pStyle w:val="22"/>
              <w:bidi w:val="0"/>
              <w:jc w:val="center"/>
              <w:rPr>
                <w:color w:val="0000FF"/>
              </w:rPr>
            </w:pPr>
            <w:r>
              <w:rPr>
                <w:color w:val="0000FF"/>
              </w:rPr>
              <w:t>由专业队伍对事故现场进行侦察监测，对事故性质、参数和后果进行评估，为指挥部门提供决策依据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626" w:type="dxa"/>
            <w:vAlign w:val="center"/>
          </w:tcPr>
          <w:p>
            <w:pPr>
              <w:pStyle w:val="22"/>
              <w:bidi w:val="0"/>
              <w:jc w:val="center"/>
              <w:rPr>
                <w:color w:val="0000FF"/>
              </w:rPr>
            </w:pPr>
          </w:p>
          <w:p>
            <w:pPr>
              <w:pStyle w:val="22"/>
              <w:bidi w:val="0"/>
              <w:jc w:val="center"/>
              <w:rPr>
                <w:color w:val="0000FF"/>
              </w:rPr>
            </w:pPr>
          </w:p>
          <w:p>
            <w:pPr>
              <w:pStyle w:val="22"/>
              <w:bidi w:val="0"/>
              <w:jc w:val="center"/>
              <w:rPr>
                <w:color w:val="0000FF"/>
              </w:rPr>
            </w:pPr>
            <w:r>
              <w:rPr>
                <w:color w:val="0000FF"/>
              </w:rPr>
              <w:t>7</w:t>
            </w:r>
          </w:p>
        </w:tc>
        <w:tc>
          <w:tcPr>
            <w:tcW w:w="2812" w:type="dxa"/>
            <w:vAlign w:val="center"/>
          </w:tcPr>
          <w:p>
            <w:pPr>
              <w:pStyle w:val="22"/>
              <w:bidi w:val="0"/>
              <w:jc w:val="center"/>
              <w:rPr>
                <w:color w:val="0000FF"/>
              </w:rPr>
            </w:pPr>
          </w:p>
          <w:p>
            <w:pPr>
              <w:pStyle w:val="22"/>
              <w:bidi w:val="0"/>
              <w:jc w:val="center"/>
              <w:rPr>
                <w:color w:val="0000FF"/>
              </w:rPr>
            </w:pPr>
            <w:r>
              <w:rPr>
                <w:color w:val="0000FF"/>
              </w:rPr>
              <w:t>应急防护措施、消除泄漏措施办法和器材</w:t>
            </w:r>
          </w:p>
        </w:tc>
        <w:tc>
          <w:tcPr>
            <w:tcW w:w="5042" w:type="dxa"/>
            <w:vAlign w:val="center"/>
          </w:tcPr>
          <w:p>
            <w:pPr>
              <w:pStyle w:val="22"/>
              <w:bidi w:val="0"/>
              <w:jc w:val="center"/>
              <w:rPr>
                <w:color w:val="0000FF"/>
              </w:rPr>
            </w:pPr>
            <w:r>
              <w:rPr>
                <w:color w:val="0000FF"/>
              </w:rPr>
              <w:t>事故现场：控制事故，</w:t>
            </w:r>
            <w:r>
              <w:rPr>
                <w:rFonts w:hint="eastAsia"/>
                <w:color w:val="0000FF"/>
                <w:lang w:eastAsia="zh-CN"/>
              </w:rPr>
              <w:t>防止</w:t>
            </w:r>
            <w:r>
              <w:rPr>
                <w:color w:val="0000FF"/>
              </w:rPr>
              <w:t>扩大、蔓延及</w:t>
            </w:r>
            <w:r>
              <w:rPr>
                <w:rFonts w:hint="eastAsia"/>
                <w:color w:val="0000FF"/>
                <w:lang w:eastAsia="zh-CN"/>
              </w:rPr>
              <w:t>连锁反应</w:t>
            </w:r>
            <w:r>
              <w:rPr>
                <w:color w:val="0000FF"/>
              </w:rPr>
              <w:t>，消除现场泄漏物、降低危害，相应的设施器材配备；</w:t>
            </w:r>
          </w:p>
          <w:p>
            <w:pPr>
              <w:pStyle w:val="22"/>
              <w:bidi w:val="0"/>
              <w:jc w:val="center"/>
              <w:rPr>
                <w:color w:val="0000FF"/>
              </w:rPr>
            </w:pPr>
            <w:r>
              <w:rPr>
                <w:color w:val="0000FF"/>
              </w:rPr>
              <w:t>邻近区域：控制火灾有毒区域，控制和消除污染措施相应的设施配备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626" w:type="dxa"/>
            <w:vAlign w:val="center"/>
          </w:tcPr>
          <w:p>
            <w:pPr>
              <w:pStyle w:val="22"/>
              <w:bidi w:val="0"/>
              <w:jc w:val="center"/>
              <w:rPr>
                <w:color w:val="0000FF"/>
              </w:rPr>
            </w:pPr>
          </w:p>
          <w:p>
            <w:pPr>
              <w:pStyle w:val="22"/>
              <w:bidi w:val="0"/>
              <w:jc w:val="center"/>
              <w:rPr>
                <w:color w:val="0000FF"/>
              </w:rPr>
            </w:pPr>
          </w:p>
          <w:p>
            <w:pPr>
              <w:pStyle w:val="22"/>
              <w:bidi w:val="0"/>
              <w:jc w:val="center"/>
              <w:rPr>
                <w:color w:val="0000FF"/>
              </w:rPr>
            </w:pPr>
            <w:r>
              <w:rPr>
                <w:color w:val="0000FF"/>
              </w:rPr>
              <w:t>8</w:t>
            </w:r>
          </w:p>
        </w:tc>
        <w:tc>
          <w:tcPr>
            <w:tcW w:w="2812" w:type="dxa"/>
            <w:vAlign w:val="center"/>
          </w:tcPr>
          <w:p>
            <w:pPr>
              <w:pStyle w:val="22"/>
              <w:bidi w:val="0"/>
              <w:jc w:val="center"/>
              <w:rPr>
                <w:color w:val="0000FF"/>
              </w:rPr>
            </w:pPr>
          </w:p>
          <w:p>
            <w:pPr>
              <w:pStyle w:val="22"/>
              <w:bidi w:val="0"/>
              <w:jc w:val="center"/>
              <w:rPr>
                <w:color w:val="0000FF"/>
              </w:rPr>
            </w:pPr>
            <w:r>
              <w:rPr>
                <w:color w:val="0000FF"/>
              </w:rPr>
              <w:t>应急剂量控制、撤离组织计划、医疗救护与公众健康</w:t>
            </w:r>
          </w:p>
        </w:tc>
        <w:tc>
          <w:tcPr>
            <w:tcW w:w="5042" w:type="dxa"/>
            <w:vAlign w:val="center"/>
          </w:tcPr>
          <w:p>
            <w:pPr>
              <w:pStyle w:val="22"/>
              <w:bidi w:val="0"/>
              <w:jc w:val="center"/>
              <w:rPr>
                <w:color w:val="0000FF"/>
              </w:rPr>
            </w:pPr>
            <w:r>
              <w:rPr>
                <w:color w:val="0000FF"/>
              </w:rPr>
              <w:t>事故现场：事故处理人员对毒物的应急剂量控制规定，现场及邻近装置区人员撤离组织计划及救护；</w:t>
            </w:r>
          </w:p>
          <w:p>
            <w:pPr>
              <w:pStyle w:val="22"/>
              <w:bidi w:val="0"/>
              <w:jc w:val="center"/>
              <w:rPr>
                <w:color w:val="0000FF"/>
              </w:rPr>
            </w:pPr>
            <w:r>
              <w:rPr>
                <w:color w:val="0000FF"/>
              </w:rPr>
              <w:t>邻近区：受事故影响的邻近区域人员及公众对毒物应急剂量控制规定，撤离组织及救护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626" w:type="dxa"/>
            <w:vAlign w:val="center"/>
          </w:tcPr>
          <w:p>
            <w:pPr>
              <w:pStyle w:val="22"/>
              <w:bidi w:val="0"/>
              <w:jc w:val="center"/>
              <w:rPr>
                <w:color w:val="0000FF"/>
              </w:rPr>
            </w:pPr>
            <w:r>
              <w:rPr>
                <w:color w:val="0000FF"/>
              </w:rPr>
              <w:t>9</w:t>
            </w:r>
          </w:p>
        </w:tc>
        <w:tc>
          <w:tcPr>
            <w:tcW w:w="2812" w:type="dxa"/>
            <w:vAlign w:val="center"/>
          </w:tcPr>
          <w:p>
            <w:pPr>
              <w:pStyle w:val="22"/>
              <w:bidi w:val="0"/>
              <w:jc w:val="center"/>
              <w:rPr>
                <w:color w:val="0000FF"/>
              </w:rPr>
            </w:pPr>
            <w:r>
              <w:rPr>
                <w:color w:val="0000FF"/>
              </w:rPr>
              <w:t>应急状态终止与恢复措施</w:t>
            </w:r>
          </w:p>
        </w:tc>
        <w:tc>
          <w:tcPr>
            <w:tcW w:w="5042" w:type="dxa"/>
            <w:vAlign w:val="center"/>
          </w:tcPr>
          <w:p>
            <w:pPr>
              <w:pStyle w:val="22"/>
              <w:bidi w:val="0"/>
              <w:jc w:val="center"/>
              <w:rPr>
                <w:color w:val="0000FF"/>
              </w:rPr>
            </w:pPr>
            <w:r>
              <w:rPr>
                <w:color w:val="0000FF"/>
              </w:rPr>
              <w:t>规定应急状态终止程序：事故善后处理，恢复措施，邻近区域解防事故警戒及善后恢复措施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626" w:type="dxa"/>
            <w:vAlign w:val="center"/>
          </w:tcPr>
          <w:p>
            <w:pPr>
              <w:pStyle w:val="22"/>
              <w:bidi w:val="0"/>
              <w:jc w:val="center"/>
              <w:rPr>
                <w:color w:val="0000FF"/>
              </w:rPr>
            </w:pPr>
            <w:r>
              <w:rPr>
                <w:color w:val="0000FF"/>
              </w:rPr>
              <w:t>10</w:t>
            </w:r>
          </w:p>
        </w:tc>
        <w:tc>
          <w:tcPr>
            <w:tcW w:w="2812" w:type="dxa"/>
            <w:vAlign w:val="center"/>
          </w:tcPr>
          <w:p>
            <w:pPr>
              <w:pStyle w:val="22"/>
              <w:bidi w:val="0"/>
              <w:jc w:val="center"/>
              <w:rPr>
                <w:color w:val="0000FF"/>
              </w:rPr>
            </w:pPr>
            <w:r>
              <w:rPr>
                <w:color w:val="0000FF"/>
              </w:rPr>
              <w:t>人员培训与演练</w:t>
            </w:r>
          </w:p>
        </w:tc>
        <w:tc>
          <w:tcPr>
            <w:tcW w:w="5042" w:type="dxa"/>
            <w:vAlign w:val="center"/>
          </w:tcPr>
          <w:p>
            <w:pPr>
              <w:pStyle w:val="22"/>
              <w:bidi w:val="0"/>
              <w:jc w:val="center"/>
              <w:rPr>
                <w:color w:val="0000FF"/>
              </w:rPr>
            </w:pPr>
            <w:r>
              <w:rPr>
                <w:color w:val="0000FF"/>
              </w:rPr>
              <w:t>应急计划制定后，平时安排人员培训及演练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626" w:type="dxa"/>
            <w:vAlign w:val="center"/>
          </w:tcPr>
          <w:p>
            <w:pPr>
              <w:pStyle w:val="22"/>
              <w:bidi w:val="0"/>
              <w:jc w:val="center"/>
              <w:rPr>
                <w:color w:val="0000FF"/>
              </w:rPr>
            </w:pPr>
            <w:r>
              <w:rPr>
                <w:color w:val="0000FF"/>
              </w:rPr>
              <w:t>11</w:t>
            </w:r>
          </w:p>
        </w:tc>
        <w:tc>
          <w:tcPr>
            <w:tcW w:w="2812" w:type="dxa"/>
            <w:vAlign w:val="center"/>
          </w:tcPr>
          <w:p>
            <w:pPr>
              <w:pStyle w:val="22"/>
              <w:bidi w:val="0"/>
              <w:jc w:val="center"/>
              <w:rPr>
                <w:color w:val="0000FF"/>
              </w:rPr>
            </w:pPr>
            <w:r>
              <w:rPr>
                <w:color w:val="0000FF"/>
              </w:rPr>
              <w:t>公众教育和信息</w:t>
            </w:r>
          </w:p>
        </w:tc>
        <w:tc>
          <w:tcPr>
            <w:tcW w:w="5042" w:type="dxa"/>
            <w:vAlign w:val="center"/>
          </w:tcPr>
          <w:p>
            <w:pPr>
              <w:pStyle w:val="22"/>
              <w:bidi w:val="0"/>
              <w:jc w:val="center"/>
              <w:rPr>
                <w:color w:val="0000FF"/>
              </w:rPr>
            </w:pPr>
            <w:r>
              <w:rPr>
                <w:color w:val="0000FF"/>
              </w:rPr>
              <w:t>对项目邻近地区开展公众教育、培训与发布相关信息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626" w:type="dxa"/>
            <w:vAlign w:val="center"/>
          </w:tcPr>
          <w:p>
            <w:pPr>
              <w:pStyle w:val="22"/>
              <w:bidi w:val="0"/>
              <w:jc w:val="center"/>
              <w:rPr>
                <w:color w:val="0000FF"/>
              </w:rPr>
            </w:pPr>
            <w:r>
              <w:rPr>
                <w:color w:val="0000FF"/>
              </w:rPr>
              <w:t>12</w:t>
            </w:r>
          </w:p>
        </w:tc>
        <w:tc>
          <w:tcPr>
            <w:tcW w:w="2812" w:type="dxa"/>
            <w:vAlign w:val="center"/>
          </w:tcPr>
          <w:p>
            <w:pPr>
              <w:pStyle w:val="22"/>
              <w:bidi w:val="0"/>
              <w:jc w:val="center"/>
              <w:rPr>
                <w:color w:val="0000FF"/>
              </w:rPr>
            </w:pPr>
            <w:r>
              <w:rPr>
                <w:color w:val="0000FF"/>
              </w:rPr>
              <w:t>记录和报告</w:t>
            </w:r>
          </w:p>
        </w:tc>
        <w:tc>
          <w:tcPr>
            <w:tcW w:w="5042" w:type="dxa"/>
            <w:vAlign w:val="center"/>
          </w:tcPr>
          <w:p>
            <w:pPr>
              <w:pStyle w:val="22"/>
              <w:bidi w:val="0"/>
              <w:jc w:val="center"/>
              <w:rPr>
                <w:color w:val="0000FF"/>
              </w:rPr>
            </w:pPr>
            <w:r>
              <w:rPr>
                <w:color w:val="0000FF"/>
              </w:rPr>
              <w:t>设置应急事故专门记录，建立档案和专门报告制度，设专门部门和负责管理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626" w:type="dxa"/>
            <w:vAlign w:val="center"/>
          </w:tcPr>
          <w:p>
            <w:pPr>
              <w:pStyle w:val="22"/>
              <w:bidi w:val="0"/>
              <w:jc w:val="center"/>
              <w:rPr>
                <w:color w:val="0000FF"/>
              </w:rPr>
            </w:pPr>
            <w:r>
              <w:rPr>
                <w:color w:val="0000FF"/>
              </w:rPr>
              <w:t>13</w:t>
            </w:r>
          </w:p>
        </w:tc>
        <w:tc>
          <w:tcPr>
            <w:tcW w:w="2812" w:type="dxa"/>
            <w:vAlign w:val="center"/>
          </w:tcPr>
          <w:p>
            <w:pPr>
              <w:pStyle w:val="22"/>
              <w:bidi w:val="0"/>
              <w:jc w:val="center"/>
              <w:rPr>
                <w:color w:val="0000FF"/>
              </w:rPr>
            </w:pPr>
            <w:r>
              <w:rPr>
                <w:color w:val="0000FF"/>
              </w:rPr>
              <w:t>附件</w:t>
            </w:r>
          </w:p>
        </w:tc>
        <w:tc>
          <w:tcPr>
            <w:tcW w:w="5042" w:type="dxa"/>
            <w:vAlign w:val="center"/>
          </w:tcPr>
          <w:p>
            <w:pPr>
              <w:pStyle w:val="22"/>
              <w:bidi w:val="0"/>
              <w:jc w:val="center"/>
              <w:rPr>
                <w:color w:val="0000FF"/>
              </w:rPr>
            </w:pPr>
            <w:r>
              <w:rPr>
                <w:color w:val="0000FF"/>
              </w:rPr>
              <w:t>与应急事故有关的多种附件材料的准备和形成</w:t>
            </w:r>
          </w:p>
        </w:tc>
      </w:tr>
    </w:tbl>
    <w:p>
      <w:pPr>
        <w:pStyle w:val="7"/>
        <w:bidi w:val="0"/>
        <w:rPr>
          <w:color w:val="0000FF"/>
        </w:rPr>
      </w:pPr>
      <w:r>
        <w:rPr>
          <w:rFonts w:hint="eastAsia"/>
          <w:color w:val="0000FF"/>
          <w:lang w:val="en-US" w:eastAsia="zh-CN"/>
        </w:rPr>
        <w:t>5.2.7.6</w:t>
      </w:r>
      <w:r>
        <w:rPr>
          <w:color w:val="0000FF"/>
        </w:rPr>
        <w:t>环境风险评价结论</w:t>
      </w:r>
    </w:p>
    <w:p>
      <w:pPr>
        <w:bidi w:val="0"/>
        <w:rPr>
          <w:color w:val="0000FF"/>
        </w:rPr>
      </w:pPr>
      <w:r>
        <w:rPr>
          <w:color w:val="0000FF"/>
        </w:rPr>
        <w:t>通过本次评价要求，在采取本环评推荐的环境风险防范措施后，可使项目运营后的风险事故隐患降至最低。因此，本评价认为在严格落实环境影响评价提出的各项风险防范措施及事故应急预案的基础上，本项目建设的风险水平是可以接受的。</w:t>
      </w:r>
    </w:p>
    <w:p>
      <w:pPr>
        <w:rPr>
          <w:rFonts w:hint="eastAsia"/>
          <w:color w:val="0000FF"/>
          <w:lang w:val="en-US" w:eastAsia="zh-CN"/>
        </w:rPr>
      </w:pPr>
      <w:r>
        <w:rPr>
          <w:rFonts w:hint="eastAsia"/>
          <w:color w:val="0000FF"/>
          <w:lang w:val="en-US" w:eastAsia="zh-CN"/>
        </w:rPr>
        <w:br w:type="page"/>
      </w:r>
    </w:p>
    <w:p>
      <w:pPr>
        <w:pStyle w:val="4"/>
        <w:bidi w:val="0"/>
        <w:rPr>
          <w:rFonts w:hint="eastAsia"/>
          <w:color w:val="0000FF"/>
          <w:lang w:val="en-US" w:eastAsia="zh-CN"/>
        </w:rPr>
      </w:pPr>
      <w:bookmarkStart w:id="103" w:name="_Toc17022"/>
      <w:r>
        <w:rPr>
          <w:rFonts w:hint="eastAsia"/>
          <w:color w:val="0000FF"/>
          <w:lang w:val="en-US" w:eastAsia="zh-CN"/>
        </w:rPr>
        <w:t>6施工期环保措施分析</w:t>
      </w:r>
      <w:bookmarkEnd w:id="103"/>
    </w:p>
    <w:p>
      <w:pPr>
        <w:pStyle w:val="5"/>
        <w:bidi w:val="0"/>
        <w:rPr>
          <w:color w:val="0000FF"/>
        </w:rPr>
      </w:pPr>
      <w:bookmarkStart w:id="104" w:name="_Toc16467"/>
      <w:r>
        <w:rPr>
          <w:color w:val="0000FF"/>
        </w:rPr>
        <w:t>6.1施工期污染防治措施</w:t>
      </w:r>
      <w:bookmarkEnd w:id="104"/>
    </w:p>
    <w:p>
      <w:pPr>
        <w:bidi w:val="0"/>
        <w:rPr>
          <w:color w:val="0000FF"/>
        </w:rPr>
      </w:pPr>
      <w:r>
        <w:rPr>
          <w:rFonts w:hint="eastAsia"/>
          <w:color w:val="0000FF"/>
          <w:lang w:val="en-US" w:eastAsia="zh-CN"/>
        </w:rPr>
        <w:t>由于本项目现已施工完毕，故施工期环境影响分析以回顾性评价为主。本项目施工期经现场调查无环保遗留问题。</w:t>
      </w:r>
    </w:p>
    <w:p>
      <w:pPr>
        <w:pStyle w:val="6"/>
        <w:bidi w:val="0"/>
        <w:rPr>
          <w:rFonts w:hint="default"/>
          <w:color w:val="0000FF"/>
          <w:lang w:val="en-US" w:eastAsia="zh-CN"/>
        </w:rPr>
      </w:pPr>
      <w:bookmarkStart w:id="105" w:name="_Toc24924"/>
      <w:r>
        <w:rPr>
          <w:rFonts w:hint="eastAsia"/>
          <w:color w:val="0000FF"/>
          <w:lang w:val="en-US" w:eastAsia="zh-CN"/>
        </w:rPr>
        <w:t>6</w:t>
      </w:r>
      <w:r>
        <w:rPr>
          <w:color w:val="0000FF"/>
        </w:rPr>
        <w:t>.1.1</w:t>
      </w:r>
      <w:r>
        <w:rPr>
          <w:rFonts w:hint="eastAsia"/>
          <w:color w:val="0000FF"/>
          <w:lang w:val="en-US" w:eastAsia="zh-CN"/>
        </w:rPr>
        <w:t>大气污染防治措施</w:t>
      </w:r>
      <w:bookmarkEnd w:id="105"/>
    </w:p>
    <w:p>
      <w:pPr>
        <w:bidi w:val="0"/>
        <w:rPr>
          <w:rFonts w:hint="eastAsia"/>
          <w:color w:val="0000FF"/>
          <w:lang w:val="en-US" w:eastAsia="zh-CN"/>
        </w:rPr>
      </w:pPr>
      <w:r>
        <w:rPr>
          <w:rFonts w:hint="eastAsia"/>
          <w:color w:val="0000FF"/>
          <w:lang w:val="en-US" w:eastAsia="zh-CN"/>
        </w:rPr>
        <w:t>工程施工对环境空气质量的影响主要为土方开挖和填筑、建筑材料运输等产生的粉尘与扬尘，以及施工机械和运输车辆燃油排放的废气等，其主要污染物为悬浮颗粒物。但是施工区域地形开阔，大气污染物扩散条件良好，因此施工产生的粉尘及扬尘对区域环境空气质量产生的影响不大，不会改变沿线区域的环境空气质量。</w:t>
      </w:r>
    </w:p>
    <w:p>
      <w:pPr>
        <w:bidi w:val="0"/>
        <w:rPr>
          <w:rFonts w:hint="default"/>
          <w:color w:val="0000FF"/>
          <w:lang w:val="zh-CN" w:eastAsia="zh-CN"/>
        </w:rPr>
      </w:pPr>
      <w:r>
        <w:rPr>
          <w:rFonts w:hint="default"/>
          <w:color w:val="0000FF"/>
          <w:lang w:val="zh-CN" w:eastAsia="zh-CN"/>
        </w:rPr>
        <w:t>①土方开挖、回填扬尘</w:t>
      </w:r>
    </w:p>
    <w:p>
      <w:pPr>
        <w:bidi w:val="0"/>
        <w:rPr>
          <w:rFonts w:hint="default"/>
          <w:color w:val="0000FF"/>
          <w:lang w:val="zh-CN" w:eastAsia="zh-CN"/>
        </w:rPr>
      </w:pPr>
      <w:r>
        <w:rPr>
          <w:rFonts w:hint="eastAsia"/>
          <w:color w:val="0000FF"/>
          <w:lang w:val="en-US" w:eastAsia="zh-CN"/>
        </w:rPr>
        <w:t>通过调查，施工时已</w:t>
      </w:r>
      <w:r>
        <w:rPr>
          <w:rFonts w:hint="default"/>
          <w:color w:val="0000FF"/>
          <w:lang w:val="zh-CN" w:eastAsia="zh-CN"/>
        </w:rPr>
        <w:t>设置清洁有效的施工围挡</w:t>
      </w:r>
      <w:r>
        <w:rPr>
          <w:rFonts w:hint="eastAsia"/>
          <w:color w:val="0000FF"/>
          <w:lang w:val="zh-CN" w:eastAsia="zh-CN"/>
        </w:rPr>
        <w:t>、</w:t>
      </w:r>
      <w:r>
        <w:rPr>
          <w:rFonts w:hint="eastAsia"/>
          <w:color w:val="0000FF"/>
          <w:lang w:val="en-US" w:eastAsia="zh-CN"/>
        </w:rPr>
        <w:t>防尘网苫盖</w:t>
      </w:r>
      <w:r>
        <w:rPr>
          <w:rFonts w:hint="default"/>
          <w:color w:val="0000FF"/>
          <w:lang w:val="zh-CN" w:eastAsia="zh-CN"/>
        </w:rPr>
        <w:t>，同时对施工现场定时洒水抑尘。采取以上措施后，施工扬尘对周围环境空气质量影响较小。</w:t>
      </w:r>
    </w:p>
    <w:p>
      <w:pPr>
        <w:bidi w:val="0"/>
        <w:rPr>
          <w:rFonts w:hint="default"/>
          <w:color w:val="0000FF"/>
          <w:lang w:val="en-US" w:eastAsia="zh-CN"/>
        </w:rPr>
      </w:pPr>
      <w:r>
        <w:rPr>
          <w:rFonts w:hint="default"/>
          <w:color w:val="0000FF"/>
          <w:lang w:val="en-US" w:eastAsia="zh-CN"/>
        </w:rPr>
        <w:t>②堆场扬尘</w:t>
      </w:r>
    </w:p>
    <w:p>
      <w:pPr>
        <w:bidi w:val="0"/>
        <w:rPr>
          <w:rFonts w:hint="default"/>
          <w:color w:val="0000FF"/>
          <w:lang w:val="en-US" w:eastAsia="zh-CN"/>
        </w:rPr>
      </w:pPr>
      <w:r>
        <w:rPr>
          <w:rFonts w:hint="default"/>
          <w:color w:val="0000FF"/>
          <w:lang w:val="en-US" w:eastAsia="zh-CN"/>
        </w:rPr>
        <w:t>本项目建筑材料及土方开挖等物料暂存于工程区范围内，砂石粉料、土方及裸露的地表</w:t>
      </w:r>
      <w:r>
        <w:rPr>
          <w:rFonts w:hint="eastAsia"/>
          <w:color w:val="0000FF"/>
          <w:lang w:val="en-US" w:eastAsia="zh-CN"/>
        </w:rPr>
        <w:t>在</w:t>
      </w:r>
      <w:r>
        <w:rPr>
          <w:rFonts w:hint="default"/>
          <w:color w:val="0000FF"/>
          <w:lang w:val="en-US" w:eastAsia="zh-CN"/>
        </w:rPr>
        <w:t>气候干燥且有风的情况下，会产生大量的扬尘</w:t>
      </w:r>
      <w:r>
        <w:rPr>
          <w:rFonts w:hint="eastAsia"/>
          <w:color w:val="0000FF"/>
          <w:lang w:val="en-US" w:eastAsia="zh-CN"/>
        </w:rPr>
        <w:t>，</w:t>
      </w:r>
      <w:r>
        <w:rPr>
          <w:rFonts w:hint="default"/>
          <w:color w:val="0000FF"/>
          <w:lang w:val="en-US" w:eastAsia="zh-CN"/>
        </w:rPr>
        <w:t>施工期</w:t>
      </w:r>
      <w:r>
        <w:rPr>
          <w:rFonts w:hint="eastAsia"/>
          <w:color w:val="0000FF"/>
          <w:lang w:val="en-US" w:eastAsia="zh-CN"/>
        </w:rPr>
        <w:t>间</w:t>
      </w:r>
      <w:r>
        <w:rPr>
          <w:rFonts w:hint="default"/>
          <w:color w:val="0000FF"/>
          <w:lang w:val="en-US" w:eastAsia="zh-CN"/>
        </w:rPr>
        <w:t>对堆存物料采用</w:t>
      </w:r>
      <w:r>
        <w:rPr>
          <w:rFonts w:hint="eastAsia"/>
          <w:color w:val="0000FF"/>
          <w:lang w:val="en-US" w:eastAsia="zh-CN"/>
        </w:rPr>
        <w:t>防尘网苫盖并</w:t>
      </w:r>
      <w:r>
        <w:rPr>
          <w:rFonts w:hint="default"/>
          <w:color w:val="0000FF"/>
          <w:lang w:val="en-US" w:eastAsia="zh-CN"/>
        </w:rPr>
        <w:t>对易产尘物料定时洒水</w:t>
      </w:r>
      <w:r>
        <w:rPr>
          <w:rFonts w:hint="eastAsia"/>
          <w:color w:val="0000FF"/>
          <w:lang w:val="en-US" w:eastAsia="zh-CN"/>
        </w:rPr>
        <w:t>等措施</w:t>
      </w:r>
      <w:r>
        <w:rPr>
          <w:rFonts w:hint="default"/>
          <w:color w:val="0000FF"/>
          <w:lang w:val="en-US" w:eastAsia="zh-CN"/>
        </w:rPr>
        <w:t>。</w:t>
      </w:r>
    </w:p>
    <w:p>
      <w:pPr>
        <w:bidi w:val="0"/>
        <w:rPr>
          <w:rFonts w:hint="default"/>
          <w:color w:val="0000FF"/>
          <w:lang w:val="en-US" w:eastAsia="zh-CN"/>
        </w:rPr>
      </w:pPr>
      <w:r>
        <w:rPr>
          <w:rFonts w:hint="eastAsia"/>
          <w:color w:val="0000FF"/>
          <w:lang w:val="en-US" w:eastAsia="zh-CN"/>
        </w:rPr>
        <w:t>③</w:t>
      </w:r>
      <w:r>
        <w:rPr>
          <w:rFonts w:hint="default"/>
          <w:color w:val="0000FF"/>
          <w:lang w:val="en-US" w:eastAsia="zh-CN"/>
        </w:rPr>
        <w:t>车辆运输扬尘</w:t>
      </w:r>
    </w:p>
    <w:p>
      <w:pPr>
        <w:bidi w:val="0"/>
        <w:rPr>
          <w:rFonts w:hint="default"/>
          <w:color w:val="0000FF"/>
          <w:lang w:val="en-US" w:eastAsia="zh-CN"/>
        </w:rPr>
      </w:pPr>
      <w:r>
        <w:rPr>
          <w:rFonts w:hint="eastAsia"/>
          <w:color w:val="0000FF"/>
          <w:lang w:val="en-US" w:eastAsia="zh-CN"/>
        </w:rPr>
        <w:t>通过调查，</w:t>
      </w:r>
      <w:r>
        <w:rPr>
          <w:rFonts w:hint="default"/>
          <w:color w:val="0000FF"/>
          <w:lang w:val="en-US" w:eastAsia="zh-CN"/>
        </w:rPr>
        <w:t>在施工过程中</w:t>
      </w:r>
      <w:r>
        <w:rPr>
          <w:rFonts w:hint="eastAsia"/>
          <w:color w:val="0000FF"/>
          <w:lang w:val="en-US" w:eastAsia="zh-CN"/>
        </w:rPr>
        <w:t>已采取</w:t>
      </w:r>
      <w:r>
        <w:rPr>
          <w:rFonts w:hint="default"/>
          <w:color w:val="0000FF"/>
          <w:lang w:val="en-US" w:eastAsia="zh-CN"/>
        </w:rPr>
        <w:t>限制车辆行驶速度及路面洒水</w:t>
      </w:r>
      <w:r>
        <w:rPr>
          <w:rFonts w:hint="eastAsia"/>
          <w:color w:val="0000FF"/>
          <w:lang w:val="en-US" w:eastAsia="zh-CN"/>
        </w:rPr>
        <w:t>降尘等措施</w:t>
      </w:r>
      <w:r>
        <w:rPr>
          <w:rFonts w:hint="default"/>
          <w:color w:val="0000FF"/>
          <w:lang w:val="en-US" w:eastAsia="zh-CN"/>
        </w:rPr>
        <w:t>。</w:t>
      </w:r>
    </w:p>
    <w:p>
      <w:pPr>
        <w:bidi w:val="0"/>
        <w:rPr>
          <w:rFonts w:hint="default"/>
          <w:color w:val="0000FF"/>
          <w:lang w:val="en-US" w:eastAsia="zh-CN"/>
        </w:rPr>
      </w:pPr>
      <w:r>
        <w:rPr>
          <w:rFonts w:hint="eastAsia"/>
          <w:color w:val="0000FF"/>
          <w:lang w:val="en-US" w:eastAsia="zh-CN"/>
        </w:rPr>
        <w:t>④</w:t>
      </w:r>
      <w:r>
        <w:rPr>
          <w:rFonts w:hint="default"/>
          <w:color w:val="0000FF"/>
          <w:lang w:val="en-US" w:eastAsia="zh-CN"/>
        </w:rPr>
        <w:t>燃油机械废气及车辆尾气</w:t>
      </w:r>
    </w:p>
    <w:p>
      <w:pPr>
        <w:bidi w:val="0"/>
        <w:rPr>
          <w:rFonts w:hint="default"/>
          <w:color w:val="0000FF"/>
          <w:lang w:val="en-US" w:eastAsia="zh-CN"/>
        </w:rPr>
      </w:pPr>
      <w:r>
        <w:rPr>
          <w:rFonts w:hint="default"/>
          <w:color w:val="0000FF"/>
          <w:lang w:val="en-US" w:eastAsia="zh-CN"/>
        </w:rPr>
        <w:t>工程施工期间燃油废气主要是施工机械、运输车辆排放废气以及柴油发电机发电产生的燃油废气，产生的污染物主要为SO</w:t>
      </w:r>
      <w:r>
        <w:rPr>
          <w:rFonts w:hint="default"/>
          <w:color w:val="0000FF"/>
          <w:vertAlign w:val="subscript"/>
          <w:lang w:val="en-US" w:eastAsia="zh-CN"/>
        </w:rPr>
        <w:t>2</w:t>
      </w:r>
      <w:r>
        <w:rPr>
          <w:rFonts w:hint="default"/>
          <w:color w:val="0000FF"/>
          <w:lang w:val="en-US" w:eastAsia="zh-CN"/>
        </w:rPr>
        <w:t>、NOx、CO、TSP。</w:t>
      </w:r>
    </w:p>
    <w:p>
      <w:pPr>
        <w:bidi w:val="0"/>
        <w:rPr>
          <w:rFonts w:hint="default"/>
          <w:color w:val="0000FF"/>
          <w:lang w:val="en-US" w:eastAsia="zh-CN"/>
        </w:rPr>
      </w:pPr>
      <w:r>
        <w:rPr>
          <w:rFonts w:hint="default"/>
          <w:color w:val="0000FF"/>
          <w:lang w:val="en-US" w:eastAsia="zh-CN"/>
        </w:rPr>
        <w:t>根据现场调查，工程施工期间使用机械主要为自卸汽车、挖掘机、推土机、载重汽车等，其中运输车辆主要集中于施工道路沿线，其他施工机械主要布置于各施工场地。</w:t>
      </w:r>
    </w:p>
    <w:p>
      <w:pPr>
        <w:bidi w:val="0"/>
        <w:rPr>
          <w:rFonts w:hint="default"/>
          <w:color w:val="0000FF"/>
          <w:lang w:val="en-US" w:eastAsia="zh-CN"/>
        </w:rPr>
      </w:pPr>
      <w:r>
        <w:rPr>
          <w:rFonts w:hint="default"/>
          <w:color w:val="0000FF"/>
          <w:lang w:val="en-US" w:eastAsia="zh-CN"/>
        </w:rPr>
        <w:t>由于本工程总体呈线性，施工线长，施工场地较小且布置分散，施工期油料使用量较少，燃油废气污染强度不大，且SO</w:t>
      </w:r>
      <w:r>
        <w:rPr>
          <w:rFonts w:hint="default"/>
          <w:color w:val="0000FF"/>
          <w:vertAlign w:val="subscript"/>
          <w:lang w:val="en-US" w:eastAsia="zh-CN"/>
        </w:rPr>
        <w:t>2</w:t>
      </w:r>
      <w:r>
        <w:rPr>
          <w:rFonts w:hint="default"/>
          <w:color w:val="0000FF"/>
          <w:lang w:val="en-US" w:eastAsia="zh-CN"/>
        </w:rPr>
        <w:t>、NOx、CO、TSP等污染物多为流动的、扩散的、间歇性排放，因此燃油废气排放影响十分有限。</w:t>
      </w:r>
    </w:p>
    <w:p>
      <w:pPr>
        <w:bidi w:val="0"/>
        <w:rPr>
          <w:rFonts w:hint="default"/>
          <w:color w:val="0000FF"/>
          <w:lang w:val="en-US" w:eastAsia="zh-CN"/>
        </w:rPr>
      </w:pPr>
      <w:r>
        <w:rPr>
          <w:rFonts w:hint="default"/>
          <w:color w:val="0000FF"/>
          <w:lang w:val="en-US" w:eastAsia="zh-CN"/>
        </w:rPr>
        <w:t>因此，施工车辆和机械作业中燃油排放的废气，没有引起工程区域环境空气质量明显降低。</w:t>
      </w:r>
    </w:p>
    <w:p>
      <w:pPr>
        <w:pStyle w:val="6"/>
        <w:rPr>
          <w:rFonts w:hint="default"/>
          <w:color w:val="0000FF"/>
          <w:lang w:val="en-US" w:eastAsia="zh-CN"/>
        </w:rPr>
      </w:pPr>
      <w:bookmarkStart w:id="106" w:name="_Toc28182"/>
      <w:r>
        <w:rPr>
          <w:rFonts w:hint="eastAsia"/>
          <w:color w:val="0000FF"/>
          <w:lang w:val="en-US" w:eastAsia="zh-CN"/>
        </w:rPr>
        <w:t>6.1.2水污染防治措施</w:t>
      </w:r>
      <w:bookmarkEnd w:id="106"/>
    </w:p>
    <w:p>
      <w:pPr>
        <w:bidi w:val="0"/>
        <w:rPr>
          <w:rFonts w:hint="eastAsia"/>
          <w:color w:val="0000FF"/>
        </w:rPr>
      </w:pPr>
      <w:r>
        <w:rPr>
          <w:rFonts w:hint="eastAsia"/>
          <w:color w:val="0000FF"/>
        </w:rPr>
        <w:t>施工期的水污染主要有施工废水、施工人员生活废水。</w:t>
      </w:r>
    </w:p>
    <w:p>
      <w:pPr>
        <w:bidi w:val="0"/>
        <w:rPr>
          <w:rFonts w:hint="eastAsia"/>
          <w:color w:val="0000FF"/>
        </w:rPr>
      </w:pPr>
      <w:r>
        <w:rPr>
          <w:rFonts w:hint="eastAsia"/>
          <w:color w:val="0000FF"/>
          <w:lang w:eastAsia="zh-CN"/>
        </w:rPr>
        <w:t>（</w:t>
      </w:r>
      <w:r>
        <w:rPr>
          <w:rFonts w:hint="eastAsia"/>
          <w:color w:val="0000FF"/>
          <w:lang w:val="en-US" w:eastAsia="zh-CN"/>
        </w:rPr>
        <w:t>1</w:t>
      </w:r>
      <w:r>
        <w:rPr>
          <w:rFonts w:hint="eastAsia"/>
          <w:color w:val="0000FF"/>
          <w:lang w:eastAsia="zh-CN"/>
        </w:rPr>
        <w:t>）</w:t>
      </w:r>
      <w:r>
        <w:rPr>
          <w:rFonts w:hint="eastAsia"/>
          <w:color w:val="0000FF"/>
        </w:rPr>
        <w:t>施工废水</w:t>
      </w:r>
    </w:p>
    <w:p>
      <w:pPr>
        <w:bidi w:val="0"/>
        <w:rPr>
          <w:color w:val="0000FF"/>
        </w:rPr>
      </w:pPr>
      <w:r>
        <w:rPr>
          <w:color w:val="0000FF"/>
        </w:rPr>
        <w:t>施工场地废水主要为砂石料冲洗水、混凝土拌合废水及车辆机械冲洗水等。</w:t>
      </w:r>
    </w:p>
    <w:p>
      <w:pPr>
        <w:bidi w:val="0"/>
        <w:rPr>
          <w:color w:val="0000FF"/>
        </w:rPr>
      </w:pPr>
      <w:r>
        <w:rPr>
          <w:color w:val="0000FF"/>
        </w:rPr>
        <w:t>本项目</w:t>
      </w:r>
      <w:r>
        <w:rPr>
          <w:rFonts w:hint="eastAsia"/>
          <w:color w:val="0000FF"/>
          <w:lang w:val="en-US" w:eastAsia="zh-CN"/>
        </w:rPr>
        <w:t>已</w:t>
      </w:r>
      <w:r>
        <w:rPr>
          <w:color w:val="0000FF"/>
        </w:rPr>
        <w:t>在施工场地内</w:t>
      </w:r>
      <w:r>
        <w:rPr>
          <w:rFonts w:hint="eastAsia"/>
          <w:color w:val="0000FF"/>
          <w:lang w:eastAsia="zh-CN"/>
        </w:rPr>
        <w:t>设置</w:t>
      </w:r>
      <w:r>
        <w:rPr>
          <w:color w:val="0000FF"/>
        </w:rPr>
        <w:t>隔油沉淀池，废水由沉淀池收集，经沉淀除渣等处理后回用做降尘用水，</w:t>
      </w:r>
      <w:r>
        <w:rPr>
          <w:rFonts w:hint="eastAsia"/>
          <w:color w:val="0000FF"/>
          <w:lang w:val="en-US" w:eastAsia="zh-CN"/>
        </w:rPr>
        <w:t>未对周边地表水环境造成影响</w:t>
      </w:r>
      <w:r>
        <w:rPr>
          <w:color w:val="0000FF"/>
        </w:rPr>
        <w:t>。</w:t>
      </w:r>
    </w:p>
    <w:p>
      <w:pPr>
        <w:bidi w:val="0"/>
        <w:rPr>
          <w:rFonts w:hint="eastAsia"/>
          <w:color w:val="0000FF"/>
          <w:lang w:val="en-US" w:eastAsia="zh-CN"/>
        </w:rPr>
      </w:pPr>
      <w:r>
        <w:rPr>
          <w:rFonts w:hint="eastAsia"/>
          <w:color w:val="0000FF"/>
          <w:lang w:val="en-US" w:eastAsia="zh-CN"/>
        </w:rPr>
        <w:t>（2）生活污水</w:t>
      </w:r>
    </w:p>
    <w:p>
      <w:pPr>
        <w:rPr>
          <w:color w:val="0000FF"/>
        </w:rPr>
      </w:pPr>
      <w:r>
        <w:rPr>
          <w:rFonts w:hint="default"/>
          <w:color w:val="0000FF"/>
          <w:lang w:val="en-US" w:eastAsia="zh-CN"/>
        </w:rPr>
        <w:t>本项目</w:t>
      </w:r>
      <w:r>
        <w:rPr>
          <w:rFonts w:hint="eastAsia"/>
          <w:color w:val="0000FF"/>
          <w:lang w:val="en-US" w:eastAsia="zh-CN"/>
        </w:rPr>
        <w:t>设置一处临时生产生活区</w:t>
      </w:r>
      <w:r>
        <w:rPr>
          <w:rFonts w:hint="default"/>
          <w:color w:val="0000FF"/>
          <w:lang w:val="en-US" w:eastAsia="zh-CN"/>
        </w:rPr>
        <w:t>，</w:t>
      </w:r>
      <w:r>
        <w:rPr>
          <w:rFonts w:hint="eastAsia"/>
          <w:color w:val="0000FF"/>
          <w:lang w:val="en-US" w:eastAsia="zh-CN"/>
        </w:rPr>
        <w:t>施工方生活废水排入</w:t>
      </w:r>
      <w:r>
        <w:rPr>
          <w:rFonts w:ascii="宋体" w:hAnsi="宋体" w:eastAsia="宋体" w:cs="宋体"/>
          <w:color w:val="0000FF"/>
          <w:spacing w:val="-1"/>
          <w:sz w:val="24"/>
          <w:szCs w:val="24"/>
        </w:rPr>
        <w:t>市政下水管网，</w:t>
      </w:r>
      <w:r>
        <w:rPr>
          <w:rFonts w:hint="eastAsia"/>
          <w:color w:val="0000FF"/>
          <w:lang w:val="en-US" w:eastAsia="zh-CN"/>
        </w:rPr>
        <w:t>未对周边地表水环境造成影响</w:t>
      </w:r>
      <w:r>
        <w:rPr>
          <w:color w:val="0000FF"/>
        </w:rPr>
        <w:t>。</w:t>
      </w:r>
    </w:p>
    <w:p>
      <w:pPr>
        <w:pStyle w:val="6"/>
        <w:bidi w:val="0"/>
        <w:rPr>
          <w:rFonts w:hint="default"/>
          <w:color w:val="0000FF"/>
          <w:lang w:val="en-US" w:eastAsia="zh-CN"/>
        </w:rPr>
      </w:pPr>
      <w:bookmarkStart w:id="107" w:name="_Toc31257"/>
      <w:r>
        <w:rPr>
          <w:rFonts w:hint="eastAsia"/>
          <w:color w:val="0000FF"/>
          <w:lang w:val="en-US" w:eastAsia="zh-CN"/>
        </w:rPr>
        <w:t>6.1.3噪声污染防治措施</w:t>
      </w:r>
      <w:bookmarkEnd w:id="107"/>
    </w:p>
    <w:p>
      <w:pPr>
        <w:bidi w:val="0"/>
        <w:rPr>
          <w:rFonts w:hint="default"/>
          <w:color w:val="0000FF"/>
        </w:rPr>
      </w:pPr>
      <w:r>
        <w:rPr>
          <w:rFonts w:hint="default"/>
          <w:color w:val="0000FF"/>
        </w:rPr>
        <w:t>施工期噪声来源于</w:t>
      </w:r>
      <w:r>
        <w:rPr>
          <w:rFonts w:hint="default"/>
          <w:color w:val="0000FF"/>
          <w:lang w:val="en-US" w:eastAsia="zh-CN"/>
        </w:rPr>
        <w:t>装载机</w:t>
      </w:r>
      <w:r>
        <w:rPr>
          <w:rFonts w:hint="default"/>
          <w:color w:val="0000FF"/>
        </w:rPr>
        <w:t>、</w:t>
      </w:r>
      <w:r>
        <w:rPr>
          <w:rFonts w:hint="default"/>
          <w:color w:val="0000FF"/>
          <w:lang w:val="en-US" w:eastAsia="zh-CN"/>
        </w:rPr>
        <w:t>挖掘机</w:t>
      </w:r>
      <w:r>
        <w:rPr>
          <w:rFonts w:hint="default"/>
          <w:color w:val="0000FF"/>
        </w:rPr>
        <w:t>、</w:t>
      </w:r>
      <w:r>
        <w:rPr>
          <w:rFonts w:hint="default"/>
          <w:color w:val="0000FF"/>
          <w:lang w:val="en-US" w:eastAsia="zh-CN"/>
        </w:rPr>
        <w:t>推土机</w:t>
      </w:r>
      <w:r>
        <w:rPr>
          <w:rFonts w:hint="default"/>
          <w:color w:val="0000FF"/>
        </w:rPr>
        <w:t>等</w:t>
      </w:r>
      <w:r>
        <w:rPr>
          <w:rFonts w:hint="eastAsia"/>
          <w:color w:val="0000FF"/>
          <w:lang w:val="en-US" w:eastAsia="zh-CN"/>
        </w:rPr>
        <w:t>施工机械噪声</w:t>
      </w:r>
      <w:r>
        <w:rPr>
          <w:rFonts w:hint="default"/>
          <w:color w:val="0000FF"/>
        </w:rPr>
        <w:t>，贯穿于整个施工过程，待施工结束后影响将消失。</w:t>
      </w:r>
    </w:p>
    <w:p>
      <w:pPr>
        <w:bidi w:val="0"/>
        <w:rPr>
          <w:rFonts w:hint="default"/>
          <w:color w:val="0000FF"/>
          <w:lang w:eastAsia="zh-CN"/>
        </w:rPr>
      </w:pPr>
      <w:r>
        <w:rPr>
          <w:rFonts w:hint="default"/>
          <w:color w:val="0000FF"/>
        </w:rPr>
        <w:t>现场踏勘表明，项目</w:t>
      </w:r>
      <w:r>
        <w:rPr>
          <w:rFonts w:hint="eastAsia"/>
          <w:color w:val="0000FF"/>
          <w:lang w:val="en-US" w:eastAsia="zh-CN"/>
        </w:rPr>
        <w:t>区</w:t>
      </w:r>
      <w:r>
        <w:rPr>
          <w:rFonts w:hint="default"/>
          <w:color w:val="0000FF"/>
          <w:lang w:eastAsia="zh-CN"/>
        </w:rPr>
        <w:t>周边</w:t>
      </w:r>
      <w:r>
        <w:rPr>
          <w:rFonts w:hint="eastAsia"/>
          <w:color w:val="0000FF"/>
          <w:lang w:val="en-US" w:eastAsia="zh-CN"/>
        </w:rPr>
        <w:t>200</w:t>
      </w:r>
      <w:r>
        <w:rPr>
          <w:rFonts w:hint="default"/>
          <w:color w:val="0000FF"/>
          <w:lang w:val="en-US" w:eastAsia="zh-CN"/>
        </w:rPr>
        <w:t>m范围内</w:t>
      </w:r>
      <w:r>
        <w:rPr>
          <w:rFonts w:hint="default"/>
          <w:color w:val="0000FF"/>
          <w:lang w:eastAsia="zh-CN"/>
        </w:rPr>
        <w:t>无居民区等敏感点，产生的噪声不会对外环境造成不利影响。</w:t>
      </w:r>
    </w:p>
    <w:p>
      <w:pPr>
        <w:pStyle w:val="6"/>
        <w:bidi w:val="0"/>
        <w:rPr>
          <w:rFonts w:hint="default"/>
          <w:color w:val="0000FF"/>
          <w:lang w:val="en-US" w:eastAsia="zh-CN"/>
        </w:rPr>
      </w:pPr>
      <w:bookmarkStart w:id="108" w:name="_Toc31340"/>
      <w:r>
        <w:rPr>
          <w:rFonts w:hint="eastAsia"/>
          <w:color w:val="0000FF"/>
          <w:lang w:val="en-US" w:eastAsia="zh-CN"/>
        </w:rPr>
        <w:t>6.1.4</w:t>
      </w:r>
      <w:r>
        <w:rPr>
          <w:rFonts w:hint="default"/>
          <w:color w:val="0000FF"/>
          <w:lang w:val="en-US" w:eastAsia="zh-CN"/>
        </w:rPr>
        <w:t>固体废物</w:t>
      </w:r>
      <w:r>
        <w:rPr>
          <w:rFonts w:hint="eastAsia"/>
          <w:color w:val="0000FF"/>
          <w:lang w:val="en-US" w:eastAsia="zh-CN"/>
        </w:rPr>
        <w:t>污染防治措施</w:t>
      </w:r>
      <w:bookmarkEnd w:id="108"/>
    </w:p>
    <w:p>
      <w:pPr>
        <w:bidi w:val="0"/>
        <w:rPr>
          <w:rFonts w:hint="default"/>
          <w:color w:val="0000FF"/>
        </w:rPr>
      </w:pPr>
      <w:r>
        <w:rPr>
          <w:rFonts w:hint="default"/>
          <w:color w:val="0000FF"/>
        </w:rPr>
        <w:t>本项目施工期产生的固体废物主要包括：工程产生的弃土、施工人员产生的生活垃圾。</w:t>
      </w:r>
    </w:p>
    <w:p>
      <w:pPr>
        <w:bidi w:val="0"/>
        <w:rPr>
          <w:rFonts w:hint="default"/>
          <w:color w:val="0000FF"/>
        </w:rPr>
      </w:pPr>
      <w:r>
        <w:rPr>
          <w:rFonts w:hint="default"/>
          <w:color w:val="0000FF"/>
          <w:lang w:val="en-US" w:eastAsia="zh-CN"/>
        </w:rPr>
        <w:t>（1）生活垃圾</w:t>
      </w:r>
    </w:p>
    <w:p>
      <w:pPr>
        <w:bidi w:val="0"/>
        <w:rPr>
          <w:rFonts w:hint="default"/>
          <w:color w:val="0000FF"/>
        </w:rPr>
      </w:pPr>
      <w:r>
        <w:rPr>
          <w:rFonts w:hint="default"/>
          <w:color w:val="0000FF"/>
          <w:lang w:val="en-US" w:eastAsia="zh-CN"/>
        </w:rPr>
        <w:t>施工期间产生的生活垃圾已按照规定</w:t>
      </w:r>
      <w:r>
        <w:rPr>
          <w:rFonts w:hint="eastAsia"/>
          <w:color w:val="0000FF"/>
          <w:lang w:val="en-US" w:eastAsia="zh-CN"/>
        </w:rPr>
        <w:t>经垃圾桶收集后</w:t>
      </w:r>
      <w:r>
        <w:rPr>
          <w:rFonts w:hint="default"/>
          <w:color w:val="0000FF"/>
          <w:lang w:val="en-US" w:eastAsia="zh-CN"/>
        </w:rPr>
        <w:t>集中清运至</w:t>
      </w:r>
      <w:r>
        <w:rPr>
          <w:color w:val="0000FF"/>
        </w:rPr>
        <w:t>225团指定垃圾场填埋</w:t>
      </w:r>
      <w:r>
        <w:rPr>
          <w:rFonts w:hint="default"/>
          <w:color w:val="0000FF"/>
          <w:lang w:val="en-US" w:eastAsia="zh-CN"/>
        </w:rPr>
        <w:t>。</w:t>
      </w:r>
    </w:p>
    <w:p>
      <w:pPr>
        <w:bidi w:val="0"/>
        <w:rPr>
          <w:rFonts w:hint="default"/>
          <w:color w:val="0000FF"/>
        </w:rPr>
      </w:pPr>
      <w:r>
        <w:rPr>
          <w:rFonts w:hint="default"/>
          <w:color w:val="0000FF"/>
          <w:lang w:val="en-US" w:eastAsia="zh-CN"/>
        </w:rPr>
        <w:t>（2）弃</w:t>
      </w:r>
      <w:r>
        <w:rPr>
          <w:rFonts w:hint="eastAsia"/>
          <w:color w:val="0000FF"/>
          <w:lang w:val="en-US" w:eastAsia="zh-CN"/>
        </w:rPr>
        <w:t>土</w:t>
      </w:r>
    </w:p>
    <w:p>
      <w:pPr>
        <w:bidi w:val="0"/>
        <w:rPr>
          <w:rFonts w:hint="eastAsia"/>
          <w:color w:val="0000FF"/>
          <w:lang w:val="en-US" w:eastAsia="zh-CN"/>
        </w:rPr>
      </w:pPr>
      <w:r>
        <w:rPr>
          <w:rFonts w:hint="default"/>
          <w:color w:val="0000FF"/>
          <w:lang w:val="en-US" w:eastAsia="zh-CN"/>
        </w:rPr>
        <w:t>本项目施工期间，</w:t>
      </w:r>
      <w:r>
        <w:rPr>
          <w:rFonts w:hint="eastAsia" w:ascii="宋体" w:hAnsi="宋体" w:eastAsia="宋体" w:cs="宋体"/>
          <w:color w:val="0000FF"/>
          <w:sz w:val="24"/>
          <w:szCs w:val="24"/>
          <w:lang w:val="en-US" w:eastAsia="zh-CN"/>
        </w:rPr>
        <w:t>弃</w:t>
      </w:r>
      <w:r>
        <w:rPr>
          <w:rFonts w:ascii="宋体" w:hAnsi="宋体" w:eastAsia="宋体" w:cs="宋体"/>
          <w:color w:val="0000FF"/>
          <w:sz w:val="24"/>
          <w:szCs w:val="24"/>
        </w:rPr>
        <w:t>土</w:t>
      </w:r>
      <w:r>
        <w:rPr>
          <w:rFonts w:hint="eastAsia"/>
          <w:color w:val="0000FF"/>
          <w:lang w:val="en-US" w:eastAsia="zh-CN"/>
        </w:rPr>
        <w:t>作为道路及低矮地面的回填土，</w:t>
      </w:r>
      <w:r>
        <w:rPr>
          <w:rFonts w:ascii="宋体" w:hAnsi="宋体" w:eastAsia="宋体" w:cs="宋体"/>
          <w:color w:val="0000FF"/>
          <w:spacing w:val="-1"/>
          <w:sz w:val="24"/>
          <w:szCs w:val="24"/>
        </w:rPr>
        <w:t>无弃方外排，土石方平衡。</w:t>
      </w:r>
    </w:p>
    <w:p>
      <w:pPr>
        <w:bidi w:val="0"/>
        <w:rPr>
          <w:rFonts w:hint="default"/>
          <w:color w:val="0000FF"/>
        </w:rPr>
      </w:pPr>
      <w:r>
        <w:rPr>
          <w:rFonts w:hint="default"/>
          <w:color w:val="0000FF"/>
          <w:lang w:val="en-US" w:eastAsia="zh-CN"/>
        </w:rPr>
        <w:t>（3）隔油池废油及废渣</w:t>
      </w:r>
    </w:p>
    <w:p>
      <w:pPr>
        <w:bidi w:val="0"/>
        <w:rPr>
          <w:rFonts w:hint="default"/>
          <w:color w:val="0000FF"/>
          <w:lang w:val="en-US" w:eastAsia="zh-CN"/>
        </w:rPr>
      </w:pPr>
      <w:r>
        <w:rPr>
          <w:rFonts w:hint="default"/>
          <w:color w:val="0000FF"/>
          <w:lang w:val="en-US" w:eastAsia="zh-CN"/>
        </w:rPr>
        <w:t>污水处理设备隔油池收集的废油及废渣，主要为设备冲洗废水中的废油及隔油池底部废渣，为一般固废，本项目隔油池处理效率以70%计，废油产量约为0.0</w:t>
      </w:r>
      <w:r>
        <w:rPr>
          <w:rFonts w:hint="eastAsia"/>
          <w:color w:val="0000FF"/>
          <w:lang w:val="en-US" w:eastAsia="zh-CN"/>
        </w:rPr>
        <w:t>826</w:t>
      </w:r>
      <w:r>
        <w:rPr>
          <w:rFonts w:hint="default"/>
          <w:color w:val="0000FF"/>
          <w:lang w:val="en-US" w:eastAsia="zh-CN"/>
        </w:rPr>
        <w:t>t/a，废渣产量约为0.000</w:t>
      </w:r>
      <w:r>
        <w:rPr>
          <w:rFonts w:hint="eastAsia"/>
          <w:color w:val="0000FF"/>
          <w:lang w:val="en-US" w:eastAsia="zh-CN"/>
        </w:rPr>
        <w:t>72</w:t>
      </w:r>
      <w:r>
        <w:rPr>
          <w:rFonts w:hint="default"/>
          <w:color w:val="0000FF"/>
          <w:lang w:val="en-US" w:eastAsia="zh-CN"/>
        </w:rPr>
        <w:t>t/a，施工期结束后已交由资质单位处置。</w:t>
      </w:r>
    </w:p>
    <w:p>
      <w:pPr>
        <w:bidi w:val="0"/>
        <w:rPr>
          <w:rFonts w:hint="default"/>
          <w:color w:val="0000FF"/>
          <w:lang w:val="en-US" w:eastAsia="zh-CN"/>
        </w:rPr>
      </w:pPr>
      <w:r>
        <w:rPr>
          <w:rFonts w:hint="eastAsia"/>
          <w:color w:val="0000FF"/>
          <w:lang w:val="en-US" w:eastAsia="zh-CN"/>
        </w:rPr>
        <w:t>（4）建筑垃圾</w:t>
      </w:r>
    </w:p>
    <w:p>
      <w:pPr>
        <w:bidi w:val="0"/>
        <w:rPr>
          <w:rFonts w:hint="eastAsia"/>
          <w:color w:val="0000FF"/>
          <w:lang w:val="en-US" w:eastAsia="zh-CN"/>
        </w:rPr>
      </w:pPr>
      <w:r>
        <w:rPr>
          <w:rFonts w:hint="eastAsia"/>
          <w:color w:val="0000FF"/>
          <w:lang w:val="en-US" w:eastAsia="zh-CN"/>
        </w:rPr>
        <w:t>施工场地的建筑垃圾主要是指剩余的建筑材料，包括砂、石灰、钢材、木料、预制构件等。此类建筑垃圾集中堆放并加篷布遮盖，由施工方拉运至当地建筑垃圾场处理。</w:t>
      </w:r>
    </w:p>
    <w:p>
      <w:pPr>
        <w:pStyle w:val="6"/>
        <w:bidi w:val="0"/>
        <w:rPr>
          <w:rFonts w:hint="default" w:eastAsia="宋体"/>
          <w:color w:val="0000FF"/>
          <w:lang w:val="en-US" w:eastAsia="zh-CN"/>
        </w:rPr>
      </w:pPr>
      <w:bookmarkStart w:id="109" w:name="_Toc7060"/>
      <w:r>
        <w:rPr>
          <w:rFonts w:hint="eastAsia"/>
          <w:color w:val="0000FF"/>
          <w:lang w:val="en-US" w:eastAsia="zh-CN"/>
        </w:rPr>
        <w:t>6.1.5</w:t>
      </w:r>
      <w:r>
        <w:rPr>
          <w:color w:val="0000FF"/>
        </w:rPr>
        <w:t>生态环境</w:t>
      </w:r>
      <w:r>
        <w:rPr>
          <w:rFonts w:hint="eastAsia"/>
          <w:color w:val="0000FF"/>
          <w:lang w:val="en-US" w:eastAsia="zh-CN"/>
        </w:rPr>
        <w:t>保护措施</w:t>
      </w:r>
      <w:bookmarkEnd w:id="109"/>
    </w:p>
    <w:p>
      <w:pPr>
        <w:bidi w:val="0"/>
        <w:rPr>
          <w:color w:val="0000FF"/>
        </w:rPr>
      </w:pPr>
      <w:r>
        <w:rPr>
          <w:color w:val="0000FF"/>
        </w:rPr>
        <w:t>工程施工期对生态的影响主要是施工清除现场、平整等施工活动，破坏了工程区域原有地貌和植被，造成一定植被的损失；扰动了表土结构，土壤抗蚀能力降低，还可能损坏原有的水土保持设施，导致地表裸露。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FF"/>
          <w:sz w:val="24"/>
          <w:szCs w:val="24"/>
          <w:lang w:val="en-US" w:eastAsia="zh-CN"/>
        </w:rPr>
      </w:pPr>
      <w:r>
        <w:rPr>
          <w:rFonts w:hint="eastAsia" w:cs="Times New Roman"/>
          <w:color w:val="0000FF"/>
          <w:sz w:val="24"/>
          <w:szCs w:val="24"/>
          <w:lang w:val="en-US" w:eastAsia="zh-CN"/>
        </w:rPr>
        <w:t>经现场调查，</w:t>
      </w:r>
      <w:r>
        <w:rPr>
          <w:rFonts w:hint="default" w:ascii="Times New Roman" w:hAnsi="Times New Roman" w:cs="Times New Roman"/>
          <w:color w:val="0000FF"/>
          <w:sz w:val="24"/>
          <w:szCs w:val="24"/>
          <w:lang w:val="en-US" w:eastAsia="zh-CN"/>
        </w:rPr>
        <w:t>施工期结束后</w:t>
      </w:r>
      <w:r>
        <w:rPr>
          <w:rFonts w:hint="eastAsia" w:cs="Times New Roman"/>
          <w:color w:val="0000FF"/>
          <w:sz w:val="24"/>
          <w:szCs w:val="24"/>
          <w:lang w:val="en-US" w:eastAsia="zh-CN"/>
        </w:rPr>
        <w:t>已</w:t>
      </w:r>
      <w:r>
        <w:rPr>
          <w:rFonts w:hint="default" w:ascii="Times New Roman" w:hAnsi="Times New Roman" w:cs="Times New Roman"/>
          <w:color w:val="0000FF"/>
          <w:sz w:val="24"/>
          <w:szCs w:val="24"/>
          <w:lang w:val="en-US" w:eastAsia="zh-CN"/>
        </w:rPr>
        <w:t>对临时防渗化粪池</w:t>
      </w:r>
      <w:r>
        <w:rPr>
          <w:rFonts w:hint="eastAsia" w:cs="Times New Roman"/>
          <w:color w:val="0000FF"/>
          <w:sz w:val="24"/>
          <w:szCs w:val="24"/>
          <w:lang w:val="en-US" w:eastAsia="zh-CN"/>
        </w:rPr>
        <w:t>、</w:t>
      </w:r>
      <w:r>
        <w:rPr>
          <w:rFonts w:hint="default" w:ascii="Times New Roman" w:hAnsi="Times New Roman" w:cs="Times New Roman"/>
          <w:color w:val="0000FF"/>
          <w:sz w:val="24"/>
          <w:szCs w:val="24"/>
          <w:lang w:eastAsia="zh-CN"/>
        </w:rPr>
        <w:t>设备用房</w:t>
      </w:r>
      <w:r>
        <w:rPr>
          <w:rFonts w:hint="default" w:ascii="Times New Roman" w:hAnsi="Times New Roman" w:cs="Times New Roman"/>
          <w:color w:val="0000FF"/>
          <w:sz w:val="24"/>
          <w:szCs w:val="24"/>
          <w:lang w:val="en-US" w:eastAsia="zh-CN"/>
        </w:rPr>
        <w:t>进行拆除</w:t>
      </w:r>
      <w:r>
        <w:rPr>
          <w:rFonts w:hint="eastAsia" w:cs="Times New Roman"/>
          <w:color w:val="0000FF"/>
          <w:sz w:val="24"/>
          <w:szCs w:val="24"/>
          <w:lang w:val="en-US" w:eastAsia="zh-CN"/>
        </w:rPr>
        <w:t>，临时堆场进行土地平整。平整后的临时占地均</w:t>
      </w:r>
      <w:r>
        <w:rPr>
          <w:rFonts w:hint="default" w:ascii="Times New Roman" w:hAnsi="Times New Roman" w:cs="Times New Roman"/>
          <w:color w:val="0000FF"/>
          <w:sz w:val="24"/>
          <w:szCs w:val="24"/>
          <w:lang w:val="en-US" w:eastAsia="zh-CN"/>
        </w:rPr>
        <w:t>撒播草籽进行生态恢复。</w:t>
      </w:r>
    </w:p>
    <w:p>
      <w:pPr>
        <w:pStyle w:val="5"/>
        <w:bidi w:val="0"/>
        <w:rPr>
          <w:color w:val="0000FF"/>
        </w:rPr>
      </w:pPr>
      <w:bookmarkStart w:id="162" w:name="_GoBack"/>
      <w:bookmarkEnd w:id="162"/>
      <w:bookmarkStart w:id="110" w:name="_Toc25636"/>
      <w:r>
        <w:rPr>
          <w:color w:val="0000FF"/>
        </w:rPr>
        <w:t>6.2运营期环保措施分析</w:t>
      </w:r>
      <w:bookmarkEnd w:id="110"/>
    </w:p>
    <w:p>
      <w:pPr>
        <w:pStyle w:val="6"/>
        <w:bidi w:val="0"/>
        <w:rPr>
          <w:color w:val="0000FF"/>
        </w:rPr>
      </w:pPr>
      <w:bookmarkStart w:id="111" w:name="_Toc3845"/>
      <w:r>
        <w:rPr>
          <w:color w:val="0000FF"/>
        </w:rPr>
        <w:t>6.2.1大气污染防治措施</w:t>
      </w:r>
      <w:bookmarkEnd w:id="111"/>
    </w:p>
    <w:p>
      <w:pPr>
        <w:bidi w:val="0"/>
        <w:rPr>
          <w:color w:val="0000FF"/>
        </w:rPr>
      </w:pPr>
      <w:r>
        <w:rPr>
          <w:color w:val="0000FF"/>
        </w:rPr>
        <w:t>项目区冬季供热由</w:t>
      </w:r>
      <w:r>
        <w:rPr>
          <w:rFonts w:hint="eastAsia"/>
          <w:color w:val="0000FF"/>
          <w:lang w:val="en-US" w:eastAsia="zh-CN"/>
        </w:rPr>
        <w:t>225团</w:t>
      </w:r>
      <w:r>
        <w:rPr>
          <w:color w:val="0000FF"/>
        </w:rPr>
        <w:t>提供实行集中供热，不建供热锅炉，实验室检验设施消毒所用蒸汽为电。</w:t>
      </w:r>
    </w:p>
    <w:p>
      <w:pPr>
        <w:bidi w:val="0"/>
        <w:rPr>
          <w:color w:val="0000FF"/>
        </w:rPr>
      </w:pPr>
      <w:r>
        <w:rPr>
          <w:color w:val="0000FF"/>
        </w:rPr>
        <w:t>（1）消毒异味</w:t>
      </w:r>
    </w:p>
    <w:p>
      <w:pPr>
        <w:bidi w:val="0"/>
        <w:rPr>
          <w:color w:val="0000FF"/>
        </w:rPr>
      </w:pPr>
      <w:r>
        <w:rPr>
          <w:color w:val="0000FF"/>
        </w:rPr>
        <w:t>为降低空气中的含菌量，疾控中心经常使用</w:t>
      </w:r>
      <w:r>
        <w:rPr>
          <w:rFonts w:hint="eastAsia"/>
          <w:color w:val="0000FF"/>
          <w:lang w:val="en-US" w:eastAsia="zh-CN"/>
        </w:rPr>
        <w:t>二氧化氯</w:t>
      </w:r>
      <w:r>
        <w:rPr>
          <w:color w:val="0000FF"/>
        </w:rPr>
        <w:t>等消毒剂对楼道、卫生间等进行消毒处理，在此过程中会有少量异味产生。项目的消毒异味主要为消毒剂挥发物，产生量不大，且主要产生在室内，为无组织排放。实验室检验设施消毒所用蒸汽为微生物实验室有专用电热高压蒸汽灭菌器进行消毒，热源为电。</w:t>
      </w:r>
    </w:p>
    <w:p>
      <w:pPr>
        <w:bidi w:val="0"/>
        <w:rPr>
          <w:color w:val="0000FF"/>
        </w:rPr>
      </w:pPr>
      <w:r>
        <w:rPr>
          <w:color w:val="0000FF"/>
        </w:rPr>
        <w:t>（2）实验室废气</w:t>
      </w:r>
    </w:p>
    <w:p>
      <w:pPr>
        <w:bidi w:val="0"/>
        <w:rPr>
          <w:color w:val="0000FF"/>
        </w:rPr>
      </w:pPr>
      <w:r>
        <w:rPr>
          <w:rFonts w:hint="eastAsia"/>
          <w:color w:val="0000FF"/>
          <w:lang w:val="en-US" w:eastAsia="zh-CN"/>
        </w:rPr>
        <w:t>①</w:t>
      </w:r>
      <w:r>
        <w:rPr>
          <w:color w:val="0000FF"/>
        </w:rPr>
        <w:t>理化实验室</w:t>
      </w:r>
    </w:p>
    <w:p>
      <w:pPr>
        <w:bidi w:val="0"/>
        <w:rPr>
          <w:color w:val="0000FF"/>
        </w:rPr>
      </w:pPr>
      <w:r>
        <w:rPr>
          <w:color w:val="0000FF"/>
        </w:rPr>
        <w:t>实验室主要功能：进行公共场所环境卫生、车间空气、生活饮用水、食品等样品的理化项目的检验检测。</w:t>
      </w:r>
    </w:p>
    <w:p>
      <w:pPr>
        <w:bidi w:val="0"/>
        <w:rPr>
          <w:color w:val="0000FF"/>
        </w:rPr>
      </w:pPr>
      <w:r>
        <w:rPr>
          <w:color w:val="0000FF"/>
        </w:rPr>
        <w:t>根据建设单位提供的实验用试剂小号情况，无机酸、碱类试剂、有机溶剂、有机试剂年用量均较小，产生的废气量也较小，废气经处理后对周围大气环境影响较小。</w:t>
      </w:r>
    </w:p>
    <w:p>
      <w:pPr>
        <w:bidi w:val="0"/>
        <w:rPr>
          <w:color w:val="0000FF"/>
        </w:rPr>
      </w:pPr>
      <w:r>
        <w:rPr>
          <w:color w:val="0000FF"/>
        </w:rPr>
        <w:t>环评措施为集气罩+经活性炭吸附后由专用电控风道排放，疾控中心设置集气罩，安装在实验台上方，实验过程产生的废气通过不低于1000m</w:t>
      </w:r>
      <w:r>
        <w:rPr>
          <w:color w:val="0000FF"/>
          <w:vertAlign w:val="superscript"/>
        </w:rPr>
        <w:t>3</w:t>
      </w:r>
      <w:r>
        <w:rPr>
          <w:color w:val="0000FF"/>
        </w:rPr>
        <w:t>/h的风机抽取，通过风道排放，风道出口位于疾控中心楼顶。</w:t>
      </w:r>
    </w:p>
    <w:p>
      <w:pPr>
        <w:bidi w:val="0"/>
        <w:rPr>
          <w:color w:val="0000FF"/>
        </w:rPr>
      </w:pPr>
      <w:r>
        <w:rPr>
          <w:color w:val="0000FF"/>
        </w:rPr>
        <w:t>本次环评要求在理化实验室废气收集装置末端加装活性炭吸附装置。</w:t>
      </w:r>
    </w:p>
    <w:p>
      <w:pPr>
        <w:bidi w:val="0"/>
        <w:rPr>
          <w:color w:val="0000FF"/>
        </w:rPr>
      </w:pPr>
      <w:r>
        <w:rPr>
          <w:color w:val="0000FF"/>
        </w:rPr>
        <w:t>活性炭是一种很细小的炭粒</w:t>
      </w:r>
      <w:r>
        <w:rPr>
          <w:rFonts w:hint="eastAsia"/>
          <w:color w:val="0000FF"/>
          <w:lang w:eastAsia="zh-CN"/>
        </w:rPr>
        <w:t>，</w:t>
      </w:r>
      <w:r>
        <w:rPr>
          <w:color w:val="0000FF"/>
        </w:rPr>
        <w:t>有很大的表面积</w:t>
      </w:r>
      <w:r>
        <w:rPr>
          <w:rFonts w:hint="eastAsia"/>
          <w:color w:val="0000FF"/>
          <w:lang w:eastAsia="zh-CN"/>
        </w:rPr>
        <w:t>，</w:t>
      </w:r>
      <w:r>
        <w:rPr>
          <w:color w:val="0000FF"/>
        </w:rPr>
        <w:t>而且炭粒中还有更细小的孔毛细管.这种毛细管具有很强的吸附能力</w:t>
      </w:r>
      <w:r>
        <w:rPr>
          <w:rFonts w:hint="eastAsia"/>
          <w:color w:val="0000FF"/>
          <w:lang w:eastAsia="zh-CN"/>
        </w:rPr>
        <w:t>，</w:t>
      </w:r>
      <w:r>
        <w:rPr>
          <w:color w:val="0000FF"/>
        </w:rPr>
        <w:t>由于炭粒的表面积很大</w:t>
      </w:r>
      <w:r>
        <w:rPr>
          <w:rFonts w:hint="eastAsia"/>
          <w:color w:val="0000FF"/>
          <w:lang w:eastAsia="zh-CN"/>
        </w:rPr>
        <w:t>，</w:t>
      </w:r>
      <w:r>
        <w:rPr>
          <w:color w:val="0000FF"/>
        </w:rPr>
        <w:t>所以能与气体</w:t>
      </w:r>
      <w:r>
        <w:rPr>
          <w:rFonts w:hint="eastAsia"/>
          <w:color w:val="0000FF"/>
          <w:lang w:eastAsia="zh-CN"/>
        </w:rPr>
        <w:t>（</w:t>
      </w:r>
      <w:r>
        <w:rPr>
          <w:color w:val="0000FF"/>
        </w:rPr>
        <w:t>杂质</w:t>
      </w:r>
      <w:r>
        <w:rPr>
          <w:rFonts w:hint="eastAsia"/>
          <w:color w:val="0000FF"/>
          <w:lang w:eastAsia="zh-CN"/>
        </w:rPr>
        <w:t>）</w:t>
      </w:r>
      <w:r>
        <w:rPr>
          <w:color w:val="0000FF"/>
        </w:rPr>
        <w:t>充分接触</w:t>
      </w:r>
      <w:r>
        <w:rPr>
          <w:rFonts w:hint="eastAsia"/>
          <w:color w:val="0000FF"/>
          <w:lang w:eastAsia="zh-CN"/>
        </w:rPr>
        <w:t>，</w:t>
      </w:r>
      <w:r>
        <w:rPr>
          <w:color w:val="0000FF"/>
        </w:rPr>
        <w:t>当这些气体</w:t>
      </w:r>
      <w:r>
        <w:rPr>
          <w:rFonts w:hint="eastAsia"/>
          <w:color w:val="0000FF"/>
          <w:lang w:eastAsia="zh-CN"/>
        </w:rPr>
        <w:t>（</w:t>
      </w:r>
      <w:r>
        <w:rPr>
          <w:color w:val="0000FF"/>
        </w:rPr>
        <w:t>杂质</w:t>
      </w:r>
      <w:r>
        <w:rPr>
          <w:rFonts w:hint="eastAsia"/>
          <w:color w:val="0000FF"/>
          <w:lang w:eastAsia="zh-CN"/>
        </w:rPr>
        <w:t>）</w:t>
      </w:r>
      <w:r>
        <w:rPr>
          <w:color w:val="0000FF"/>
        </w:rPr>
        <w:t>碰到毛细管就被吸附</w:t>
      </w:r>
      <w:r>
        <w:rPr>
          <w:rFonts w:hint="eastAsia"/>
          <w:color w:val="0000FF"/>
          <w:lang w:eastAsia="zh-CN"/>
        </w:rPr>
        <w:t>，</w:t>
      </w:r>
      <w:r>
        <w:rPr>
          <w:color w:val="0000FF"/>
        </w:rPr>
        <w:t>起净化作用。活性炭吸附的实质是利用活性炭吸附的特性把低浓度大风量废气中的有机溶剂吸附到活性炭中。处理效率按</w:t>
      </w:r>
      <w:r>
        <w:rPr>
          <w:rFonts w:hint="eastAsia"/>
          <w:color w:val="0000FF"/>
          <w:lang w:val="en-US" w:eastAsia="zh-CN"/>
        </w:rPr>
        <w:t>8</w:t>
      </w:r>
      <w:r>
        <w:rPr>
          <w:color w:val="0000FF"/>
        </w:rPr>
        <w:t>0%计，经处理的废气排放对周边环境不大。</w:t>
      </w:r>
    </w:p>
    <w:p>
      <w:pPr>
        <w:bidi w:val="0"/>
        <w:rPr>
          <w:color w:val="0000FF"/>
        </w:rPr>
      </w:pPr>
      <w:r>
        <w:rPr>
          <w:color w:val="0000FF"/>
        </w:rPr>
        <w:t>④微生物实验室</w:t>
      </w:r>
    </w:p>
    <w:p>
      <w:pPr>
        <w:bidi w:val="0"/>
        <w:rPr>
          <w:color w:val="0000FF"/>
        </w:rPr>
      </w:pPr>
      <w:r>
        <w:rPr>
          <w:color w:val="0000FF"/>
        </w:rPr>
        <w:t>实验室主要功能：进行公共场所、食品、生活饮用水微生物项目检验检测。主要检验项目：细菌总数、大肠菌群等、食源性致病菌。</w:t>
      </w:r>
    </w:p>
    <w:p>
      <w:pPr>
        <w:bidi w:val="0"/>
        <w:rPr>
          <w:color w:val="0000FF"/>
        </w:rPr>
      </w:pPr>
      <w:r>
        <w:rPr>
          <w:color w:val="0000FF"/>
        </w:rPr>
        <w:t>本项目主要进行食源性致病菌、大肠菌群等检验，本项目主要为P2类实验室，不进行传染病研究等，所检测菌种一般致病性较弱，传染性较低。</w:t>
      </w:r>
    </w:p>
    <w:p>
      <w:pPr>
        <w:bidi w:val="0"/>
        <w:rPr>
          <w:color w:val="0000FF"/>
        </w:rPr>
      </w:pPr>
      <w:r>
        <w:rPr>
          <w:color w:val="0000FF"/>
        </w:rPr>
        <w:t>处理措施：实验室与病原微生物有关的实验在生物安全柜内操作。</w:t>
      </w:r>
    </w:p>
    <w:p>
      <w:pPr>
        <w:bidi w:val="0"/>
        <w:rPr>
          <w:color w:val="0000FF"/>
        </w:rPr>
      </w:pPr>
      <w:r>
        <w:rPr>
          <w:color w:val="0000FF"/>
        </w:rPr>
        <w:t>生物安全柜是能防止实验操作处理过程中某些含有危险性或未知性生物微粒发生气溶胶散逸的箱型空气净化负压安全装置。其广泛应用于微生物学、生物医学、基因工程、生物制品等领域的科研、教学、临床检验和生产中，是实验室生物安全中一级防护屏障中最基本的安全防护设备。</w:t>
      </w:r>
    </w:p>
    <w:p>
      <w:pPr>
        <w:bidi w:val="0"/>
        <w:rPr>
          <w:color w:val="0000FF"/>
        </w:rPr>
      </w:pPr>
      <w:r>
        <w:rPr>
          <w:color w:val="0000FF"/>
        </w:rPr>
        <w:t>项目使用的生物安全柜（H生物安全柜）为二级生物安全柜。主要组成及工作原理如下：</w:t>
      </w:r>
    </w:p>
    <w:p>
      <w:pPr>
        <w:bidi w:val="0"/>
        <w:rPr>
          <w:color w:val="0000FF"/>
        </w:rPr>
      </w:pPr>
      <w:r>
        <w:rPr>
          <w:color w:val="0000FF"/>
        </w:rPr>
        <w:t>Ⅰ空气过滤系统</w:t>
      </w:r>
    </w:p>
    <w:p>
      <w:pPr>
        <w:bidi w:val="0"/>
        <w:rPr>
          <w:color w:val="0000FF"/>
        </w:rPr>
      </w:pPr>
      <w:r>
        <w:rPr>
          <w:color w:val="0000FF"/>
        </w:rPr>
        <w:t>空气过滤系统是保证本设备性能最主要的系统，它由驱动风机、风道、循环空气过滤器和外排空气过滤器组成。其最主要的功能是不断地使洁净空气进入工作室，使工作区的下沉气流</w:t>
      </w:r>
      <w:r>
        <w:rPr>
          <w:rFonts w:hint="eastAsia"/>
          <w:color w:val="0000FF"/>
          <w:lang w:eastAsia="zh-CN"/>
        </w:rPr>
        <w:t>（</w:t>
      </w:r>
      <w:r>
        <w:rPr>
          <w:color w:val="0000FF"/>
        </w:rPr>
        <w:t>垂直气流</w:t>
      </w:r>
      <w:r>
        <w:rPr>
          <w:rFonts w:hint="eastAsia"/>
          <w:color w:val="0000FF"/>
          <w:lang w:eastAsia="zh-CN"/>
        </w:rPr>
        <w:t>）</w:t>
      </w:r>
      <w:r>
        <w:rPr>
          <w:color w:val="0000FF"/>
        </w:rPr>
        <w:t>流速不小于0.3m/s，保证工作区内的洁净度达到100级。同时使外排气流也被净化，防止污染环境。</w:t>
      </w:r>
    </w:p>
    <w:p>
      <w:pPr>
        <w:bidi w:val="0"/>
        <w:rPr>
          <w:color w:val="0000FF"/>
        </w:rPr>
      </w:pPr>
      <w:r>
        <w:rPr>
          <w:color w:val="0000FF"/>
        </w:rPr>
        <w:t>该系统的核心部件为HEPA过滤器，其采用特殊防火材料为框架，框内用波纹状的铝片分隔成栅状，里面填充乳化玻璃纤维亚微粒，其过滤效率可达到99.99%~100%。进风口的预过滤罩或预过滤器，使空气预过滤净化后再进入HEPA过滤器中，可延长HEPA过滤器的使用寿命。</w:t>
      </w:r>
    </w:p>
    <w:p>
      <w:pPr>
        <w:bidi w:val="0"/>
        <w:rPr>
          <w:color w:val="0000FF"/>
        </w:rPr>
      </w:pPr>
      <w:r>
        <w:rPr>
          <w:color w:val="0000FF"/>
        </w:rPr>
        <w:t>Ⅱ外排风箱系统</w:t>
      </w:r>
    </w:p>
    <w:p>
      <w:pPr>
        <w:bidi w:val="0"/>
        <w:rPr>
          <w:color w:val="0000FF"/>
        </w:rPr>
      </w:pPr>
      <w:r>
        <w:rPr>
          <w:color w:val="0000FF"/>
        </w:rPr>
        <w:t>外排风箱系统由外排风箱壳体、风机和排风管道组成。外排风机提供排气的动力，将工作室内不洁净的空气抽出，并由外排过滤器净化而起到保护样品和柜内实验物品的作用，由于外排作用，工作室内为负压，防止工作区空气</w:t>
      </w:r>
      <w:r>
        <w:rPr>
          <w:rFonts w:hint="eastAsia"/>
          <w:color w:val="0000FF"/>
          <w:lang w:eastAsia="zh-CN"/>
        </w:rPr>
        <w:t>外溢</w:t>
      </w:r>
      <w:r>
        <w:rPr>
          <w:color w:val="0000FF"/>
        </w:rPr>
        <w:t>，起到保护操作者的目的。</w:t>
      </w:r>
    </w:p>
    <w:p>
      <w:pPr>
        <w:bidi w:val="0"/>
        <w:rPr>
          <w:color w:val="0000FF"/>
        </w:rPr>
      </w:pPr>
      <w:r>
        <w:rPr>
          <w:color w:val="0000FF"/>
        </w:rPr>
        <w:t>Ⅲ滑动前窗驱动系统</w:t>
      </w:r>
    </w:p>
    <w:p>
      <w:pPr>
        <w:bidi w:val="0"/>
        <w:rPr>
          <w:color w:val="0000FF"/>
        </w:rPr>
      </w:pPr>
      <w:r>
        <w:rPr>
          <w:color w:val="0000FF"/>
        </w:rPr>
        <w:t>滑动前窗驱动系统由前玻璃门、门电机、牵引机构、传动轴和限位开关等组成，主要作用是驱动或牵引各个门轴，使设备在运行过程中，前玻璃门处于正常位置。</w:t>
      </w:r>
    </w:p>
    <w:p>
      <w:pPr>
        <w:bidi w:val="0"/>
        <w:rPr>
          <w:color w:val="0000FF"/>
        </w:rPr>
      </w:pPr>
      <w:r>
        <w:rPr>
          <w:color w:val="0000FF"/>
        </w:rPr>
        <w:t>Ⅳ照明光源和紫外光源位于玻璃门内侧以保证工作室内有一定的亮度和用于工作室内的台面及空气的消毒。</w:t>
      </w:r>
    </w:p>
    <w:p>
      <w:pPr>
        <w:bidi w:val="0"/>
        <w:rPr>
          <w:color w:val="0000FF"/>
        </w:rPr>
      </w:pPr>
      <w:r>
        <w:rPr>
          <w:color w:val="0000FF"/>
        </w:rPr>
        <w:t>Ⅴ.控制面板上有电源、紫外灯、照明灯、风机开关、控制前玻璃门移动等装置，主要作用是设定及显示系统状态。</w:t>
      </w:r>
    </w:p>
    <w:p>
      <w:pPr>
        <w:bidi w:val="0"/>
        <w:rPr>
          <w:color w:val="0000FF"/>
        </w:rPr>
      </w:pPr>
      <w:r>
        <w:rPr>
          <w:color w:val="0000FF"/>
        </w:rPr>
        <w:t>经处理后，其过滤效率可达到99.99%~100%，微生物实验室废气对周边环境影响不大。</w:t>
      </w:r>
    </w:p>
    <w:p>
      <w:pPr>
        <w:bidi w:val="0"/>
        <w:rPr>
          <w:color w:val="0000FF"/>
        </w:rPr>
      </w:pPr>
      <w:r>
        <w:rPr>
          <w:color w:val="0000FF"/>
        </w:rPr>
        <w:t>实验室废气排放浓度均能满足《大气污染物综合排放标准》（GB16297-1996）中要，实验废气对周边环境影响不大。</w:t>
      </w:r>
    </w:p>
    <w:p>
      <w:pPr>
        <w:bidi w:val="0"/>
        <w:rPr>
          <w:color w:val="0000FF"/>
        </w:rPr>
      </w:pPr>
      <w:r>
        <w:rPr>
          <w:color w:val="0000FF"/>
        </w:rPr>
        <w:t>（3）污水站恶臭</w:t>
      </w:r>
    </w:p>
    <w:p>
      <w:pPr>
        <w:bidi w:val="0"/>
        <w:rPr>
          <w:color w:val="0000FF"/>
        </w:rPr>
      </w:pPr>
      <w:r>
        <w:rPr>
          <w:color w:val="0000FF"/>
        </w:rPr>
        <w:t>本次环评要求污水处理设施置于密闭空间中，同时设置活性炭吸附装置，恶臭经活性炭吸附后由污水处理设备房通风窗口无组织排放对环境影响不大。</w:t>
      </w:r>
    </w:p>
    <w:p>
      <w:pPr>
        <w:bidi w:val="0"/>
        <w:rPr>
          <w:color w:val="0000FF"/>
        </w:rPr>
      </w:pPr>
      <w:r>
        <w:rPr>
          <w:rFonts w:hint="eastAsia"/>
          <w:color w:val="0000FF"/>
          <w:lang w:eastAsia="zh-CN"/>
        </w:rPr>
        <w:t>（</w:t>
      </w:r>
      <w:r>
        <w:rPr>
          <w:rFonts w:hint="eastAsia"/>
          <w:color w:val="0000FF"/>
          <w:lang w:val="en-US" w:eastAsia="zh-CN"/>
        </w:rPr>
        <w:t>4</w:t>
      </w:r>
      <w:r>
        <w:rPr>
          <w:rFonts w:hint="eastAsia"/>
          <w:color w:val="0000FF"/>
          <w:lang w:eastAsia="zh-CN"/>
        </w:rPr>
        <w:t>）</w:t>
      </w:r>
      <w:r>
        <w:rPr>
          <w:color w:val="0000FF"/>
        </w:rPr>
        <w:t>医疗废物暂存间废气</w:t>
      </w:r>
    </w:p>
    <w:p>
      <w:pPr>
        <w:bidi w:val="0"/>
        <w:rPr>
          <w:rFonts w:hint="eastAsia" w:eastAsia="宋体"/>
          <w:color w:val="0000FF"/>
          <w:lang w:eastAsia="zh-CN"/>
        </w:rPr>
      </w:pPr>
      <w:r>
        <w:rPr>
          <w:color w:val="0000FF"/>
        </w:rPr>
        <w:t>医疗废物暂存间废气主要由医疗废物散发而来，废气产生量较小，但可能携带有一定量的病菌。本项目医疗废物暂存间严格按照《医疗卫生机构医疗废物管理办法》（中华人民共和国卫生部令第36号）设置，医疗废物的堆放不超过24小时，采取每天喷洒适量84消毒液对地面和墙体等进行消毒处理，暂存间有严密的封闭措施，消毒处理后通过排气扇将暂存间废气排出，加速废气扩散。</w:t>
      </w:r>
    </w:p>
    <w:p>
      <w:pPr>
        <w:bidi w:val="0"/>
        <w:rPr>
          <w:color w:val="0000FF"/>
        </w:rPr>
      </w:pPr>
      <w:r>
        <w:rPr>
          <w:color w:val="0000FF"/>
        </w:rPr>
        <w:t>综上分析可以看出，项目运营期产生的大气污染物浓度均较低，能够达标排放，运营期废气不会对项目所在区域大气环境质量造成明显不利影响。</w:t>
      </w:r>
    </w:p>
    <w:p>
      <w:pPr>
        <w:bidi w:val="0"/>
        <w:rPr>
          <w:color w:val="0000FF"/>
        </w:rPr>
      </w:pPr>
      <w:r>
        <w:rPr>
          <w:color w:val="0000FF"/>
        </w:rPr>
        <w:t>本项目废气治理措施经济技术可行。</w:t>
      </w:r>
    </w:p>
    <w:p>
      <w:pPr>
        <w:pStyle w:val="6"/>
        <w:bidi w:val="0"/>
        <w:rPr>
          <w:color w:val="0000FF"/>
        </w:rPr>
      </w:pPr>
      <w:bookmarkStart w:id="112" w:name="_Toc9889"/>
      <w:r>
        <w:rPr>
          <w:color w:val="0000FF"/>
        </w:rPr>
        <w:t>6.2.2水污染防治措施</w:t>
      </w:r>
      <w:bookmarkEnd w:id="112"/>
    </w:p>
    <w:p>
      <w:pPr>
        <w:bidi w:val="0"/>
        <w:rPr>
          <w:color w:val="0000FF"/>
        </w:rPr>
      </w:pPr>
      <w:r>
        <w:rPr>
          <w:rFonts w:hint="eastAsia"/>
          <w:color w:val="0000FF"/>
        </w:rPr>
        <w:t>本项目运营期废水主要为办公人员</w:t>
      </w:r>
      <w:r>
        <w:rPr>
          <w:rFonts w:hint="eastAsia"/>
          <w:color w:val="0000FF"/>
          <w:lang w:eastAsia="zh-CN"/>
        </w:rPr>
        <w:t>、</w:t>
      </w:r>
      <w:r>
        <w:rPr>
          <w:rFonts w:hint="eastAsia"/>
          <w:color w:val="0000FF"/>
        </w:rPr>
        <w:t>体检</w:t>
      </w:r>
      <w:r>
        <w:rPr>
          <w:rFonts w:hint="eastAsia"/>
          <w:color w:val="0000FF"/>
          <w:lang w:val="en-US" w:eastAsia="zh-CN"/>
        </w:rPr>
        <w:t>及儿童预防接种</w:t>
      </w:r>
      <w:r>
        <w:rPr>
          <w:rFonts w:hint="eastAsia"/>
          <w:color w:val="0000FF"/>
        </w:rPr>
        <w:t>人员产生的生活污水及实验室废</w:t>
      </w:r>
      <w:r>
        <w:rPr>
          <w:color w:val="0000FF"/>
        </w:rPr>
        <w:t>水，总排放量为</w:t>
      </w:r>
      <w:r>
        <w:rPr>
          <w:rFonts w:hint="eastAsia"/>
          <w:color w:val="0000FF"/>
          <w:lang w:val="en-US" w:eastAsia="zh-CN"/>
        </w:rPr>
        <w:t>1.64</w:t>
      </w:r>
      <w:r>
        <w:rPr>
          <w:color w:val="0000FF"/>
        </w:rPr>
        <w:t>m</w:t>
      </w:r>
      <w:r>
        <w:rPr>
          <w:color w:val="0000FF"/>
          <w:vertAlign w:val="superscript"/>
        </w:rPr>
        <w:t>3</w:t>
      </w:r>
      <w:r>
        <w:rPr>
          <w:color w:val="0000FF"/>
        </w:rPr>
        <w:t>/d（</w:t>
      </w:r>
      <w:r>
        <w:rPr>
          <w:rFonts w:hint="eastAsia"/>
          <w:color w:val="0000FF"/>
          <w:lang w:val="en-US" w:eastAsia="zh-CN"/>
        </w:rPr>
        <w:t>492</w:t>
      </w:r>
      <w:r>
        <w:rPr>
          <w:color w:val="0000FF"/>
        </w:rPr>
        <w:t>m</w:t>
      </w:r>
      <w:r>
        <w:rPr>
          <w:color w:val="0000FF"/>
          <w:vertAlign w:val="superscript"/>
        </w:rPr>
        <w:t>3</w:t>
      </w:r>
      <w:r>
        <w:rPr>
          <w:color w:val="0000FF"/>
        </w:rPr>
        <w:t>/a）。</w:t>
      </w:r>
    </w:p>
    <w:p>
      <w:pPr>
        <w:bidi w:val="0"/>
        <w:rPr>
          <w:color w:val="0000FF"/>
        </w:rPr>
      </w:pPr>
    </w:p>
    <w:p>
      <w:pPr>
        <w:pStyle w:val="7"/>
        <w:bidi w:val="0"/>
        <w:rPr>
          <w:rFonts w:hint="default"/>
          <w:color w:val="0000FF"/>
          <w:lang w:val="en-US" w:eastAsia="zh-CN"/>
        </w:rPr>
      </w:pPr>
      <w:r>
        <w:rPr>
          <w:color w:val="0000FF"/>
        </w:rPr>
        <w:t>6.2.2.</w:t>
      </w:r>
      <w:r>
        <w:rPr>
          <w:rFonts w:hint="eastAsia"/>
          <w:color w:val="0000FF"/>
          <w:lang w:val="en-US" w:eastAsia="zh-CN"/>
        </w:rPr>
        <w:t>1</w:t>
      </w:r>
      <w:r>
        <w:rPr>
          <w:color w:val="0000FF"/>
        </w:rPr>
        <w:t>废水</w:t>
      </w:r>
      <w:r>
        <w:rPr>
          <w:rFonts w:hint="eastAsia"/>
          <w:color w:val="0000FF"/>
          <w:lang w:val="en-US" w:eastAsia="zh-CN"/>
        </w:rPr>
        <w:t>分类处理</w:t>
      </w:r>
    </w:p>
    <w:p>
      <w:pPr>
        <w:bidi w:val="0"/>
        <w:rPr>
          <w:color w:val="0000FF"/>
        </w:rPr>
      </w:pPr>
      <w:r>
        <w:rPr>
          <w:color w:val="0000FF"/>
        </w:rPr>
        <w:t>根据项目废水特性及污染因子组成，分别采取不同的治理措施，详见如下：</w:t>
      </w:r>
    </w:p>
    <w:p>
      <w:pPr>
        <w:bidi w:val="0"/>
        <w:rPr>
          <w:color w:val="0000FF"/>
        </w:rPr>
      </w:pPr>
      <w:r>
        <w:rPr>
          <w:color w:val="0000FF"/>
        </w:rPr>
        <w:t>本项目废水实施分类收集与处理，主要体现在以下几个方面：</w:t>
      </w:r>
    </w:p>
    <w:p>
      <w:pPr>
        <w:bidi w:val="0"/>
        <w:rPr>
          <w:color w:val="0000FF"/>
        </w:rPr>
      </w:pPr>
      <w:r>
        <w:rPr>
          <w:color w:val="0000FF"/>
        </w:rPr>
        <w:t>（1）微生物实验室废水应先对其有感染性的器皿进行灭菌消毒（高压蒸汽灭菌器）后再进行清洗；理化实验室产生的酸性废水应先采用中和法中和至pH6～9后再排入自建污水处理站处理。</w:t>
      </w:r>
    </w:p>
    <w:p>
      <w:pPr>
        <w:bidi w:val="0"/>
        <w:rPr>
          <w:color w:val="0000FF"/>
        </w:rPr>
      </w:pPr>
      <w:r>
        <w:rPr>
          <w:color w:val="0000FF"/>
        </w:rPr>
        <w:t>（2）办公楼与实验楼功能分区明确，因此，办公楼生活污水经其化粪池处理后由总排口进入市政污水管网。</w:t>
      </w:r>
    </w:p>
    <w:p>
      <w:pPr>
        <w:bidi w:val="0"/>
        <w:rPr>
          <w:color w:val="0000FF"/>
        </w:rPr>
      </w:pPr>
      <w:r>
        <w:rPr>
          <w:color w:val="0000FF"/>
        </w:rPr>
        <w:t>（3）实验楼生活污水经其化粪池处理后与实验室废水一同进入自建污水处理站处理后由总排口进入市政污水管网。</w:t>
      </w:r>
    </w:p>
    <w:p>
      <w:pPr>
        <w:pStyle w:val="7"/>
        <w:bidi w:val="0"/>
        <w:rPr>
          <w:color w:val="0000FF"/>
        </w:rPr>
      </w:pPr>
      <w:r>
        <w:rPr>
          <w:color w:val="0000FF"/>
        </w:rPr>
        <w:t>6.2.2.3废水处理设施达标排放的可行性和可靠性</w:t>
      </w:r>
    </w:p>
    <w:p>
      <w:pPr>
        <w:bidi w:val="0"/>
        <w:rPr>
          <w:color w:val="0000FF"/>
        </w:rPr>
      </w:pPr>
      <w:r>
        <w:rPr>
          <w:color w:val="0000FF"/>
        </w:rPr>
        <w:t>本项目污水处理规模按</w:t>
      </w:r>
      <w:r>
        <w:rPr>
          <w:rFonts w:hint="eastAsia"/>
          <w:color w:val="0000FF"/>
          <w:lang w:val="en-US" w:eastAsia="zh-CN"/>
        </w:rPr>
        <w:t>5</w:t>
      </w:r>
      <w:r>
        <w:rPr>
          <w:color w:val="0000FF"/>
        </w:rPr>
        <w:t>m</w:t>
      </w:r>
      <w:r>
        <w:rPr>
          <w:color w:val="0000FF"/>
          <w:vertAlign w:val="superscript"/>
        </w:rPr>
        <w:t>3</w:t>
      </w:r>
      <w:r>
        <w:rPr>
          <w:color w:val="0000FF"/>
        </w:rPr>
        <w:t>/d设计，可满足项目投运后的污水处理需求。疾控中心污水处理站出水达到《医疗机构水污染物排放标准》（GB18466-2005）表2预处理标准后经市政污水管网排入</w:t>
      </w:r>
      <w:r>
        <w:rPr>
          <w:rFonts w:hint="eastAsia"/>
          <w:color w:val="0000FF"/>
          <w:lang w:val="en-US" w:eastAsia="zh-CN"/>
        </w:rPr>
        <w:t>225团</w:t>
      </w:r>
      <w:r>
        <w:rPr>
          <w:color w:val="0000FF"/>
        </w:rPr>
        <w:t>污水处理厂进行进一步处理后用于绿化灌溉。</w:t>
      </w:r>
    </w:p>
    <w:p>
      <w:pPr>
        <w:bidi w:val="0"/>
        <w:rPr>
          <w:color w:val="0000FF"/>
        </w:rPr>
      </w:pPr>
      <w:r>
        <w:rPr>
          <w:color w:val="0000FF"/>
        </w:rPr>
        <w:t>（1）污水处理工艺比选分析</w:t>
      </w:r>
    </w:p>
    <w:p>
      <w:pPr>
        <w:bidi w:val="0"/>
        <w:rPr>
          <w:color w:val="0000FF"/>
        </w:rPr>
      </w:pPr>
      <w:r>
        <w:rPr>
          <w:color w:val="0000FF"/>
        </w:rPr>
        <w:t>本项目为疾病预防控制中心建设项目，废水排放具有如下特点：①污水的可生化降解性好，生化降解速度快，适于生物处理；②污水排放为间歇排放，排水时间集中，水量水质不均匀，污水处理过程须加强调节以稳定污水水质水量，避免冲击负荷对生物处理设施的影响；③污水中含有细菌、病毒、寄生虫卵和一些有毒有害物质，在排放之前必须经过消毒处理。因此，本项目废水处理适合采用生物处理方法。</w:t>
      </w:r>
    </w:p>
    <w:p>
      <w:pPr>
        <w:bidi w:val="0"/>
        <w:rPr>
          <w:color w:val="0000FF"/>
        </w:rPr>
      </w:pPr>
      <w:r>
        <w:rPr>
          <w:color w:val="0000FF"/>
        </w:rPr>
        <w:t>几种生物处理方法的对比：</w:t>
      </w:r>
    </w:p>
    <w:p>
      <w:pPr>
        <w:bidi w:val="0"/>
        <w:rPr>
          <w:color w:val="0000FF"/>
        </w:rPr>
      </w:pPr>
      <w:r>
        <w:rPr>
          <w:color w:val="0000FF"/>
        </w:rPr>
        <w:t>①常规活性污泥法：常规活性污泥法在大型污水处理中使用广泛，但由于常规性污泥法负荷低，易产生污泥膨胀，不易控制管理，故近年来在小型污水处理站中的使用越来越少。</w:t>
      </w:r>
    </w:p>
    <w:p>
      <w:pPr>
        <w:bidi w:val="0"/>
        <w:rPr>
          <w:color w:val="0000FF"/>
        </w:rPr>
      </w:pPr>
      <w:r>
        <w:rPr>
          <w:color w:val="0000FF"/>
        </w:rPr>
        <w:t>②A/O工艺：A/O工艺是以活性污泥作为生物载体，通过风机供氧曝气的作用使污水达到充氧的目的。A池内设机械搅拌，从O池的回流液回流至A池，在A进行反硝化反应，将大部分硝酸盐氮还原成氮气，并通过搅拌使氮气从废水中溢出，达到去除氨氮的目的；A池出水至O池，O池内设鼓风曝气，去除大部分有机污染物，并将进水中的大部分氨氮转化成硝酸盐氮；可以根据废水的需要，调整O段池中的活性污泥浓度，通过活性污泥中的菌胶团，吸附、氧化并分解废水中的有机物；有机物、氨氮去除率高。然而，由于没有独立的污泥回流系统，从而不能培养出具有独特功能的污泥，难降解物质的降解率较低；同时，若要提高脱氮效率，必须加大内循环比，因而加大了运行费用。另外，内循环液来自曝气池，含有一定的DO，使A段难以保持理想的缺氧状态，影响反硝化效果，脱氮率很难达到90%。</w:t>
      </w:r>
    </w:p>
    <w:p>
      <w:pPr>
        <w:bidi w:val="0"/>
        <w:rPr>
          <w:color w:val="0000FF"/>
        </w:rPr>
      </w:pPr>
      <w:r>
        <w:rPr>
          <w:color w:val="0000FF"/>
        </w:rPr>
        <w:t>③SBR法：该处理工艺集曝气池、沉淀池为一体，连续进水，间歇曝气，停气时污水沉淀撇除上清液，成为一个周期，周而复始。SBR法不设沉淀池，无污泥回流设备，但SBR法为间歇运行，需设多个处理单元，进水和曝气相互切换，造成控制较为复杂。为了保证溢流率，SBR法对滗水器设备制造要求高，制作时必须精益求精，否则极易造成最终出水水质不达标。国内目前还没有质量较好的滗水设备，进口设备采购麻烦，且价格昂贵，同时今后维修费用也高。SBR法池内污泥浓度由浓度仪测定以便控制排出多余污泥量，目前国内浓度仪技术不成熟等原因易造成SBR污泥排放控制困难等问题。</w:t>
      </w:r>
    </w:p>
    <w:p>
      <w:pPr>
        <w:bidi w:val="0"/>
        <w:rPr>
          <w:color w:val="0000FF"/>
        </w:rPr>
      </w:pPr>
      <w:r>
        <w:rPr>
          <w:color w:val="0000FF"/>
        </w:rPr>
        <w:t>④接触氧化法：生物接触氧化法是传统的生化处理方法，生物填料为固定床上的半软性填料。利用半软性填料作为微生物的附着载体。生物均匀分布在生物填料上，这样就避免了微生物分布不均的现象，同时，生物附着在填料表面，不随水流动，因生物膜直接受到上升气流的强烈搅动，不断更新，从而提高了净化效果。接触氧化法具有处理时间短、体积小、净化效果好、出水水质好而稳定、污泥不需回流也不膨胀、耗电小等优点。其特点主要有：容积负荷高，耐冲击负荷能力强；具有膜法的优点，剩余污泥量少；具有活性污泥法的优点，辅以机械设备供氧，生物活性高，泥龄短；能分解其它生物处理难分解的物质；容易管理，消除污泥上浮和膨胀等弊端。</w:t>
      </w:r>
    </w:p>
    <w:p>
      <w:pPr>
        <w:bidi w:val="0"/>
        <w:rPr>
          <w:color w:val="0000FF"/>
        </w:rPr>
      </w:pPr>
      <w:r>
        <w:rPr>
          <w:color w:val="0000FF"/>
        </w:rPr>
        <w:t>综上所述，本工程生物处理拟采用“水解酸化+接触氧化法”。</w:t>
      </w:r>
    </w:p>
    <w:p>
      <w:pPr>
        <w:bidi w:val="0"/>
        <w:rPr>
          <w:color w:val="0000FF"/>
        </w:rPr>
      </w:pPr>
      <w:r>
        <w:rPr>
          <w:color w:val="0000FF"/>
        </w:rPr>
        <w:t>（2）医疗废水消毒工艺比选</w:t>
      </w:r>
    </w:p>
    <w:p>
      <w:pPr>
        <w:bidi w:val="0"/>
        <w:rPr>
          <w:color w:val="0000FF"/>
        </w:rPr>
      </w:pPr>
      <w:r>
        <w:rPr>
          <w:color w:val="0000FF"/>
        </w:rPr>
        <w:t>医疗机构污水消毒常用的消毒工艺有氯消毒（如氯气、二氧化氯、次氯酸钠）、氧化剂消毒（如臭氧、过氧乙酸）、辐射消毒（如紫外线）。本评价对常用的氯消毒、臭氧消毒、二氧化氯消毒、次氯酸钠消毒和紫外线消毒的优缺点进行了归纳和比较，结果见表6</w:t>
      </w:r>
      <w:r>
        <w:rPr>
          <w:rFonts w:hint="eastAsia"/>
          <w:color w:val="0000FF"/>
          <w:lang w:val="en-US" w:eastAsia="zh-CN"/>
        </w:rPr>
        <w:t>.2</w:t>
      </w:r>
      <w:r>
        <w:rPr>
          <w:color w:val="0000FF"/>
        </w:rPr>
        <w:t>-1。</w:t>
      </w:r>
    </w:p>
    <w:p>
      <w:pPr>
        <w:pStyle w:val="22"/>
        <w:bidi w:val="0"/>
        <w:rPr>
          <w:b/>
          <w:bCs/>
          <w:color w:val="0000FF"/>
        </w:rPr>
      </w:pPr>
      <w:r>
        <w:rPr>
          <w:b/>
          <w:bCs/>
          <w:color w:val="0000FF"/>
        </w:rPr>
        <w:t>表6</w:t>
      </w:r>
      <w:r>
        <w:rPr>
          <w:rFonts w:hint="eastAsia"/>
          <w:b/>
          <w:bCs/>
          <w:color w:val="0000FF"/>
          <w:lang w:val="en-US" w:eastAsia="zh-CN"/>
        </w:rPr>
        <w:t>.2</w:t>
      </w:r>
      <w:r>
        <w:rPr>
          <w:b/>
          <w:bCs/>
          <w:color w:val="0000FF"/>
        </w:rPr>
        <w:t>-1几种常用消毒工艺比较</w:t>
      </w:r>
    </w:p>
    <w:p>
      <w:pPr>
        <w:spacing w:line="35" w:lineRule="exact"/>
        <w:rPr>
          <w:color w:val="0000FF"/>
        </w:rPr>
      </w:pPr>
    </w:p>
    <w:tbl>
      <w:tblPr>
        <w:tblStyle w:val="23"/>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2833"/>
        <w:gridCol w:w="3116"/>
        <w:gridCol w:w="14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05" w:type="dxa"/>
            <w:vAlign w:val="center"/>
          </w:tcPr>
          <w:p>
            <w:pPr>
              <w:pStyle w:val="22"/>
              <w:bidi w:val="0"/>
              <w:jc w:val="center"/>
              <w:rPr>
                <w:color w:val="0000FF"/>
              </w:rPr>
            </w:pPr>
            <w:r>
              <w:rPr>
                <w:color w:val="0000FF"/>
              </w:rPr>
              <w:t>消毒剂</w:t>
            </w:r>
          </w:p>
        </w:tc>
        <w:tc>
          <w:tcPr>
            <w:tcW w:w="2833" w:type="dxa"/>
            <w:vAlign w:val="center"/>
          </w:tcPr>
          <w:p>
            <w:pPr>
              <w:pStyle w:val="22"/>
              <w:bidi w:val="0"/>
              <w:jc w:val="center"/>
              <w:rPr>
                <w:color w:val="0000FF"/>
              </w:rPr>
            </w:pPr>
            <w:r>
              <w:rPr>
                <w:color w:val="0000FF"/>
              </w:rPr>
              <w:t>优点</w:t>
            </w:r>
          </w:p>
        </w:tc>
        <w:tc>
          <w:tcPr>
            <w:tcW w:w="3116" w:type="dxa"/>
            <w:vAlign w:val="center"/>
          </w:tcPr>
          <w:p>
            <w:pPr>
              <w:pStyle w:val="22"/>
              <w:bidi w:val="0"/>
              <w:jc w:val="center"/>
              <w:rPr>
                <w:color w:val="0000FF"/>
              </w:rPr>
            </w:pPr>
            <w:r>
              <w:rPr>
                <w:color w:val="0000FF"/>
              </w:rPr>
              <w:t>缺点</w:t>
            </w:r>
          </w:p>
        </w:tc>
        <w:tc>
          <w:tcPr>
            <w:tcW w:w="1472" w:type="dxa"/>
            <w:vAlign w:val="center"/>
          </w:tcPr>
          <w:p>
            <w:pPr>
              <w:pStyle w:val="22"/>
              <w:bidi w:val="0"/>
              <w:jc w:val="center"/>
              <w:rPr>
                <w:color w:val="0000FF"/>
              </w:rPr>
            </w:pPr>
            <w:r>
              <w:rPr>
                <w:color w:val="0000FF"/>
              </w:rPr>
              <w:t>消毒效果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1105" w:type="dxa"/>
            <w:vAlign w:val="center"/>
          </w:tcPr>
          <w:p>
            <w:pPr>
              <w:pStyle w:val="22"/>
              <w:bidi w:val="0"/>
              <w:jc w:val="center"/>
              <w:rPr>
                <w:color w:val="0000FF"/>
              </w:rPr>
            </w:pPr>
            <w:r>
              <w:rPr>
                <w:color w:val="0000FF"/>
              </w:rPr>
              <w:t>氯Cl</w:t>
            </w:r>
            <w:r>
              <w:rPr>
                <w:color w:val="0000FF"/>
                <w:vertAlign w:val="subscript"/>
              </w:rPr>
              <w:t>2</w:t>
            </w:r>
          </w:p>
        </w:tc>
        <w:tc>
          <w:tcPr>
            <w:tcW w:w="2833" w:type="dxa"/>
            <w:vAlign w:val="center"/>
          </w:tcPr>
          <w:p>
            <w:pPr>
              <w:pStyle w:val="22"/>
              <w:bidi w:val="0"/>
              <w:jc w:val="center"/>
              <w:rPr>
                <w:color w:val="0000FF"/>
              </w:rPr>
            </w:pPr>
            <w:r>
              <w:rPr>
                <w:color w:val="0000FF"/>
              </w:rPr>
              <w:t>具有持续消毒作用，工艺简单，技术成熟，操作简单，投量准确。</w:t>
            </w:r>
          </w:p>
        </w:tc>
        <w:tc>
          <w:tcPr>
            <w:tcW w:w="3116" w:type="dxa"/>
            <w:vAlign w:val="center"/>
          </w:tcPr>
          <w:p>
            <w:pPr>
              <w:pStyle w:val="22"/>
              <w:bidi w:val="0"/>
              <w:jc w:val="center"/>
              <w:rPr>
                <w:color w:val="0000FF"/>
              </w:rPr>
            </w:pPr>
            <w:r>
              <w:rPr>
                <w:color w:val="0000FF"/>
              </w:rPr>
              <w:t>产生</w:t>
            </w:r>
            <w:r>
              <w:rPr>
                <w:rFonts w:hint="eastAsia"/>
                <w:color w:val="0000FF"/>
                <w:lang w:eastAsia="zh-CN"/>
              </w:rPr>
              <w:t>具有</w:t>
            </w:r>
            <w:r>
              <w:rPr>
                <w:color w:val="0000FF"/>
              </w:rPr>
              <w:t>致癌、致畸作用的有机氯化物（THMs）；处理水有氯或氯酚味；氯气腐蚀性强；运行管理有一定的危险性。</w:t>
            </w:r>
          </w:p>
        </w:tc>
        <w:tc>
          <w:tcPr>
            <w:tcW w:w="1472" w:type="dxa"/>
            <w:vAlign w:val="center"/>
          </w:tcPr>
          <w:p>
            <w:pPr>
              <w:pStyle w:val="22"/>
              <w:bidi w:val="0"/>
              <w:jc w:val="center"/>
              <w:rPr>
                <w:color w:val="0000FF"/>
              </w:rPr>
            </w:pPr>
            <w:r>
              <w:rPr>
                <w:color w:val="0000FF"/>
              </w:rPr>
              <w:t>能有效杀菌，但杀灭病毒效果较差。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1105" w:type="dxa"/>
            <w:vAlign w:val="center"/>
          </w:tcPr>
          <w:p>
            <w:pPr>
              <w:pStyle w:val="22"/>
              <w:bidi w:val="0"/>
              <w:jc w:val="center"/>
              <w:rPr>
                <w:color w:val="0000FF"/>
              </w:rPr>
            </w:pPr>
            <w:r>
              <w:rPr>
                <w:color w:val="0000FF"/>
              </w:rPr>
              <w:t>次氯酸钠NaOCl</w:t>
            </w:r>
          </w:p>
        </w:tc>
        <w:tc>
          <w:tcPr>
            <w:tcW w:w="2833" w:type="dxa"/>
            <w:vAlign w:val="center"/>
          </w:tcPr>
          <w:p>
            <w:pPr>
              <w:pStyle w:val="22"/>
              <w:bidi w:val="0"/>
              <w:jc w:val="center"/>
              <w:rPr>
                <w:color w:val="0000FF"/>
              </w:rPr>
            </w:pPr>
            <w:r>
              <w:rPr>
                <w:color w:val="0000FF"/>
              </w:rPr>
              <w:t>无毒，运行、管理无危险性。</w:t>
            </w:r>
          </w:p>
        </w:tc>
        <w:tc>
          <w:tcPr>
            <w:tcW w:w="3116" w:type="dxa"/>
            <w:vAlign w:val="center"/>
          </w:tcPr>
          <w:p>
            <w:pPr>
              <w:pStyle w:val="22"/>
              <w:bidi w:val="0"/>
              <w:jc w:val="center"/>
              <w:rPr>
                <w:color w:val="0000FF"/>
              </w:rPr>
            </w:pPr>
            <w:r>
              <w:rPr>
                <w:color w:val="0000FF"/>
              </w:rPr>
              <w:t>产生具致癌、致畸作用的有机氯化物（THMs）；使水的pH升高。</w:t>
            </w:r>
          </w:p>
        </w:tc>
        <w:tc>
          <w:tcPr>
            <w:tcW w:w="1472" w:type="dxa"/>
            <w:vAlign w:val="center"/>
          </w:tcPr>
          <w:p>
            <w:pPr>
              <w:pStyle w:val="22"/>
              <w:bidi w:val="0"/>
              <w:jc w:val="center"/>
              <w:rPr>
                <w:color w:val="0000FF"/>
              </w:rPr>
            </w:pPr>
            <w:r>
              <w:rPr>
                <w:color w:val="0000FF"/>
              </w:rPr>
              <w:t>与Cl</w:t>
            </w:r>
            <w:r>
              <w:rPr>
                <w:color w:val="0000FF"/>
                <w:vertAlign w:val="subscript"/>
              </w:rPr>
              <w:t>2</w:t>
            </w:r>
            <w:r>
              <w:rPr>
                <w:color w:val="0000FF"/>
              </w:rPr>
              <w:t>杀菌效果相同。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1105" w:type="dxa"/>
            <w:vAlign w:val="center"/>
          </w:tcPr>
          <w:p>
            <w:pPr>
              <w:pStyle w:val="22"/>
              <w:bidi w:val="0"/>
              <w:jc w:val="center"/>
              <w:rPr>
                <w:color w:val="0000FF"/>
              </w:rPr>
            </w:pPr>
            <w:r>
              <w:rPr>
                <w:color w:val="0000FF"/>
              </w:rPr>
              <w:t>二氧化氯ClO</w:t>
            </w:r>
            <w:r>
              <w:rPr>
                <w:color w:val="0000FF"/>
                <w:vertAlign w:val="subscript"/>
              </w:rPr>
              <w:t>2</w:t>
            </w:r>
          </w:p>
        </w:tc>
        <w:tc>
          <w:tcPr>
            <w:tcW w:w="2833" w:type="dxa"/>
            <w:vAlign w:val="center"/>
          </w:tcPr>
          <w:p>
            <w:pPr>
              <w:pStyle w:val="22"/>
              <w:bidi w:val="0"/>
              <w:jc w:val="center"/>
              <w:rPr>
                <w:color w:val="0000FF"/>
              </w:rPr>
            </w:pPr>
            <w:r>
              <w:rPr>
                <w:color w:val="0000FF"/>
              </w:rPr>
              <w:t>具有强烈的氧化作用，不产生有机氯化物（THMs）；投放简单方便；不受pH影响。</w:t>
            </w:r>
          </w:p>
        </w:tc>
        <w:tc>
          <w:tcPr>
            <w:tcW w:w="3116" w:type="dxa"/>
            <w:vAlign w:val="center"/>
          </w:tcPr>
          <w:p>
            <w:pPr>
              <w:pStyle w:val="22"/>
              <w:bidi w:val="0"/>
              <w:jc w:val="center"/>
              <w:rPr>
                <w:color w:val="0000FF"/>
              </w:rPr>
            </w:pPr>
            <w:r>
              <w:rPr>
                <w:color w:val="0000FF"/>
              </w:rPr>
              <w:t>ClO</w:t>
            </w:r>
            <w:r>
              <w:rPr>
                <w:color w:val="0000FF"/>
                <w:vertAlign w:val="subscript"/>
              </w:rPr>
              <w:t>2</w:t>
            </w:r>
            <w:r>
              <w:rPr>
                <w:color w:val="0000FF"/>
              </w:rPr>
              <w:t>运行、管理有一定的危险性；只能就地生产，就地使用；制取设备复杂；操作管理要求高。</w:t>
            </w:r>
          </w:p>
        </w:tc>
        <w:tc>
          <w:tcPr>
            <w:tcW w:w="1472" w:type="dxa"/>
            <w:vAlign w:val="center"/>
          </w:tcPr>
          <w:p>
            <w:pPr>
              <w:pStyle w:val="22"/>
              <w:bidi w:val="0"/>
              <w:jc w:val="center"/>
              <w:rPr>
                <w:color w:val="0000FF"/>
              </w:rPr>
            </w:pPr>
            <w:r>
              <w:rPr>
                <w:color w:val="0000FF"/>
              </w:rPr>
              <w:t>较Cl</w:t>
            </w:r>
            <w:r>
              <w:rPr>
                <w:color w:val="0000FF"/>
                <w:vertAlign w:val="subscript"/>
              </w:rPr>
              <w:t>2</w:t>
            </w:r>
            <w:r>
              <w:rPr>
                <w:color w:val="0000FF"/>
              </w:rPr>
              <w:t>杀菌效果好。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05" w:type="dxa"/>
            <w:vAlign w:val="center"/>
          </w:tcPr>
          <w:p>
            <w:pPr>
              <w:pStyle w:val="22"/>
              <w:bidi w:val="0"/>
              <w:jc w:val="center"/>
              <w:rPr>
                <w:color w:val="0000FF"/>
              </w:rPr>
            </w:pPr>
            <w:r>
              <w:rPr>
                <w:color w:val="0000FF"/>
              </w:rPr>
              <w:t>臭氧O</w:t>
            </w:r>
            <w:r>
              <w:rPr>
                <w:color w:val="0000FF"/>
                <w:vertAlign w:val="subscript"/>
              </w:rPr>
              <w:t>3</w:t>
            </w:r>
          </w:p>
        </w:tc>
        <w:tc>
          <w:tcPr>
            <w:tcW w:w="2833" w:type="dxa"/>
            <w:vAlign w:val="center"/>
          </w:tcPr>
          <w:p>
            <w:pPr>
              <w:pStyle w:val="22"/>
              <w:bidi w:val="0"/>
              <w:jc w:val="center"/>
              <w:rPr>
                <w:color w:val="0000FF"/>
              </w:rPr>
            </w:pPr>
            <w:r>
              <w:rPr>
                <w:color w:val="0000FF"/>
              </w:rPr>
              <w:t>有强氧化能力，接触时间短；不产生有机氯化物（THMs）；不受pH影响；能增加水中溶解氧。</w:t>
            </w:r>
          </w:p>
        </w:tc>
        <w:tc>
          <w:tcPr>
            <w:tcW w:w="3116" w:type="dxa"/>
            <w:vAlign w:val="center"/>
          </w:tcPr>
          <w:p>
            <w:pPr>
              <w:pStyle w:val="22"/>
              <w:bidi w:val="0"/>
              <w:jc w:val="center"/>
              <w:rPr>
                <w:color w:val="0000FF"/>
              </w:rPr>
            </w:pPr>
            <w:r>
              <w:rPr>
                <w:color w:val="0000FF"/>
              </w:rPr>
              <w:t>臭氧运行、管理有一定的危险性；操作复杂；制取臭氧的产率低；电能消耗大。</w:t>
            </w:r>
          </w:p>
        </w:tc>
        <w:tc>
          <w:tcPr>
            <w:tcW w:w="1472" w:type="dxa"/>
            <w:vAlign w:val="center"/>
          </w:tcPr>
          <w:p>
            <w:pPr>
              <w:pStyle w:val="22"/>
              <w:bidi w:val="0"/>
              <w:jc w:val="center"/>
              <w:rPr>
                <w:color w:val="0000FF"/>
              </w:rPr>
            </w:pPr>
            <w:r>
              <w:rPr>
                <w:color w:val="0000FF"/>
              </w:rPr>
              <w:t>杀菌和杀灭病毒的效果均很好。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105" w:type="dxa"/>
            <w:vAlign w:val="center"/>
          </w:tcPr>
          <w:p>
            <w:pPr>
              <w:pStyle w:val="22"/>
              <w:bidi w:val="0"/>
              <w:jc w:val="center"/>
              <w:rPr>
                <w:color w:val="0000FF"/>
              </w:rPr>
            </w:pPr>
            <w:r>
              <w:rPr>
                <w:color w:val="0000FF"/>
              </w:rPr>
              <w:t>紫外线</w:t>
            </w:r>
          </w:p>
        </w:tc>
        <w:tc>
          <w:tcPr>
            <w:tcW w:w="2833" w:type="dxa"/>
            <w:vAlign w:val="center"/>
          </w:tcPr>
          <w:p>
            <w:pPr>
              <w:pStyle w:val="22"/>
              <w:bidi w:val="0"/>
              <w:jc w:val="center"/>
              <w:rPr>
                <w:color w:val="0000FF"/>
              </w:rPr>
            </w:pPr>
            <w:r>
              <w:rPr>
                <w:color w:val="0000FF"/>
              </w:rPr>
              <w:t>无有害的残余物质；无臭味；操作简单，易实现自动化运行管理和维修费用低。</w:t>
            </w:r>
          </w:p>
        </w:tc>
        <w:tc>
          <w:tcPr>
            <w:tcW w:w="3116" w:type="dxa"/>
            <w:vAlign w:val="center"/>
          </w:tcPr>
          <w:p>
            <w:pPr>
              <w:pStyle w:val="22"/>
              <w:bidi w:val="0"/>
              <w:jc w:val="center"/>
              <w:rPr>
                <w:color w:val="0000FF"/>
              </w:rPr>
            </w:pPr>
            <w:r>
              <w:rPr>
                <w:color w:val="0000FF"/>
              </w:rPr>
              <w:t>紫外灯管与石英套管需定期更换；对处理水的水质要求较高；无后续杀菌作用；对SS浓度哟偶要求；电能消耗大。</w:t>
            </w:r>
          </w:p>
        </w:tc>
        <w:tc>
          <w:tcPr>
            <w:tcW w:w="1472" w:type="dxa"/>
            <w:vAlign w:val="center"/>
          </w:tcPr>
          <w:p>
            <w:pPr>
              <w:pStyle w:val="22"/>
              <w:bidi w:val="0"/>
              <w:jc w:val="center"/>
              <w:rPr>
                <w:color w:val="0000FF"/>
              </w:rPr>
            </w:pPr>
            <w:r>
              <w:rPr>
                <w:color w:val="0000FF"/>
              </w:rPr>
              <w:t>杀菌和杀灭病毒的效果均很好。</w:t>
            </w:r>
          </w:p>
        </w:tc>
      </w:tr>
    </w:tbl>
    <w:p>
      <w:pPr>
        <w:bidi w:val="0"/>
        <w:rPr>
          <w:color w:val="0000FF"/>
        </w:rPr>
      </w:pPr>
      <w:r>
        <w:rPr>
          <w:color w:val="0000FF"/>
        </w:rPr>
        <w:t>二氧化氯是一种广谱、高效的氧化杀菌剂，它的杀菌效果明显优于液氯，而与液氯相比投加量少，杀灭速度快。其杀菌能力与臭氧相当，其氧化能力是液氯的2.5倍；对于各种细菌、病毒都具有极佳的杀灭能力，是细菌、病毒的克星；二氧化氯在很宽的pH值范围内都有很强的杀菌能力，较其他消毒剂相比有更宽的适用范围；二氧化氯在水中很稳定，滞留时间长，具有持久杀菌能力，不污染环境，不会与水中腐殖物反应生成三卤甲烷、卤仿等致癌物质，对人体无害，被世界卫生组织确认为A级高效安全消毒杀菌剂。</w:t>
      </w:r>
    </w:p>
    <w:p>
      <w:pPr>
        <w:bidi w:val="0"/>
        <w:rPr>
          <w:color w:val="0000FF"/>
        </w:rPr>
      </w:pPr>
      <w:r>
        <w:rPr>
          <w:color w:val="0000FF"/>
        </w:rPr>
        <w:t>考虑到次氯酸钠对人体有一定的伤害，同时紫外线消毒有一定的不稳定性，因此，经综合考虑，本项目污水处理选择二氧化氯消毒工艺。</w:t>
      </w:r>
    </w:p>
    <w:p>
      <w:pPr>
        <w:bidi w:val="0"/>
        <w:rPr>
          <w:color w:val="0000FF"/>
        </w:rPr>
      </w:pPr>
      <w:r>
        <w:rPr>
          <w:color w:val="0000FF"/>
        </w:rPr>
        <w:t>本项目污水处理工艺流程见图6</w:t>
      </w:r>
      <w:r>
        <w:rPr>
          <w:rFonts w:hint="eastAsia"/>
          <w:color w:val="0000FF"/>
          <w:lang w:val="en-US" w:eastAsia="zh-CN"/>
        </w:rPr>
        <w:t>.2-1</w:t>
      </w:r>
      <w:r>
        <w:rPr>
          <w:color w:val="0000FF"/>
        </w:rPr>
        <w:t>。</w:t>
      </w:r>
    </w:p>
    <w:p>
      <w:pPr>
        <w:spacing w:before="150" w:line="184" w:lineRule="auto"/>
        <w:ind w:firstLine="2089"/>
        <w:jc w:val="center"/>
        <w:rPr>
          <w:rStyle w:val="32"/>
          <w:b/>
          <w:bCs/>
          <w:color w:val="0000FF"/>
        </w:rPr>
      </w:pPr>
      <w:r>
        <w:rPr>
          <w:color w:val="0000FF"/>
        </w:rPr>
        <w:drawing>
          <wp:inline distT="0" distB="0" distL="114300" distR="114300">
            <wp:extent cx="5271135" cy="3739515"/>
            <wp:effectExtent l="0" t="0" r="5715" b="1333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7"/>
                    <a:stretch>
                      <a:fillRect/>
                    </a:stretch>
                  </pic:blipFill>
                  <pic:spPr>
                    <a:xfrm>
                      <a:off x="0" y="0"/>
                      <a:ext cx="5271135" cy="3739515"/>
                    </a:xfrm>
                    <a:prstGeom prst="rect">
                      <a:avLst/>
                    </a:prstGeom>
                    <a:noFill/>
                    <a:ln>
                      <a:noFill/>
                    </a:ln>
                  </pic:spPr>
                </pic:pic>
              </a:graphicData>
            </a:graphic>
          </wp:inline>
        </w:drawing>
      </w:r>
      <w:r>
        <w:rPr>
          <w:rStyle w:val="32"/>
          <w:b/>
          <w:bCs/>
          <w:color w:val="0000FF"/>
        </w:rPr>
        <w:t>图6</w:t>
      </w:r>
      <w:r>
        <w:rPr>
          <w:rStyle w:val="32"/>
          <w:rFonts w:hint="eastAsia"/>
          <w:b/>
          <w:bCs/>
          <w:color w:val="0000FF"/>
          <w:lang w:val="en-US" w:eastAsia="zh-CN"/>
        </w:rPr>
        <w:t>.2-1</w:t>
      </w:r>
      <w:r>
        <w:rPr>
          <w:rStyle w:val="32"/>
          <w:b/>
          <w:bCs/>
          <w:color w:val="0000FF"/>
        </w:rPr>
        <w:t>自建污水处理站处理工艺流程图</w:t>
      </w:r>
    </w:p>
    <w:p>
      <w:pPr>
        <w:bidi w:val="0"/>
        <w:rPr>
          <w:color w:val="0000FF"/>
        </w:rPr>
      </w:pPr>
      <w:r>
        <w:rPr>
          <w:color w:val="0000FF"/>
        </w:rPr>
        <w:t>（3）处理效果分析</w:t>
      </w:r>
    </w:p>
    <w:p>
      <w:pPr>
        <w:bidi w:val="0"/>
        <w:rPr>
          <w:color w:val="0000FF"/>
        </w:rPr>
      </w:pPr>
      <w:r>
        <w:rPr>
          <w:color w:val="0000FF"/>
        </w:rPr>
        <w:t>根据工程分析，本项目污水处理站出水水质能够满足《医疗机构水污染物排放标准》（GB18466-2005）表2预处理标准，同时满足</w:t>
      </w:r>
      <w:r>
        <w:rPr>
          <w:rFonts w:hint="eastAsia"/>
          <w:color w:val="0000FF"/>
          <w:lang w:val="en-US" w:eastAsia="zh-CN"/>
        </w:rPr>
        <w:t>225团</w:t>
      </w:r>
      <w:r>
        <w:rPr>
          <w:color w:val="0000FF"/>
        </w:rPr>
        <w:t>污水处理厂进水水质要求，因此，本项目污水处理设施处理工艺可行。</w:t>
      </w:r>
    </w:p>
    <w:p>
      <w:pPr>
        <w:pStyle w:val="6"/>
        <w:bidi w:val="0"/>
        <w:rPr>
          <w:color w:val="0000FF"/>
        </w:rPr>
      </w:pPr>
      <w:bookmarkStart w:id="113" w:name="_Toc25923"/>
      <w:r>
        <w:rPr>
          <w:color w:val="0000FF"/>
        </w:rPr>
        <w:t>6.2.3噪声污染防治措施</w:t>
      </w:r>
      <w:bookmarkEnd w:id="113"/>
    </w:p>
    <w:p>
      <w:pPr>
        <w:bidi w:val="0"/>
        <w:rPr>
          <w:color w:val="0000FF"/>
        </w:rPr>
      </w:pPr>
      <w:r>
        <w:rPr>
          <w:color w:val="0000FF"/>
        </w:rPr>
        <w:t>本项目运营期噪声主要为污水处理站水泵和风机等设备噪声、人群噪声及来往车辆噪声。污水处理站水泵和风机等设备均布置在室内，通过隔声、减振、消声等措施后对声环境影响较小；人群噪声采取张贴禁止喧哗标语的措施；车辆噪声采取限速、禁止鸣笛的措施，经采取上述措施后，各边界噪声值均能满足《工业企业厂界环境噪声排放标准》（GB12348-2008）1类【昼间≤55dB(A)、夜间≤45dB(A)】要求；</w:t>
      </w:r>
      <w:r>
        <w:rPr>
          <w:rFonts w:hint="eastAsia"/>
          <w:color w:val="0000FF"/>
          <w:lang w:val="en-US" w:eastAsia="zh-CN"/>
        </w:rPr>
        <w:t>厂界四周</w:t>
      </w:r>
      <w:r>
        <w:rPr>
          <w:color w:val="0000FF"/>
        </w:rPr>
        <w:t>噪声预测值均能满足《声环境质量标准》（GB3096-2008）1类标准【昼间≤55dB(A)、夜间≤45dB(A)】要求，项目噪声对外环境影响较小。</w:t>
      </w:r>
    </w:p>
    <w:p>
      <w:pPr>
        <w:bidi w:val="0"/>
        <w:rPr>
          <w:color w:val="0000FF"/>
        </w:rPr>
      </w:pPr>
      <w:r>
        <w:rPr>
          <w:color w:val="0000FF"/>
        </w:rPr>
        <w:t>因此，本项目噪声污染防治措施可行。</w:t>
      </w:r>
    </w:p>
    <w:p>
      <w:pPr>
        <w:pStyle w:val="6"/>
        <w:bidi w:val="0"/>
        <w:rPr>
          <w:color w:val="0000FF"/>
        </w:rPr>
      </w:pPr>
      <w:bookmarkStart w:id="114" w:name="_Toc28266"/>
      <w:r>
        <w:rPr>
          <w:color w:val="0000FF"/>
        </w:rPr>
        <w:t>6.2.4固体废弃物污染防治措施</w:t>
      </w:r>
      <w:bookmarkEnd w:id="114"/>
    </w:p>
    <w:p>
      <w:pPr>
        <w:pStyle w:val="7"/>
        <w:bidi w:val="0"/>
        <w:rPr>
          <w:rFonts w:hint="default"/>
          <w:color w:val="0000FF"/>
          <w:lang w:val="en-US" w:eastAsia="zh-CN"/>
        </w:rPr>
      </w:pPr>
      <w:r>
        <w:rPr>
          <w:rFonts w:hint="eastAsia"/>
          <w:color w:val="0000FF"/>
          <w:lang w:val="en-US" w:eastAsia="zh-CN"/>
        </w:rPr>
        <w:t>6.2.4.1固废治理措施</w:t>
      </w:r>
    </w:p>
    <w:p>
      <w:pPr>
        <w:pStyle w:val="22"/>
        <w:bidi w:val="0"/>
        <w:rPr>
          <w:b/>
          <w:bCs/>
          <w:color w:val="0000FF"/>
        </w:rPr>
      </w:pPr>
      <w:r>
        <w:rPr>
          <w:b/>
          <w:bCs/>
          <w:color w:val="0000FF"/>
        </w:rPr>
        <w:t>表</w:t>
      </w:r>
      <w:r>
        <w:rPr>
          <w:rFonts w:hint="eastAsia"/>
          <w:b/>
          <w:bCs/>
          <w:color w:val="0000FF"/>
          <w:lang w:val="en-US" w:eastAsia="zh-CN"/>
        </w:rPr>
        <w:t>6</w:t>
      </w:r>
      <w:r>
        <w:rPr>
          <w:b/>
          <w:bCs/>
          <w:color w:val="0000FF"/>
        </w:rPr>
        <w:t>.</w:t>
      </w:r>
      <w:r>
        <w:rPr>
          <w:rFonts w:hint="eastAsia"/>
          <w:b/>
          <w:bCs/>
          <w:color w:val="0000FF"/>
          <w:lang w:val="en-US" w:eastAsia="zh-CN"/>
        </w:rPr>
        <w:t>2</w:t>
      </w:r>
      <w:r>
        <w:rPr>
          <w:b/>
          <w:bCs/>
          <w:color w:val="0000FF"/>
        </w:rPr>
        <w:t>-</w:t>
      </w:r>
      <w:r>
        <w:rPr>
          <w:rFonts w:hint="eastAsia"/>
          <w:b/>
          <w:bCs/>
          <w:color w:val="0000FF"/>
          <w:lang w:val="en-US" w:eastAsia="zh-CN"/>
        </w:rPr>
        <w:t>2</w:t>
      </w:r>
      <w:r>
        <w:rPr>
          <w:b/>
          <w:bCs/>
          <w:color w:val="0000FF"/>
        </w:rPr>
        <w:t>本项目固体废物一览表</w:t>
      </w:r>
    </w:p>
    <w:tbl>
      <w:tblPr>
        <w:tblStyle w:val="23"/>
        <w:tblW w:w="84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
        <w:gridCol w:w="443"/>
        <w:gridCol w:w="1513"/>
        <w:gridCol w:w="2"/>
        <w:gridCol w:w="774"/>
        <w:gridCol w:w="1206"/>
        <w:gridCol w:w="2"/>
        <w:gridCol w:w="1185"/>
        <w:gridCol w:w="2"/>
        <w:gridCol w:w="3325"/>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571" w:hRule="atLeast"/>
          <w:jc w:val="center"/>
        </w:trPr>
        <w:tc>
          <w:tcPr>
            <w:tcW w:w="451" w:type="dxa"/>
            <w:gridSpan w:val="2"/>
            <w:tcBorders>
              <w:tl2br w:val="nil"/>
              <w:tr2bl w:val="nil"/>
            </w:tcBorders>
            <w:textDirection w:val="tbRlV"/>
            <w:vAlign w:val="center"/>
          </w:tcPr>
          <w:p>
            <w:pPr>
              <w:pStyle w:val="22"/>
              <w:bidi w:val="0"/>
              <w:jc w:val="center"/>
              <w:rPr>
                <w:color w:val="0000FF"/>
              </w:rPr>
            </w:pPr>
            <w:r>
              <w:rPr>
                <w:color w:val="0000FF"/>
              </w:rPr>
              <w:t>序号</w:t>
            </w:r>
          </w:p>
        </w:tc>
        <w:tc>
          <w:tcPr>
            <w:tcW w:w="1513" w:type="dxa"/>
            <w:tcBorders>
              <w:tl2br w:val="nil"/>
              <w:tr2bl w:val="nil"/>
            </w:tcBorders>
            <w:vAlign w:val="center"/>
          </w:tcPr>
          <w:p>
            <w:pPr>
              <w:pStyle w:val="22"/>
              <w:bidi w:val="0"/>
              <w:jc w:val="center"/>
              <w:rPr>
                <w:color w:val="0000FF"/>
              </w:rPr>
            </w:pPr>
            <w:r>
              <w:rPr>
                <w:color w:val="0000FF"/>
              </w:rPr>
              <w:t>名称</w:t>
            </w:r>
          </w:p>
        </w:tc>
        <w:tc>
          <w:tcPr>
            <w:tcW w:w="776" w:type="dxa"/>
            <w:gridSpan w:val="2"/>
            <w:tcBorders>
              <w:tl2br w:val="nil"/>
              <w:tr2bl w:val="nil"/>
            </w:tcBorders>
            <w:vAlign w:val="center"/>
          </w:tcPr>
          <w:p>
            <w:pPr>
              <w:pStyle w:val="22"/>
              <w:bidi w:val="0"/>
              <w:jc w:val="center"/>
              <w:rPr>
                <w:color w:val="0000FF"/>
              </w:rPr>
            </w:pPr>
            <w:r>
              <w:rPr>
                <w:color w:val="0000FF"/>
              </w:rPr>
              <w:t>排放量</w:t>
            </w:r>
          </w:p>
          <w:p>
            <w:pPr>
              <w:pStyle w:val="22"/>
              <w:bidi w:val="0"/>
              <w:jc w:val="center"/>
              <w:rPr>
                <w:color w:val="0000FF"/>
              </w:rPr>
            </w:pPr>
            <w:r>
              <w:rPr>
                <w:color w:val="0000FF"/>
              </w:rPr>
              <w:t>（t/a）</w:t>
            </w:r>
          </w:p>
        </w:tc>
        <w:tc>
          <w:tcPr>
            <w:tcW w:w="1206" w:type="dxa"/>
            <w:tcBorders>
              <w:tl2br w:val="nil"/>
              <w:tr2bl w:val="nil"/>
            </w:tcBorders>
            <w:vAlign w:val="center"/>
          </w:tcPr>
          <w:p>
            <w:pPr>
              <w:pStyle w:val="22"/>
              <w:bidi w:val="0"/>
              <w:jc w:val="center"/>
              <w:rPr>
                <w:color w:val="0000FF"/>
              </w:rPr>
            </w:pPr>
            <w:r>
              <w:rPr>
                <w:color w:val="0000FF"/>
              </w:rPr>
              <w:t>固废性质</w:t>
            </w:r>
          </w:p>
        </w:tc>
        <w:tc>
          <w:tcPr>
            <w:tcW w:w="1187" w:type="dxa"/>
            <w:gridSpan w:val="2"/>
            <w:tcBorders>
              <w:tl2br w:val="nil"/>
              <w:tr2bl w:val="nil"/>
            </w:tcBorders>
            <w:vAlign w:val="center"/>
          </w:tcPr>
          <w:p>
            <w:pPr>
              <w:pStyle w:val="22"/>
              <w:bidi w:val="0"/>
              <w:jc w:val="center"/>
              <w:rPr>
                <w:color w:val="0000FF"/>
              </w:rPr>
            </w:pPr>
            <w:r>
              <w:rPr>
                <w:color w:val="0000FF"/>
              </w:rPr>
              <w:t>废物代码</w:t>
            </w:r>
          </w:p>
        </w:tc>
        <w:tc>
          <w:tcPr>
            <w:tcW w:w="3327" w:type="dxa"/>
            <w:gridSpan w:val="2"/>
            <w:tcBorders>
              <w:tl2br w:val="nil"/>
              <w:tr2bl w:val="nil"/>
            </w:tcBorders>
            <w:vAlign w:val="center"/>
          </w:tcPr>
          <w:p>
            <w:pPr>
              <w:pStyle w:val="22"/>
              <w:bidi w:val="0"/>
              <w:jc w:val="center"/>
              <w:rPr>
                <w:color w:val="0000FF"/>
              </w:rPr>
            </w:pPr>
            <w:r>
              <w:rPr>
                <w:color w:val="0000FF"/>
              </w:rPr>
              <w:t>采取的处置措施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1</w:t>
            </w:r>
          </w:p>
        </w:tc>
        <w:tc>
          <w:tcPr>
            <w:tcW w:w="1515" w:type="dxa"/>
            <w:gridSpan w:val="2"/>
            <w:tcBorders>
              <w:tl2br w:val="nil"/>
              <w:tr2bl w:val="nil"/>
            </w:tcBorders>
            <w:vAlign w:val="center"/>
          </w:tcPr>
          <w:p>
            <w:pPr>
              <w:pStyle w:val="22"/>
              <w:bidi w:val="0"/>
              <w:jc w:val="center"/>
              <w:rPr>
                <w:color w:val="0000FF"/>
              </w:rPr>
            </w:pPr>
            <w:r>
              <w:rPr>
                <w:color w:val="0000FF"/>
              </w:rPr>
              <w:t>生活办公垃圾</w:t>
            </w:r>
          </w:p>
        </w:tc>
        <w:tc>
          <w:tcPr>
            <w:tcW w:w="774"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1</w:t>
            </w:r>
          </w:p>
        </w:tc>
        <w:tc>
          <w:tcPr>
            <w:tcW w:w="1208" w:type="dxa"/>
            <w:gridSpan w:val="2"/>
            <w:tcBorders>
              <w:tl2br w:val="nil"/>
              <w:tr2bl w:val="nil"/>
            </w:tcBorders>
            <w:vAlign w:val="center"/>
          </w:tcPr>
          <w:p>
            <w:pPr>
              <w:pStyle w:val="22"/>
              <w:bidi w:val="0"/>
              <w:jc w:val="center"/>
              <w:rPr>
                <w:color w:val="0000FF"/>
              </w:rPr>
            </w:pPr>
            <w:r>
              <w:rPr>
                <w:color w:val="0000FF"/>
              </w:rPr>
              <w:t>一般固废</w:t>
            </w:r>
          </w:p>
        </w:tc>
        <w:tc>
          <w:tcPr>
            <w:tcW w:w="1187" w:type="dxa"/>
            <w:gridSpan w:val="2"/>
            <w:tcBorders>
              <w:tl2br w:val="nil"/>
              <w:tr2bl w:val="nil"/>
            </w:tcBorders>
            <w:vAlign w:val="center"/>
          </w:tcPr>
          <w:p>
            <w:pPr>
              <w:pStyle w:val="22"/>
              <w:bidi w:val="0"/>
              <w:jc w:val="center"/>
              <w:rPr>
                <w:color w:val="0000FF"/>
              </w:rPr>
            </w:pPr>
            <w:r>
              <w:rPr>
                <w:color w:val="0000FF"/>
              </w:rPr>
              <w:t>——</w:t>
            </w:r>
          </w:p>
        </w:tc>
        <w:tc>
          <w:tcPr>
            <w:tcW w:w="3327" w:type="dxa"/>
            <w:gridSpan w:val="2"/>
            <w:tcBorders>
              <w:tl2br w:val="nil"/>
              <w:tr2bl w:val="nil"/>
            </w:tcBorders>
            <w:vAlign w:val="center"/>
          </w:tcPr>
          <w:p>
            <w:pPr>
              <w:pStyle w:val="22"/>
              <w:bidi w:val="0"/>
              <w:jc w:val="center"/>
              <w:rPr>
                <w:color w:val="0000FF"/>
              </w:rPr>
            </w:pPr>
            <w:r>
              <w:rPr>
                <w:color w:val="0000FF"/>
              </w:rPr>
              <w:t>在项目区设置垃圾箱集中收集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2</w:t>
            </w:r>
          </w:p>
        </w:tc>
        <w:tc>
          <w:tcPr>
            <w:tcW w:w="1515" w:type="dxa"/>
            <w:gridSpan w:val="2"/>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医疗废物</w:t>
            </w:r>
          </w:p>
        </w:tc>
        <w:tc>
          <w:tcPr>
            <w:tcW w:w="774"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0.85</w:t>
            </w:r>
          </w:p>
        </w:tc>
        <w:tc>
          <w:tcPr>
            <w:tcW w:w="1208" w:type="dxa"/>
            <w:gridSpan w:val="2"/>
            <w:tcBorders>
              <w:tl2br w:val="nil"/>
              <w:tr2bl w:val="nil"/>
            </w:tcBorders>
            <w:vAlign w:val="center"/>
          </w:tcPr>
          <w:p>
            <w:pPr>
              <w:pStyle w:val="22"/>
              <w:bidi w:val="0"/>
              <w:jc w:val="center"/>
              <w:rPr>
                <w:color w:val="0000FF"/>
              </w:rPr>
            </w:pPr>
            <w:r>
              <w:rPr>
                <w:color w:val="0000FF"/>
              </w:rPr>
              <w:t>危险废物</w:t>
            </w:r>
          </w:p>
        </w:tc>
        <w:tc>
          <w:tcPr>
            <w:tcW w:w="1187" w:type="dxa"/>
            <w:gridSpan w:val="2"/>
            <w:tcBorders>
              <w:tl2br w:val="nil"/>
              <w:tr2bl w:val="nil"/>
            </w:tcBorders>
            <w:vAlign w:val="center"/>
          </w:tcPr>
          <w:p>
            <w:pPr>
              <w:pStyle w:val="22"/>
              <w:bidi w:val="0"/>
              <w:jc w:val="center"/>
              <w:rPr>
                <w:color w:val="0000FF"/>
              </w:rPr>
            </w:pPr>
            <w:r>
              <w:rPr>
                <w:color w:val="0000FF"/>
              </w:rPr>
              <w:t>831-001-01</w:t>
            </w:r>
          </w:p>
          <w:p>
            <w:pPr>
              <w:pStyle w:val="22"/>
              <w:bidi w:val="0"/>
              <w:jc w:val="center"/>
              <w:rPr>
                <w:color w:val="0000FF"/>
              </w:rPr>
            </w:pPr>
            <w:r>
              <w:rPr>
                <w:color w:val="0000FF"/>
              </w:rPr>
              <w:t>831-002-01</w:t>
            </w:r>
          </w:p>
          <w:p>
            <w:pPr>
              <w:pStyle w:val="22"/>
              <w:bidi w:val="0"/>
              <w:jc w:val="center"/>
              <w:rPr>
                <w:color w:val="0000FF"/>
              </w:rPr>
            </w:pPr>
            <w:r>
              <w:rPr>
                <w:color w:val="0000FF"/>
              </w:rPr>
              <w:t>831-004-01</w:t>
            </w:r>
          </w:p>
          <w:p>
            <w:pPr>
              <w:pStyle w:val="22"/>
              <w:bidi w:val="0"/>
              <w:jc w:val="center"/>
              <w:rPr>
                <w:color w:val="0000FF"/>
              </w:rPr>
            </w:pPr>
            <w:r>
              <w:rPr>
                <w:color w:val="0000FF"/>
              </w:rPr>
              <w:t>831-005-01</w:t>
            </w:r>
          </w:p>
        </w:tc>
        <w:tc>
          <w:tcPr>
            <w:tcW w:w="3327" w:type="dxa"/>
            <w:gridSpan w:val="2"/>
            <w:tcBorders>
              <w:tl2br w:val="nil"/>
              <w:tr2bl w:val="nil"/>
            </w:tcBorders>
            <w:vAlign w:val="center"/>
          </w:tcPr>
          <w:p>
            <w:pPr>
              <w:pStyle w:val="22"/>
              <w:bidi w:val="0"/>
              <w:jc w:val="center"/>
              <w:rPr>
                <w:color w:val="0000FF"/>
              </w:rPr>
            </w:pPr>
            <w:r>
              <w:rPr>
                <w:color w:val="0000FF"/>
              </w:rPr>
              <w:t>灭活后，暂存于危废暂存间，委托有危废资质单位处理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1101"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3</w:t>
            </w:r>
          </w:p>
        </w:tc>
        <w:tc>
          <w:tcPr>
            <w:tcW w:w="1515" w:type="dxa"/>
            <w:gridSpan w:val="2"/>
            <w:tcBorders>
              <w:tl2br w:val="nil"/>
              <w:tr2bl w:val="nil"/>
            </w:tcBorders>
            <w:vAlign w:val="center"/>
          </w:tcPr>
          <w:p>
            <w:pPr>
              <w:pStyle w:val="22"/>
              <w:bidi w:val="0"/>
              <w:jc w:val="center"/>
              <w:rPr>
                <w:color w:val="0000FF"/>
              </w:rPr>
            </w:pPr>
            <w:r>
              <w:rPr>
                <w:color w:val="0000FF"/>
              </w:rPr>
              <w:t>废活性炭</w:t>
            </w:r>
          </w:p>
        </w:tc>
        <w:tc>
          <w:tcPr>
            <w:tcW w:w="774" w:type="dxa"/>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0</w:t>
            </w:r>
            <w:r>
              <w:rPr>
                <w:color w:val="0000FF"/>
              </w:rPr>
              <w:t>1</w:t>
            </w:r>
          </w:p>
        </w:tc>
        <w:tc>
          <w:tcPr>
            <w:tcW w:w="1208" w:type="dxa"/>
            <w:gridSpan w:val="2"/>
            <w:tcBorders>
              <w:tl2br w:val="nil"/>
              <w:tr2bl w:val="nil"/>
            </w:tcBorders>
            <w:vAlign w:val="center"/>
          </w:tcPr>
          <w:p>
            <w:pPr>
              <w:pStyle w:val="22"/>
              <w:bidi w:val="0"/>
              <w:jc w:val="center"/>
              <w:rPr>
                <w:color w:val="0000FF"/>
              </w:rPr>
            </w:pPr>
            <w:r>
              <w:rPr>
                <w:color w:val="0000FF"/>
              </w:rPr>
              <w:t>HW4</w:t>
            </w:r>
            <w:r>
              <w:rPr>
                <w:rFonts w:hint="eastAsia"/>
                <w:color w:val="0000FF"/>
                <w:lang w:val="en-US" w:eastAsia="zh-CN"/>
              </w:rPr>
              <w:t>9</w:t>
            </w:r>
            <w:r>
              <w:rPr>
                <w:color w:val="0000FF"/>
              </w:rPr>
              <w:t>其他非特定行业</w:t>
            </w:r>
          </w:p>
        </w:tc>
        <w:tc>
          <w:tcPr>
            <w:tcW w:w="1187" w:type="dxa"/>
            <w:gridSpan w:val="2"/>
            <w:tcBorders>
              <w:tl2br w:val="nil"/>
              <w:tr2bl w:val="nil"/>
            </w:tcBorders>
            <w:vAlign w:val="center"/>
          </w:tcPr>
          <w:p>
            <w:pPr>
              <w:pStyle w:val="22"/>
              <w:bidi w:val="0"/>
              <w:jc w:val="center"/>
              <w:rPr>
                <w:color w:val="0000FF"/>
              </w:rPr>
            </w:pPr>
            <w:r>
              <w:rPr>
                <w:color w:val="0000FF"/>
              </w:rPr>
              <w:t>900-039-49</w:t>
            </w:r>
          </w:p>
        </w:tc>
        <w:tc>
          <w:tcPr>
            <w:tcW w:w="3327" w:type="dxa"/>
            <w:gridSpan w:val="2"/>
            <w:tcBorders>
              <w:tl2br w:val="nil"/>
              <w:tr2bl w:val="nil"/>
            </w:tcBorders>
            <w:vAlign w:val="center"/>
          </w:tcPr>
          <w:p>
            <w:pPr>
              <w:pStyle w:val="22"/>
              <w:bidi w:val="0"/>
              <w:jc w:val="center"/>
              <w:rPr>
                <w:color w:val="0000FF"/>
              </w:rPr>
            </w:pPr>
            <w:r>
              <w:rPr>
                <w:color w:val="0000FF"/>
              </w:rPr>
              <w:t>暂存于危废暂存间，委托有危废资</w:t>
            </w:r>
          </w:p>
          <w:p>
            <w:pPr>
              <w:pStyle w:val="22"/>
              <w:bidi w:val="0"/>
              <w:jc w:val="center"/>
              <w:rPr>
                <w:color w:val="0000FF"/>
              </w:rPr>
            </w:pPr>
            <w:r>
              <w:rPr>
                <w:color w:val="0000FF"/>
              </w:rPr>
              <w:t>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55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4</w:t>
            </w:r>
          </w:p>
        </w:tc>
        <w:tc>
          <w:tcPr>
            <w:tcW w:w="1515" w:type="dxa"/>
            <w:gridSpan w:val="2"/>
            <w:tcBorders>
              <w:tl2br w:val="nil"/>
              <w:tr2bl w:val="nil"/>
            </w:tcBorders>
            <w:vAlign w:val="center"/>
          </w:tcPr>
          <w:p>
            <w:pPr>
              <w:pStyle w:val="22"/>
              <w:bidi w:val="0"/>
              <w:jc w:val="center"/>
              <w:rPr>
                <w:color w:val="0000FF"/>
              </w:rPr>
            </w:pPr>
            <w:r>
              <w:rPr>
                <w:color w:val="0000FF"/>
              </w:rPr>
              <w:t>废离子交换树脂</w:t>
            </w:r>
          </w:p>
        </w:tc>
        <w:tc>
          <w:tcPr>
            <w:tcW w:w="774" w:type="dxa"/>
            <w:tcBorders>
              <w:tl2br w:val="nil"/>
              <w:tr2bl w:val="nil"/>
            </w:tcBorders>
            <w:vAlign w:val="center"/>
          </w:tcPr>
          <w:p>
            <w:pPr>
              <w:pStyle w:val="22"/>
              <w:bidi w:val="0"/>
              <w:jc w:val="center"/>
              <w:rPr>
                <w:color w:val="0000FF"/>
              </w:rPr>
            </w:pPr>
            <w:r>
              <w:rPr>
                <w:color w:val="0000FF"/>
              </w:rPr>
              <w:t>0.003</w:t>
            </w:r>
          </w:p>
        </w:tc>
        <w:tc>
          <w:tcPr>
            <w:tcW w:w="1208" w:type="dxa"/>
            <w:gridSpan w:val="2"/>
            <w:tcBorders>
              <w:tl2br w:val="nil"/>
              <w:tr2bl w:val="nil"/>
            </w:tcBorders>
            <w:vAlign w:val="center"/>
          </w:tcPr>
          <w:p>
            <w:pPr>
              <w:pStyle w:val="22"/>
              <w:bidi w:val="0"/>
              <w:jc w:val="center"/>
              <w:rPr>
                <w:color w:val="0000FF"/>
              </w:rPr>
            </w:pPr>
            <w:r>
              <w:rPr>
                <w:color w:val="0000FF"/>
              </w:rPr>
              <w:t>一般固废</w:t>
            </w:r>
          </w:p>
        </w:tc>
        <w:tc>
          <w:tcPr>
            <w:tcW w:w="1187" w:type="dxa"/>
            <w:gridSpan w:val="2"/>
            <w:tcBorders>
              <w:tl2br w:val="nil"/>
              <w:tr2bl w:val="nil"/>
            </w:tcBorders>
            <w:vAlign w:val="center"/>
          </w:tcPr>
          <w:p>
            <w:pPr>
              <w:pStyle w:val="22"/>
              <w:bidi w:val="0"/>
              <w:jc w:val="center"/>
              <w:rPr>
                <w:color w:val="0000FF"/>
              </w:rPr>
            </w:pPr>
            <w:r>
              <w:rPr>
                <w:color w:val="0000FF"/>
              </w:rPr>
              <w:t>——</w:t>
            </w:r>
          </w:p>
        </w:tc>
        <w:tc>
          <w:tcPr>
            <w:tcW w:w="3327" w:type="dxa"/>
            <w:gridSpan w:val="2"/>
            <w:tcBorders>
              <w:tl2br w:val="nil"/>
              <w:tr2bl w:val="nil"/>
            </w:tcBorders>
            <w:vAlign w:val="center"/>
          </w:tcPr>
          <w:p>
            <w:pPr>
              <w:pStyle w:val="22"/>
              <w:bidi w:val="0"/>
              <w:jc w:val="center"/>
              <w:rPr>
                <w:color w:val="0000FF"/>
              </w:rPr>
            </w:pPr>
            <w:r>
              <w:rPr>
                <w:color w:val="0000FF"/>
              </w:rPr>
              <w:t>经收集后由专门厂家回收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 w:type="dxa"/>
          <w:trHeight w:val="1123" w:hRule="atLeast"/>
          <w:jc w:val="center"/>
        </w:trPr>
        <w:tc>
          <w:tcPr>
            <w:tcW w:w="443" w:type="dxa"/>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5</w:t>
            </w:r>
          </w:p>
        </w:tc>
        <w:tc>
          <w:tcPr>
            <w:tcW w:w="1515" w:type="dxa"/>
            <w:gridSpan w:val="2"/>
            <w:tcBorders>
              <w:tl2br w:val="nil"/>
              <w:tr2bl w:val="nil"/>
            </w:tcBorders>
            <w:vAlign w:val="center"/>
          </w:tcPr>
          <w:p>
            <w:pPr>
              <w:pStyle w:val="22"/>
              <w:bidi w:val="0"/>
              <w:jc w:val="center"/>
              <w:rPr>
                <w:color w:val="0000FF"/>
              </w:rPr>
            </w:pPr>
            <w:r>
              <w:rPr>
                <w:rFonts w:hint="eastAsia"/>
                <w:color w:val="0000FF"/>
                <w:lang w:val="en-US" w:eastAsia="zh-CN"/>
              </w:rPr>
              <w:t>水处理栅渣及污泥</w:t>
            </w:r>
          </w:p>
        </w:tc>
        <w:tc>
          <w:tcPr>
            <w:tcW w:w="774" w:type="dxa"/>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3</w:t>
            </w:r>
            <w:r>
              <w:rPr>
                <w:color w:val="0000FF"/>
              </w:rPr>
              <w:t>t/a</w:t>
            </w:r>
          </w:p>
        </w:tc>
        <w:tc>
          <w:tcPr>
            <w:tcW w:w="1208" w:type="dxa"/>
            <w:gridSpan w:val="2"/>
            <w:tcBorders>
              <w:tl2br w:val="nil"/>
              <w:tr2bl w:val="nil"/>
            </w:tcBorders>
            <w:vAlign w:val="center"/>
          </w:tcPr>
          <w:p>
            <w:pPr>
              <w:pStyle w:val="22"/>
              <w:bidi w:val="0"/>
              <w:jc w:val="center"/>
              <w:rPr>
                <w:color w:val="0000FF"/>
              </w:rPr>
            </w:pPr>
            <w:r>
              <w:rPr>
                <w:color w:val="0000FF"/>
              </w:rPr>
              <w:t>HW4</w:t>
            </w:r>
            <w:r>
              <w:rPr>
                <w:rFonts w:hint="eastAsia"/>
                <w:color w:val="0000FF"/>
                <w:lang w:val="en-US" w:eastAsia="zh-CN"/>
              </w:rPr>
              <w:t>9</w:t>
            </w:r>
            <w:r>
              <w:rPr>
                <w:color w:val="0000FF"/>
              </w:rPr>
              <w:t>其他非特定行业</w:t>
            </w:r>
          </w:p>
        </w:tc>
        <w:tc>
          <w:tcPr>
            <w:tcW w:w="1187" w:type="dxa"/>
            <w:gridSpan w:val="2"/>
            <w:tcBorders>
              <w:tl2br w:val="nil"/>
              <w:tr2bl w:val="nil"/>
            </w:tcBorders>
            <w:vAlign w:val="center"/>
          </w:tcPr>
          <w:p>
            <w:pPr>
              <w:pStyle w:val="22"/>
              <w:bidi w:val="0"/>
              <w:jc w:val="center"/>
              <w:rPr>
                <w:color w:val="0000FF"/>
              </w:rPr>
            </w:pPr>
            <w:r>
              <w:rPr>
                <w:color w:val="0000FF"/>
              </w:rPr>
              <w:t>900-053-49</w:t>
            </w:r>
          </w:p>
        </w:tc>
        <w:tc>
          <w:tcPr>
            <w:tcW w:w="3327" w:type="dxa"/>
            <w:gridSpan w:val="2"/>
            <w:tcBorders>
              <w:tl2br w:val="nil"/>
              <w:tr2bl w:val="nil"/>
            </w:tcBorders>
            <w:vAlign w:val="center"/>
          </w:tcPr>
          <w:p>
            <w:pPr>
              <w:pStyle w:val="22"/>
              <w:bidi w:val="0"/>
              <w:jc w:val="center"/>
              <w:rPr>
                <w:color w:val="0000FF"/>
              </w:rPr>
            </w:pPr>
            <w:r>
              <w:rPr>
                <w:color w:val="0000FF"/>
              </w:rPr>
              <w:t>消毒后，暂存于危废暂存间，委托有</w:t>
            </w:r>
          </w:p>
          <w:p>
            <w:pPr>
              <w:pStyle w:val="22"/>
              <w:bidi w:val="0"/>
              <w:jc w:val="center"/>
              <w:rPr>
                <w:color w:val="0000FF"/>
              </w:rPr>
            </w:pPr>
            <w:r>
              <w:rPr>
                <w:color w:val="0000FF"/>
              </w:rPr>
              <w:t>危废资质单位处理</w:t>
            </w:r>
          </w:p>
        </w:tc>
      </w:tr>
    </w:tbl>
    <w:p>
      <w:pPr>
        <w:bidi w:val="0"/>
        <w:rPr>
          <w:rFonts w:hint="default" w:eastAsia="宋体"/>
          <w:color w:val="0000FF"/>
          <w:lang w:val="en-US" w:eastAsia="zh-CN"/>
        </w:rPr>
      </w:pPr>
      <w:r>
        <w:rPr>
          <w:rFonts w:hint="eastAsia"/>
          <w:color w:val="0000FF"/>
          <w:lang w:eastAsia="zh-CN"/>
        </w:rPr>
        <w:t>（</w:t>
      </w:r>
      <w:r>
        <w:rPr>
          <w:rFonts w:hint="eastAsia"/>
          <w:color w:val="0000FF"/>
          <w:lang w:val="en-US" w:eastAsia="zh-CN"/>
        </w:rPr>
        <w:t>1</w:t>
      </w:r>
      <w:r>
        <w:rPr>
          <w:rFonts w:hint="eastAsia"/>
          <w:color w:val="0000FF"/>
          <w:lang w:eastAsia="zh-CN"/>
        </w:rPr>
        <w:t>）</w:t>
      </w:r>
      <w:r>
        <w:rPr>
          <w:rFonts w:hint="eastAsia"/>
          <w:color w:val="0000FF"/>
          <w:lang w:val="en-US" w:eastAsia="zh-CN"/>
        </w:rPr>
        <w:t>危险废物</w:t>
      </w:r>
    </w:p>
    <w:p>
      <w:pPr>
        <w:bidi w:val="0"/>
        <w:rPr>
          <w:color w:val="0000FF"/>
        </w:rPr>
      </w:pPr>
      <w:r>
        <w:rPr>
          <w:color w:val="0000FF"/>
        </w:rPr>
        <w:t>其中，根据《医疗废物集中处置技术规范（试行）》和《关于印发医疗机构废弃物综合治理工作方案的通知》（国卫医发</w:t>
      </w:r>
      <w:r>
        <w:rPr>
          <w:rFonts w:hint="eastAsia"/>
          <w:color w:val="0000FF"/>
          <w:lang w:eastAsia="zh-CN"/>
        </w:rPr>
        <w:t>〔</w:t>
      </w:r>
      <w:r>
        <w:rPr>
          <w:color w:val="0000FF"/>
        </w:rPr>
        <w:t>2020</w:t>
      </w:r>
      <w:r>
        <w:rPr>
          <w:rFonts w:hint="eastAsia"/>
          <w:color w:val="0000FF"/>
          <w:lang w:eastAsia="zh-CN"/>
        </w:rPr>
        <w:t>〕</w:t>
      </w:r>
      <w:r>
        <w:rPr>
          <w:color w:val="0000FF"/>
        </w:rPr>
        <w:t>3号），医疗废物的分类收集要求有：</w:t>
      </w:r>
    </w:p>
    <w:p>
      <w:pPr>
        <w:bidi w:val="0"/>
        <w:rPr>
          <w:color w:val="0000FF"/>
        </w:rPr>
      </w:pPr>
      <w:r>
        <w:rPr>
          <w:color w:val="0000FF"/>
        </w:rPr>
        <w:t>医疗废物包括：</w:t>
      </w:r>
      <w:r>
        <w:rPr>
          <w:rFonts w:hint="eastAsia"/>
          <w:color w:val="0000FF"/>
          <w:lang w:val="en-US" w:eastAsia="zh-CN"/>
        </w:rPr>
        <w:t>儿童预防接种及</w:t>
      </w:r>
      <w:r>
        <w:rPr>
          <w:color w:val="0000FF"/>
        </w:rPr>
        <w:t>体检、微生物实验室固废、理化实验室固废，同时包括废水处理站污泥。医疗垃圾含有多种病菌、病原体、病毒等，具有传播性，危害巨大。其它危废种类较多，含有多种化学品污染物等，如随意丢弃，对环境污染和危害很大。危废的管理措施如下：</w:t>
      </w:r>
    </w:p>
    <w:p>
      <w:pPr>
        <w:bidi w:val="0"/>
        <w:rPr>
          <w:rFonts w:hint="default"/>
          <w:color w:val="0000FF"/>
          <w:lang w:val="en-US" w:eastAsia="zh-CN"/>
        </w:rPr>
      </w:pPr>
      <w:r>
        <w:rPr>
          <w:color w:val="0000FF"/>
        </w:rPr>
        <w:t>①体检</w:t>
      </w:r>
      <w:r>
        <w:rPr>
          <w:rFonts w:hint="eastAsia"/>
          <w:color w:val="0000FF"/>
          <w:lang w:val="en-US" w:eastAsia="zh-CN"/>
        </w:rPr>
        <w:t>及预防接种</w:t>
      </w:r>
      <w:r>
        <w:rPr>
          <w:color w:val="0000FF"/>
        </w:rPr>
        <w:t>产生的医疗废物</w:t>
      </w:r>
      <w:r>
        <w:rPr>
          <w:rFonts w:hint="eastAsia"/>
          <w:color w:val="0000FF"/>
          <w:lang w:eastAsia="zh-CN"/>
        </w:rPr>
        <w:t>：</w:t>
      </w:r>
      <w:r>
        <w:rPr>
          <w:color w:val="0000FF"/>
        </w:rPr>
        <w:t>废棉签及其他各种敷料、废一次性用品、废血液、废血清等属于“感染性废物（废物代码：831-001-01）”；废针头、废针具等属于“损伤性废物（废物代码：831-002-01）”。</w:t>
      </w:r>
      <w:r>
        <w:rPr>
          <w:rFonts w:hint="eastAsia"/>
          <w:color w:val="0000FF"/>
          <w:lang w:val="en-US" w:eastAsia="zh-CN"/>
        </w:rPr>
        <w:t>废弃的疫苗属于“药物性废物</w:t>
      </w:r>
      <w:r>
        <w:rPr>
          <w:color w:val="0000FF"/>
        </w:rPr>
        <w:t>（废物代码：831-005-01）</w:t>
      </w:r>
      <w:r>
        <w:rPr>
          <w:rFonts w:hint="eastAsia"/>
          <w:color w:val="0000FF"/>
          <w:lang w:val="en-US" w:eastAsia="zh-CN"/>
        </w:rPr>
        <w:t>”</w:t>
      </w:r>
    </w:p>
    <w:p>
      <w:pPr>
        <w:bidi w:val="0"/>
        <w:rPr>
          <w:color w:val="0000FF"/>
        </w:rPr>
      </w:pPr>
      <w:r>
        <w:rPr>
          <w:color w:val="0000FF"/>
        </w:rPr>
        <w:t>此危废采取“单独收集+灭菌锅消毒+密封+暂存于危废间”，交由有危废资质单位处理。</w:t>
      </w:r>
    </w:p>
    <w:p>
      <w:pPr>
        <w:bidi w:val="0"/>
        <w:rPr>
          <w:color w:val="0000FF"/>
        </w:rPr>
      </w:pPr>
      <w:r>
        <w:rPr>
          <w:rFonts w:hint="eastAsia"/>
          <w:color w:val="0000FF"/>
          <w:lang w:val="en-US" w:eastAsia="zh-CN"/>
        </w:rPr>
        <w:t>②</w:t>
      </w:r>
      <w:r>
        <w:rPr>
          <w:color w:val="0000FF"/>
        </w:rPr>
        <w:t>微生物实验室</w:t>
      </w:r>
      <w:r>
        <w:rPr>
          <w:rFonts w:hint="eastAsia"/>
          <w:color w:val="0000FF"/>
          <w:lang w:val="en-US" w:eastAsia="zh-CN"/>
        </w:rPr>
        <w:t>固废：</w:t>
      </w:r>
      <w:r>
        <w:rPr>
          <w:color w:val="0000FF"/>
        </w:rPr>
        <w:t>产生的固体废物主要为废培养基、废一次性实验用品、废标本、实验用药等，年产生量为</w:t>
      </w:r>
      <w:r>
        <w:rPr>
          <w:rFonts w:hint="eastAsia"/>
          <w:color w:val="0000FF"/>
          <w:lang w:val="en-US" w:eastAsia="zh-CN"/>
        </w:rPr>
        <w:t>0.1</w:t>
      </w:r>
      <w:r>
        <w:rPr>
          <w:color w:val="0000FF"/>
        </w:rPr>
        <w:t>/a；其中，废培养基、废一次性用品、废标本、废高效过滤器属于“感染性废物（废物代码：831-001-01）”；废实验用药属于“药物性废物（废物代码：831-005-01）”。</w:t>
      </w:r>
    </w:p>
    <w:p>
      <w:pPr>
        <w:bidi w:val="0"/>
        <w:rPr>
          <w:color w:val="0000FF"/>
        </w:rPr>
      </w:pPr>
      <w:r>
        <w:rPr>
          <w:color w:val="0000FF"/>
        </w:rPr>
        <w:t>生物实验室医疗废物分类收集后并经高温灭菌锅消毒后，贮存于专设的医疗废物暂存间。</w:t>
      </w:r>
    </w:p>
    <w:p>
      <w:pPr>
        <w:bidi w:val="0"/>
        <w:rPr>
          <w:color w:val="0000FF"/>
        </w:rPr>
      </w:pPr>
      <w:r>
        <w:rPr>
          <w:rFonts w:hint="eastAsia"/>
          <w:color w:val="0000FF"/>
          <w:lang w:val="en-US" w:eastAsia="zh-CN"/>
        </w:rPr>
        <w:t>③理化实验室固废：</w:t>
      </w:r>
      <w:r>
        <w:rPr>
          <w:color w:val="0000FF"/>
        </w:rPr>
        <w:t>理化实验室中会产生少量的化学废液，属于《医疗废物分类管理名录》中的“化学性废物（废物代码：831-004-01）”，主要</w:t>
      </w:r>
      <w:r>
        <w:rPr>
          <w:rFonts w:ascii="宋体" w:hAnsi="宋体" w:eastAsia="宋体" w:cs="宋体"/>
          <w:color w:val="0000FF"/>
          <w:spacing w:val="-5"/>
          <w:sz w:val="24"/>
          <w:szCs w:val="24"/>
        </w:rPr>
        <w:t>有机废液，酸碱废液</w:t>
      </w:r>
      <w:r>
        <w:rPr>
          <w:color w:val="0000FF"/>
        </w:rPr>
        <w:t>等多种化学品污染物等，成份复杂，属于医疗废物，</w:t>
      </w:r>
    </w:p>
    <w:p>
      <w:pPr>
        <w:bidi w:val="0"/>
        <w:rPr>
          <w:rFonts w:hint="default" w:eastAsia="宋体"/>
          <w:color w:val="0000FF"/>
          <w:lang w:val="en-US" w:eastAsia="zh-CN"/>
        </w:rPr>
      </w:pPr>
      <w:r>
        <w:rPr>
          <w:color w:val="0000FF"/>
        </w:rPr>
        <w:t>采取“单独收集+灭菌锅消毒+密封+暂存于危废间”，定期送有危废处理资质单位处置。</w:t>
      </w:r>
    </w:p>
    <w:p>
      <w:pPr>
        <w:bidi w:val="0"/>
        <w:rPr>
          <w:color w:val="0000FF"/>
        </w:rPr>
      </w:pPr>
      <w:r>
        <w:rPr>
          <w:rFonts w:hint="eastAsia"/>
          <w:color w:val="0000FF"/>
          <w:lang w:val="en-US" w:eastAsia="zh-CN"/>
        </w:rPr>
        <w:t>④</w:t>
      </w:r>
      <w:r>
        <w:rPr>
          <w:color w:val="0000FF"/>
        </w:rPr>
        <w:t>污水处理站污泥：根据《医疗机构水污染物排放标准》（GB18466-2005），污水处理站格栅过滤产生的栅渣、化粪池和污水处理站污泥均属危险废物，应按危险废物进行处理和处置。经查阅《国家危险废物名录（2021年版）》，栅渣、化粪池和污水处理站污泥均属于HW49其他废物，废物代码为772-006-49。</w:t>
      </w:r>
    </w:p>
    <w:p>
      <w:pPr>
        <w:bidi w:val="0"/>
        <w:rPr>
          <w:color w:val="0000FF"/>
        </w:rPr>
      </w:pPr>
      <w:r>
        <w:rPr>
          <w:color w:val="0000FF"/>
        </w:rPr>
        <w:t>栅渣收集后用密封容器贮存在医疗废物暂存间，定期交由有资质的单位进行处置；污泥在清掏前委托有资质的单位进行污泥监测，达到《医疗机构水污染物排放标准》（GB18466-2005）表4医疗机构污泥控制标准后再进行清掏，清掏出的污泥交由有资质的单位进行处置。</w:t>
      </w:r>
    </w:p>
    <w:p>
      <w:pPr>
        <w:bidi w:val="0"/>
        <w:rPr>
          <w:rFonts w:hint="default"/>
          <w:color w:val="0000FF"/>
          <w:lang w:val="en-US" w:eastAsia="zh-CN"/>
        </w:rPr>
      </w:pPr>
      <w:r>
        <w:rPr>
          <w:rFonts w:hint="eastAsia"/>
          <w:color w:val="0000FF"/>
          <w:lang w:val="en-US" w:eastAsia="zh-CN"/>
        </w:rPr>
        <w:t>（2）一般固废</w:t>
      </w:r>
    </w:p>
    <w:p>
      <w:pPr>
        <w:bidi w:val="0"/>
        <w:rPr>
          <w:color w:val="0000FF"/>
        </w:rPr>
      </w:pPr>
      <w:r>
        <w:rPr>
          <w:rFonts w:hint="eastAsia"/>
          <w:color w:val="0000FF"/>
          <w:lang w:val="en-US" w:eastAsia="zh-CN"/>
        </w:rPr>
        <w:t>①</w:t>
      </w:r>
      <w:r>
        <w:rPr>
          <w:color w:val="0000FF"/>
        </w:rPr>
        <w:t>废离子交换树脂</w:t>
      </w:r>
    </w:p>
    <w:p>
      <w:pPr>
        <w:bidi w:val="0"/>
        <w:rPr>
          <w:color w:val="0000FF"/>
        </w:rPr>
      </w:pPr>
      <w:r>
        <w:rPr>
          <w:color w:val="0000FF"/>
        </w:rPr>
        <w:t>主要来源于纯水制备工序，其定期需更换离子交换树脂，废离子交换树脂属于一般固废，经收集后由专门厂家回收。</w:t>
      </w:r>
    </w:p>
    <w:p>
      <w:pPr>
        <w:bidi w:val="0"/>
        <w:rPr>
          <w:rFonts w:hint="default" w:eastAsia="宋体"/>
          <w:color w:val="0000FF"/>
          <w:lang w:val="en-US" w:eastAsia="zh-CN"/>
        </w:rPr>
      </w:pPr>
      <w:r>
        <w:rPr>
          <w:rFonts w:hint="eastAsia"/>
          <w:color w:val="0000FF"/>
          <w:lang w:val="en-US" w:eastAsia="zh-CN"/>
        </w:rPr>
        <w:t>②生活垃圾</w:t>
      </w:r>
    </w:p>
    <w:p>
      <w:pPr>
        <w:bidi w:val="0"/>
        <w:rPr>
          <w:rFonts w:hint="default" w:eastAsia="宋体"/>
          <w:color w:val="0000FF"/>
          <w:lang w:val="en-US" w:eastAsia="zh-CN"/>
        </w:rPr>
      </w:pPr>
      <w:r>
        <w:rPr>
          <w:rFonts w:hint="eastAsia"/>
          <w:color w:val="0000FF"/>
          <w:lang w:val="en-US" w:eastAsia="zh-CN"/>
        </w:rPr>
        <w:t>本项目办公生活所产生的生活垃圾经</w:t>
      </w:r>
      <w:r>
        <w:rPr>
          <w:color w:val="0000FF"/>
        </w:rPr>
        <w:t>垃圾箱集中收集</w:t>
      </w:r>
      <w:r>
        <w:rPr>
          <w:rFonts w:hint="eastAsia"/>
          <w:color w:val="0000FF"/>
          <w:lang w:val="en-US" w:eastAsia="zh-CN"/>
        </w:rPr>
        <w:t>后由环保部门统一清运。</w:t>
      </w:r>
    </w:p>
    <w:p>
      <w:pPr>
        <w:pStyle w:val="7"/>
        <w:bidi w:val="0"/>
        <w:rPr>
          <w:rFonts w:hint="default"/>
          <w:color w:val="0000FF"/>
          <w:lang w:val="en-US" w:eastAsia="zh-CN"/>
        </w:rPr>
      </w:pPr>
      <w:r>
        <w:rPr>
          <w:rFonts w:hint="eastAsia"/>
          <w:color w:val="0000FF"/>
          <w:lang w:val="en-US" w:eastAsia="zh-CN"/>
        </w:rPr>
        <w:t>6.2.4.2固废管理要求</w:t>
      </w:r>
    </w:p>
    <w:p>
      <w:pPr>
        <w:bidi w:val="0"/>
        <w:rPr>
          <w:color w:val="0000FF"/>
        </w:rPr>
      </w:pPr>
      <w:r>
        <w:rPr>
          <w:color w:val="0000FF"/>
        </w:rPr>
        <w:t>本项目产生医疗废物在收集、贮存、转运过程中，应按照《医疗卫生机构医疗废物管理方法》、《医疗废物管理条例》，《医疗废物集中处置技术规范（试行）》、《医疗废物专用包装物、容器标准和警示标识规范》、《医疗废物转运车技术要求（试行）》（GB19217-2003）等相关规范执行，具体要求如下：</w:t>
      </w:r>
    </w:p>
    <w:p>
      <w:pPr>
        <w:bidi w:val="0"/>
        <w:rPr>
          <w:color w:val="0000FF"/>
        </w:rPr>
      </w:pPr>
      <w:r>
        <w:rPr>
          <w:color w:val="0000FF"/>
        </w:rPr>
        <w:t>（1）垃圾分类：本项目对运行期间产生的垃圾按照相关规定采取分类收集措施，生活垃圾与医疗垃圾分开；项目院内设置</w:t>
      </w:r>
      <w:r>
        <w:rPr>
          <w:rFonts w:hint="eastAsia"/>
          <w:color w:val="0000FF"/>
          <w:lang w:eastAsia="zh-CN"/>
        </w:rPr>
        <w:t>垃圾桶</w:t>
      </w:r>
      <w:r>
        <w:rPr>
          <w:color w:val="0000FF"/>
        </w:rPr>
        <w:t>及垃圾袋对生活垃圾进行收集。</w:t>
      </w:r>
    </w:p>
    <w:p>
      <w:pPr>
        <w:bidi w:val="0"/>
        <w:rPr>
          <w:color w:val="0000FF"/>
        </w:rPr>
      </w:pPr>
      <w:r>
        <w:rPr>
          <w:color w:val="0000FF"/>
        </w:rPr>
        <w:t>（2）生活垃圾处理要求：生活垃圾必须实现袋装或桶装集中，要求由环卫部门统一清运，不得随处乱堆乱排现象。由于生活垃圾中含有易发酵（即腐烂）的有机类垃圾，也会产生析出水（垃圾堆场称渗滤液），同时散发恶臭气味；并易招引蚊蝇、鼠狗之类栖息、形成病菌类产生和传播的温床。这不仅直接损害了院内的环境卫生，而产生的臭气和诱发的蚊蝇滋生则会对附近居民生活区，甚至对院区造成很大的影响。为此，院内应配备足够的垃圾桶和加强管理，对生活垃圾做到日产日清，保证院区范围内无腐烂垃圾堆放。</w:t>
      </w:r>
    </w:p>
    <w:p>
      <w:pPr>
        <w:bidi w:val="0"/>
        <w:rPr>
          <w:color w:val="0000FF"/>
        </w:rPr>
      </w:pPr>
      <w:r>
        <w:rPr>
          <w:color w:val="0000FF"/>
        </w:rPr>
        <w:t>（3）危险废物的收集</w:t>
      </w:r>
    </w:p>
    <w:p>
      <w:pPr>
        <w:bidi w:val="0"/>
        <w:rPr>
          <w:color w:val="0000FF"/>
        </w:rPr>
      </w:pPr>
      <w:r>
        <w:rPr>
          <w:color w:val="0000FF"/>
        </w:rPr>
        <w:t>①危险废物的收集应制定详细的操作规程，内容至少应包括适用范围、操作程序和方法、专用设备和工具、转移和交接、安全保障和应急防护等；</w:t>
      </w:r>
    </w:p>
    <w:p>
      <w:pPr>
        <w:bidi w:val="0"/>
        <w:rPr>
          <w:color w:val="0000FF"/>
        </w:rPr>
      </w:pPr>
      <w:r>
        <w:rPr>
          <w:color w:val="0000FF"/>
        </w:rPr>
        <w:t>②危险废物收集和转运作业人员应根据工作需要配备必要的个人防护装备，如手套、防护镜、防护服、防毒面具或口罩等；</w:t>
      </w:r>
    </w:p>
    <w:p>
      <w:pPr>
        <w:bidi w:val="0"/>
        <w:rPr>
          <w:color w:val="0000FF"/>
        </w:rPr>
      </w:pPr>
      <w:r>
        <w:rPr>
          <w:color w:val="0000FF"/>
        </w:rPr>
        <w:t>③在危险废物的收集和转运过程中，应采取相应的安全防护和污染防治措施，包括防爆、防火、防中毒、防感染、防泄露、防飞扬、防雨或其它防止污染环境的措施；</w:t>
      </w:r>
    </w:p>
    <w:p>
      <w:pPr>
        <w:bidi w:val="0"/>
        <w:rPr>
          <w:color w:val="0000FF"/>
        </w:rPr>
      </w:pPr>
      <w:r>
        <w:rPr>
          <w:color w:val="0000FF"/>
        </w:rPr>
        <w:t>④危险废物收集时应根据危险废物的种类、数量、危险特性、物理形态、运输要求等因素确定包装形式；</w:t>
      </w:r>
    </w:p>
    <w:p>
      <w:pPr>
        <w:bidi w:val="0"/>
        <w:rPr>
          <w:color w:val="0000FF"/>
        </w:rPr>
      </w:pPr>
      <w:r>
        <w:rPr>
          <w:color w:val="0000FF"/>
        </w:rPr>
        <w:t>⑤危险废物收集应参照HJ2025-2012中的附录A填写记录表，并将记录表作为危险废物管理的重要档案妥善保存；</w:t>
      </w:r>
    </w:p>
    <w:p>
      <w:pPr>
        <w:bidi w:val="0"/>
        <w:rPr>
          <w:color w:val="0000FF"/>
        </w:rPr>
      </w:pPr>
      <w:r>
        <w:rPr>
          <w:color w:val="0000FF"/>
        </w:rPr>
        <w:t>⑥收集结束后应清理和恢复收集作业区域，确保作业区域环境整洁安全；</w:t>
      </w:r>
    </w:p>
    <w:p>
      <w:pPr>
        <w:bidi w:val="0"/>
        <w:rPr>
          <w:color w:val="0000FF"/>
        </w:rPr>
      </w:pPr>
      <w:r>
        <w:rPr>
          <w:color w:val="0000FF"/>
        </w:rPr>
        <w:t>⑦收集过危险废物的容器、设备、设施、场所及其它物品转作它用时，应消除污染，确保其使用安全；</w:t>
      </w:r>
    </w:p>
    <w:p>
      <w:pPr>
        <w:bidi w:val="0"/>
        <w:rPr>
          <w:color w:val="0000FF"/>
        </w:rPr>
      </w:pPr>
      <w:r>
        <w:rPr>
          <w:color w:val="0000FF"/>
        </w:rPr>
        <w:t>⑧危险废物内部转运作业应采用专用的工具，危险废物内部转运应参照HJ2025-2012中的附录B填写《危险废物厂内转运记录表》。</w:t>
      </w:r>
    </w:p>
    <w:p>
      <w:pPr>
        <w:bidi w:val="0"/>
        <w:rPr>
          <w:color w:val="0000FF"/>
        </w:rPr>
      </w:pPr>
      <w:r>
        <w:rPr>
          <w:color w:val="0000FF"/>
        </w:rPr>
        <w:t>（4）危险废物的贮存</w:t>
      </w:r>
    </w:p>
    <w:p>
      <w:pPr>
        <w:bidi w:val="0"/>
        <w:rPr>
          <w:color w:val="0000FF"/>
        </w:rPr>
      </w:pPr>
      <w:r>
        <w:rPr>
          <w:color w:val="0000FF"/>
        </w:rPr>
        <w:t>危废库上设有防雨淋日晒设施，地面采取防渗和导流措施，把渗滤液导流入废水综合调节池；厂内设置封闭式的药剂仓库，按药剂性质分别贮存，废物收集后分别临时贮存于废物储罐内；根据生产需要合理设置贮存量，尽量减少厂内的物料贮存量；严禁将危险废物混入生活垃圾；堆放危险废物的地方要有明显的标志，堆放点要防雨、防渗、防漏，应按要求进行包装贮存。</w:t>
      </w:r>
    </w:p>
    <w:p>
      <w:pPr>
        <w:bidi w:val="0"/>
        <w:rPr>
          <w:color w:val="0000FF"/>
        </w:rPr>
      </w:pPr>
      <w:r>
        <w:rPr>
          <w:color w:val="0000FF"/>
        </w:rPr>
        <w:t>①危险废物贮存设施的选址、设计、建设、运行管理应满足GB18597、GBZ1和GBZ2的有关要求；</w:t>
      </w:r>
    </w:p>
    <w:p>
      <w:pPr>
        <w:bidi w:val="0"/>
        <w:rPr>
          <w:color w:val="0000FF"/>
        </w:rPr>
      </w:pPr>
      <w:r>
        <w:rPr>
          <w:color w:val="0000FF"/>
        </w:rPr>
        <w:t>②危险废物贮存设施应配备通讯设备、照明设施和消防设施；</w:t>
      </w:r>
    </w:p>
    <w:p>
      <w:pPr>
        <w:bidi w:val="0"/>
        <w:rPr>
          <w:color w:val="0000FF"/>
        </w:rPr>
      </w:pPr>
      <w:r>
        <w:rPr>
          <w:color w:val="0000FF"/>
        </w:rPr>
        <w:t>③贮存危险废物时应按危险废物的种类和特性进行分区贮存，每个贮存区域之间宜设置挡墙间隔，并应设置防雨、防火、防雷、防扬尘装置，要做到防风、防雨、防晒、防渗漏；</w:t>
      </w:r>
    </w:p>
    <w:p>
      <w:pPr>
        <w:bidi w:val="0"/>
        <w:rPr>
          <w:color w:val="0000FF"/>
        </w:rPr>
      </w:pPr>
      <w:r>
        <w:rPr>
          <w:color w:val="0000FF"/>
        </w:rPr>
        <w:t>④贮存易燃易爆危险废物应配置有机气体报警、火灾报警装置和导出静电的接地装置。</w:t>
      </w:r>
    </w:p>
    <w:p>
      <w:pPr>
        <w:bidi w:val="0"/>
        <w:rPr>
          <w:color w:val="0000FF"/>
        </w:rPr>
      </w:pPr>
      <w:r>
        <w:rPr>
          <w:color w:val="0000FF"/>
        </w:rPr>
        <w:t>（5）危险废物的运输</w:t>
      </w:r>
    </w:p>
    <w:p>
      <w:pPr>
        <w:bidi w:val="0"/>
        <w:rPr>
          <w:color w:val="0000FF"/>
        </w:rPr>
      </w:pPr>
      <w:r>
        <w:rPr>
          <w:color w:val="0000FF"/>
        </w:rPr>
        <w:t>对危险废物的运输要求安全可靠，要严格按照危险废物运输的管理规定进行危险废物的运输，减少运输过程中的二次污染和可能造成的环境风险，运输车辆需有特殊标志。</w:t>
      </w:r>
    </w:p>
    <w:p>
      <w:pPr>
        <w:bidi w:val="0"/>
        <w:rPr>
          <w:color w:val="0000FF"/>
        </w:rPr>
      </w:pPr>
      <w:r>
        <w:rPr>
          <w:color w:val="0000FF"/>
        </w:rPr>
        <w:t>（6）危险废物规范化管理措施：</w:t>
      </w:r>
    </w:p>
    <w:p>
      <w:pPr>
        <w:bidi w:val="0"/>
        <w:rPr>
          <w:color w:val="0000FF"/>
        </w:rPr>
      </w:pPr>
      <w:r>
        <w:rPr>
          <w:color w:val="0000FF"/>
        </w:rPr>
        <w:t>①根据管理台账和近年生产计划，制订危险废物管理计划，并报当地环保部门备案；</w:t>
      </w:r>
    </w:p>
    <w:p>
      <w:pPr>
        <w:bidi w:val="0"/>
        <w:rPr>
          <w:color w:val="0000FF"/>
        </w:rPr>
      </w:pPr>
      <w:r>
        <w:rPr>
          <w:color w:val="0000FF"/>
        </w:rPr>
        <w:t>②</w:t>
      </w:r>
      <w:r>
        <w:rPr>
          <w:rFonts w:hint="eastAsia"/>
          <w:color w:val="0000FF"/>
          <w:lang w:eastAsia="zh-CN"/>
        </w:rPr>
        <w:t>台账</w:t>
      </w:r>
      <w:r>
        <w:rPr>
          <w:color w:val="0000FF"/>
        </w:rPr>
        <w:t>应如实记载产生危险废物的种类、数量、利用、贮存、处置、流向等信息；</w:t>
      </w:r>
    </w:p>
    <w:p>
      <w:pPr>
        <w:bidi w:val="0"/>
        <w:rPr>
          <w:color w:val="0000FF"/>
        </w:rPr>
      </w:pPr>
      <w:r>
        <w:rPr>
          <w:color w:val="0000FF"/>
        </w:rPr>
        <w:t>③产生的危险废物实行分类收集后置于贮存设施内，贮存时限一般不得超过一年，并设专人管理；</w:t>
      </w:r>
    </w:p>
    <w:p>
      <w:pPr>
        <w:bidi w:val="0"/>
        <w:rPr>
          <w:color w:val="0000FF"/>
        </w:rPr>
      </w:pPr>
      <w:r>
        <w:rPr>
          <w:color w:val="0000FF"/>
        </w:rPr>
        <w:t>④盛装危险废物的容器和包装物以及产生、收集、贮存、运输、处置危险废物的场所，必须依法设置相应标识、警示标志和标签，标签上应注明贮存的废物类别、危害性以及开始贮存时间等内容；</w:t>
      </w:r>
    </w:p>
    <w:p>
      <w:pPr>
        <w:bidi w:val="0"/>
        <w:rPr>
          <w:color w:val="0000FF"/>
        </w:rPr>
      </w:pPr>
      <w:r>
        <w:rPr>
          <w:color w:val="0000FF"/>
        </w:rPr>
        <w:t>⑤建设单位必须严格执行危险废物转移计划报批和依法运行危险废物转移联单，并通过信息系统登记转移计划和电子转移联单；</w:t>
      </w:r>
    </w:p>
    <w:p>
      <w:pPr>
        <w:bidi w:val="0"/>
        <w:rPr>
          <w:color w:val="0000FF"/>
        </w:rPr>
      </w:pPr>
      <w:r>
        <w:rPr>
          <w:color w:val="0000FF"/>
        </w:rPr>
        <w:t>⑥建设单位还需健全产生单位内部管理制度，包括落实危险废物产生信息公开制度，建立员工培训和固体废物管理员制度，完善危险废物相关档案管理制度；建立和完善突发危险废物环境应急预案，并报当地环保部门备案。</w:t>
      </w:r>
    </w:p>
    <w:p>
      <w:pPr>
        <w:bidi w:val="0"/>
        <w:rPr>
          <w:color w:val="0000FF"/>
        </w:rPr>
      </w:pPr>
      <w:r>
        <w:rPr>
          <w:color w:val="0000FF"/>
        </w:rPr>
        <w:t>（7）医疗废物处理要求：按照《医疗废物管理条例》相关要求，委托资质公司进行专业处置。本项目医疗废物暂存间树立明确的标示牌，在医疗废物回收机构回收之前暂存项目产生的医疗废物，并且对暂存站用消毒剂冲洗和喷洒，医疗废物暂存间避免阳光直射，应当具备低温贮存或防腐条件，当温度高于25℃时，将固废进行低温贮存或进行防腐处理。另外，由于医疗废物是属于危险固废，具有高度传染性，因而在其储运过程中</w:t>
      </w:r>
      <w:r>
        <w:rPr>
          <w:rFonts w:hint="eastAsia"/>
          <w:color w:val="0000FF"/>
          <w:lang w:eastAsia="zh-CN"/>
        </w:rPr>
        <w:t>需注意</w:t>
      </w:r>
      <w:r>
        <w:rPr>
          <w:color w:val="0000FF"/>
        </w:rPr>
        <w:t>以下几点：</w:t>
      </w:r>
    </w:p>
    <w:p>
      <w:pPr>
        <w:bidi w:val="0"/>
        <w:rPr>
          <w:color w:val="0000FF"/>
        </w:rPr>
      </w:pPr>
      <w:r>
        <w:rPr>
          <w:color w:val="0000FF"/>
        </w:rPr>
        <w:t>①实验室及门诊须采用双层废物袋或可密封处理的聚丙烯塑料桶，针头等锐器不应和其他废物混放，使用后要稳妥安全地放入防漏、防刺的专用锐器容器中，锐器容器要求有盖，并做好明显的标识，防止转运人员被锐器划伤引起疾病感染；</w:t>
      </w:r>
    </w:p>
    <w:p>
      <w:pPr>
        <w:bidi w:val="0"/>
        <w:rPr>
          <w:color w:val="0000FF"/>
        </w:rPr>
      </w:pPr>
      <w:r>
        <w:rPr>
          <w:color w:val="0000FF"/>
        </w:rPr>
        <w:t>②对医疗废物必须按照卫生部和国家环境保护总局制定的《医疗废物分类目录》进行分类收集，并及时浸泡、消毒，废物袋的颜色为黄色，印有盛装医疗废物的文字说明和医疗废物警示标识，装满3/4后就应由专人密封清运至暂存间，废物袋口可用带子扎紧，禁止使用订书机之类的简易封口方式；</w:t>
      </w:r>
    </w:p>
    <w:p>
      <w:pPr>
        <w:bidi w:val="0"/>
        <w:rPr>
          <w:color w:val="0000FF"/>
        </w:rPr>
      </w:pPr>
      <w:r>
        <w:rPr>
          <w:color w:val="0000FF"/>
        </w:rPr>
        <w:t>③废物与存放点之间设计规定转运路径，以缩短废物通过的路线，要求使用专用手推车，要装卸方便、密封良好，废物袋破裂时不至于外漏，还要易于消毒和清洁；</w:t>
      </w:r>
    </w:p>
    <w:p>
      <w:pPr>
        <w:bidi w:val="0"/>
        <w:rPr>
          <w:color w:val="0000FF"/>
        </w:rPr>
      </w:pPr>
      <w:r>
        <w:rPr>
          <w:color w:val="0000FF"/>
        </w:rPr>
        <w:t>（8）医疗废物暂存要求：</w:t>
      </w:r>
    </w:p>
    <w:p>
      <w:pPr>
        <w:bidi w:val="0"/>
        <w:rPr>
          <w:color w:val="0000FF"/>
        </w:rPr>
      </w:pPr>
      <w:r>
        <w:rPr>
          <w:color w:val="0000FF"/>
        </w:rPr>
        <w:t>a.必须与生活垃圾存放地分开，有防雨淋的装置，地基高度应确保设施内不受雨洪冲击或浸泡；</w:t>
      </w:r>
    </w:p>
    <w:p>
      <w:pPr>
        <w:bidi w:val="0"/>
        <w:rPr>
          <w:color w:val="0000FF"/>
        </w:rPr>
      </w:pPr>
      <w:r>
        <w:rPr>
          <w:color w:val="0000FF"/>
        </w:rPr>
        <w:t>b.必须与医疗区和人员活动密集区隔开，方便医疗废物的装卸、装卸人员及运送车辆的出入；</w:t>
      </w:r>
    </w:p>
    <w:p>
      <w:pPr>
        <w:bidi w:val="0"/>
        <w:rPr>
          <w:color w:val="0000FF"/>
        </w:rPr>
      </w:pPr>
      <w:r>
        <w:rPr>
          <w:color w:val="0000FF"/>
        </w:rPr>
        <w:t>c.应有严密的封闭措施，设专人管理，避免非工作人员进出，以及防鼠、防蚊蝇、防蟑螂、防盗以及预防儿童接触等安全措施；</w:t>
      </w:r>
    </w:p>
    <w:p>
      <w:pPr>
        <w:bidi w:val="0"/>
        <w:rPr>
          <w:color w:val="0000FF"/>
        </w:rPr>
      </w:pPr>
      <w:r>
        <w:rPr>
          <w:color w:val="0000FF"/>
        </w:rPr>
        <w:t>d.地面和1.0m高的墙裙须进行防渗处理，地面有良好的排水性能，易于清洁和消毒，产生的废水应采用管道直接排入医疗卫生机构内的医疗废水消毒、处理系统，禁止将产生的废水直接排入外环境；</w:t>
      </w:r>
    </w:p>
    <w:p>
      <w:pPr>
        <w:bidi w:val="0"/>
        <w:rPr>
          <w:color w:val="0000FF"/>
        </w:rPr>
      </w:pPr>
      <w:r>
        <w:rPr>
          <w:color w:val="0000FF"/>
        </w:rPr>
        <w:t>e.库房外宜设有供水龙头，以供暂时贮存库房的清洗用；</w:t>
      </w:r>
    </w:p>
    <w:p>
      <w:pPr>
        <w:bidi w:val="0"/>
        <w:rPr>
          <w:color w:val="0000FF"/>
        </w:rPr>
      </w:pPr>
      <w:r>
        <w:rPr>
          <w:color w:val="0000FF"/>
        </w:rPr>
        <w:t>f.避免阳光直射库内，应有良好的照明设备和通风条件；</w:t>
      </w:r>
    </w:p>
    <w:p>
      <w:pPr>
        <w:bidi w:val="0"/>
        <w:rPr>
          <w:color w:val="0000FF"/>
        </w:rPr>
      </w:pPr>
      <w:r>
        <w:rPr>
          <w:color w:val="0000FF"/>
        </w:rPr>
        <w:t>g.库房内应张贴“禁止吸烟、饮食”的警示标识；</w:t>
      </w:r>
    </w:p>
    <w:p>
      <w:pPr>
        <w:bidi w:val="0"/>
        <w:rPr>
          <w:color w:val="0000FF"/>
        </w:rPr>
      </w:pPr>
      <w:r>
        <w:rPr>
          <w:color w:val="0000FF"/>
        </w:rPr>
        <w:t>h.应按GB15562.2和卫生、环保部门制定的专用医疗废物警示标识要求，在库房外的明显处同时设置危险废物和医疗废物的警示标识；</w:t>
      </w:r>
    </w:p>
    <w:p>
      <w:pPr>
        <w:bidi w:val="0"/>
        <w:rPr>
          <w:color w:val="0000FF"/>
        </w:rPr>
      </w:pPr>
      <w:r>
        <w:rPr>
          <w:color w:val="0000FF"/>
        </w:rPr>
        <w:t>i.应防止医疗废物在暂时贮存库房和专用暂时贮存柜（箱）中腐败散发恶臭，尽量做到日产日清，确实不能做到日产日清，且当地最高气温高于25℃时，应将医疗废物低温暂时贮存，暂时贮存温度应低于20℃，时间最长不超过48小时；</w:t>
      </w:r>
    </w:p>
    <w:p>
      <w:pPr>
        <w:bidi w:val="0"/>
        <w:rPr>
          <w:color w:val="0000FF"/>
        </w:rPr>
      </w:pPr>
      <w:r>
        <w:rPr>
          <w:color w:val="0000FF"/>
        </w:rPr>
        <w:t>j.医疗废物暂时贮存库房每天应在废物清运之后消毒冲洗，冲洗液应排入医疗卫生机构内的医疗废水消毒、处理系统，医疗废物暂时贮存库房每天应在废物清运之后消毒冲洗，冲洗液应排入医疗卫生机构内的医疗废水消毒、处理系统；</w:t>
      </w:r>
    </w:p>
    <w:p>
      <w:pPr>
        <w:bidi w:val="0"/>
        <w:rPr>
          <w:color w:val="0000FF"/>
        </w:rPr>
      </w:pPr>
      <w:r>
        <w:rPr>
          <w:color w:val="0000FF"/>
        </w:rPr>
        <w:t>k.医疗卫生机构交予处置的废物采用危险废物转移联单管理，设区的市环保部门对医疗废物转移计划进行审批，在医疗卫生机构、处置单位及运送方式变化后，应对医疗废物转移计划进行重新审批；</w:t>
      </w:r>
    </w:p>
    <w:p>
      <w:pPr>
        <w:bidi w:val="0"/>
        <w:rPr>
          <w:color w:val="0000FF"/>
        </w:rPr>
      </w:pPr>
      <w:r>
        <w:rPr>
          <w:color w:val="0000FF"/>
        </w:rPr>
        <w:t>l.《危险废物转移联单》（医疗废物专用）一式两份，每月一张，由处置单位医疗废物运送人员和医疗卫生机构医疗废物管理人员交接时共同填写，医疗卫生机构和处置单位分别保存，保存时间为5年；</w:t>
      </w:r>
    </w:p>
    <w:p>
      <w:pPr>
        <w:bidi w:val="0"/>
        <w:rPr>
          <w:color w:val="0000FF"/>
        </w:rPr>
      </w:pPr>
      <w:r>
        <w:rPr>
          <w:color w:val="0000FF"/>
        </w:rPr>
        <w:t>m.利器盒整体为硬制材料制成，密封，以保证利器盒在正常使用的情况下，盒内盛装的锐利器具不撒漏，利器盒一旦被封口，则无法在不破坏的情况下被再次打开，利器盒能防刺穿，其盛装的注射器针头、破碎玻璃片等锐利器具不能刺穿利器盒，满盛装量的利器盒从1.5m高处垂直跌落至水泥地面，连续3次，利器盒不会出现破裂、被刺穿等情况，利器盒易于焚烧，不得使用聚氯乙烯</w:t>
      </w:r>
      <w:r>
        <w:rPr>
          <w:rFonts w:hint="eastAsia"/>
          <w:color w:val="0000FF"/>
          <w:lang w:eastAsia="zh-CN"/>
        </w:rPr>
        <w:t>（</w:t>
      </w:r>
      <w:r>
        <w:rPr>
          <w:color w:val="0000FF"/>
        </w:rPr>
        <w:t>PVC</w:t>
      </w:r>
      <w:r>
        <w:rPr>
          <w:rFonts w:hint="eastAsia"/>
          <w:color w:val="0000FF"/>
          <w:lang w:eastAsia="zh-CN"/>
        </w:rPr>
        <w:t>）</w:t>
      </w:r>
      <w:r>
        <w:rPr>
          <w:color w:val="0000FF"/>
        </w:rPr>
        <w:t>塑料作为制造原材料，利器盒整体颜色为黄色，在盒体侧面注明“损伤性废物”，利器盒上应印制本规定医疗废物警示标识，利器盒规格尺寸可根据用户要求确定；</w:t>
      </w:r>
    </w:p>
    <w:p>
      <w:pPr>
        <w:bidi w:val="0"/>
        <w:rPr>
          <w:color w:val="0000FF"/>
        </w:rPr>
      </w:pPr>
      <w:r>
        <w:rPr>
          <w:color w:val="0000FF"/>
        </w:rPr>
        <w:t>n.周转箱整体为硬制材料，防液体渗漏，可一次性或多次重复使用，多次重复使用的周转箱（桶）应能被快速消毒或清洗，周转箱（桶）整体为黄色，外表面应印（喷）制医疗废物警示标识和文字说明。</w:t>
      </w:r>
    </w:p>
    <w:p>
      <w:pPr>
        <w:bidi w:val="0"/>
        <w:rPr>
          <w:color w:val="0000FF"/>
        </w:rPr>
      </w:pPr>
      <w:r>
        <w:rPr>
          <w:color w:val="0000FF"/>
        </w:rPr>
        <w:t>（9）本项目必须严格遵守《医疗废物管理条例》中的禁止性规定：a、禁止任何单位和个人转让、买卖医疗废物；b、禁止在运送过程中丢弃医疗废物；c、禁止在非贮存地点倾倒、堆放医疗废物或者将医疗废物混入其他废物和生活垃圾；d、禁止邮寄医疗废物；e、禁止通过铁路、航空运输医疗废物；f、禁止在饮用水源保护区的水体上运输医疗废物。</w:t>
      </w:r>
    </w:p>
    <w:p>
      <w:pPr>
        <w:bidi w:val="0"/>
        <w:rPr>
          <w:rFonts w:hint="default"/>
          <w:color w:val="0000FF"/>
          <w:lang w:val="en-US" w:eastAsia="zh-CN"/>
        </w:rPr>
      </w:pPr>
      <w:r>
        <w:rPr>
          <w:color w:val="0000FF"/>
        </w:rPr>
        <w:t>综上，本项目采取将生活垃圾和危险废物及医疗废物分开收集、存放的原则，对各种固体废物进行分类堆放处理；只要建设单位加强管理，严格按照相关法规对产生的固体废物进行分类、收集、消毒、无害化处理，并对代处理单位进行必要的监督，则本项目产生的固废不会对周围环境造成太大影响。</w:t>
      </w:r>
      <w:r>
        <w:rPr>
          <w:rFonts w:hint="default"/>
          <w:color w:val="0000FF"/>
          <w:lang w:val="en-US" w:eastAsia="zh-CN"/>
        </w:rPr>
        <w:br w:type="page"/>
      </w:r>
    </w:p>
    <w:p>
      <w:pPr>
        <w:pStyle w:val="4"/>
        <w:bidi w:val="0"/>
        <w:rPr>
          <w:color w:val="0000FF"/>
        </w:rPr>
      </w:pPr>
      <w:bookmarkStart w:id="115" w:name="_Toc17280"/>
      <w:r>
        <w:rPr>
          <w:color w:val="0000FF"/>
        </w:rPr>
        <w:t>7环境影响经济损益分析</w:t>
      </w:r>
      <w:bookmarkEnd w:id="115"/>
    </w:p>
    <w:p>
      <w:pPr>
        <w:bidi w:val="0"/>
        <w:rPr>
          <w:color w:val="0000FF"/>
        </w:rPr>
      </w:pPr>
      <w:bookmarkStart w:id="116" w:name="_bookmark29"/>
      <w:bookmarkEnd w:id="116"/>
      <w:r>
        <w:rPr>
          <w:color w:val="0000FF"/>
        </w:rPr>
        <w:t>环境影响经济损益分析是环境影响评价的一项重要内容，设置的目的在于衡量建设项目所需投入的环保投资和能收到的环保效果，以评价拟建项目的环境经济可行性。因而在环境经济损益分析中除计算用于控制污染所需投资费用外，</w:t>
      </w:r>
      <w:r>
        <w:rPr>
          <w:rFonts w:hint="eastAsia"/>
          <w:color w:val="0000FF"/>
          <w:lang w:eastAsia="zh-CN"/>
        </w:rPr>
        <w:t>同时</w:t>
      </w:r>
      <w:r>
        <w:rPr>
          <w:color w:val="0000FF"/>
        </w:rPr>
        <w:t>还需估算可能收到的环境与经济效益，以实现扩大生产、提高经济效益的同时不至于造成区域环境污染，做到经济效益、社会效益和环境效益的协调发展。</w:t>
      </w:r>
    </w:p>
    <w:p>
      <w:pPr>
        <w:pStyle w:val="5"/>
        <w:bidi w:val="0"/>
        <w:rPr>
          <w:rFonts w:hint="default"/>
          <w:color w:val="0000FF"/>
          <w:lang w:val="en-US" w:eastAsia="zh-CN"/>
        </w:rPr>
      </w:pPr>
      <w:bookmarkStart w:id="117" w:name="_Toc29581"/>
      <w:r>
        <w:rPr>
          <w:rFonts w:hint="eastAsia"/>
          <w:color w:val="0000FF"/>
          <w:lang w:val="en-US" w:eastAsia="zh-CN"/>
        </w:rPr>
        <w:t>7.1</w:t>
      </w:r>
      <w:r>
        <w:rPr>
          <w:color w:val="0000FF"/>
        </w:rPr>
        <w:t>环境经济损益分析的目的</w:t>
      </w:r>
      <w:bookmarkEnd w:id="117"/>
    </w:p>
    <w:p>
      <w:pPr>
        <w:bidi w:val="0"/>
        <w:rPr>
          <w:color w:val="0000FF"/>
        </w:rPr>
      </w:pPr>
      <w:r>
        <w:rPr>
          <w:color w:val="0000FF"/>
        </w:rPr>
        <w:t>建设项目环境影响评价有两个基本目标，一是要揭示建设项目所引起的环境影响，协调项目建设与环境目标一致的问题，二是要</w:t>
      </w:r>
      <w:r>
        <w:rPr>
          <w:rFonts w:hint="eastAsia"/>
          <w:color w:val="0000FF"/>
          <w:lang w:eastAsia="zh-CN"/>
        </w:rPr>
        <w:t>科学地评价</w:t>
      </w:r>
      <w:r>
        <w:rPr>
          <w:color w:val="0000FF"/>
        </w:rPr>
        <w:t>建设项目所产生的经济效益和社会效益，包括对环境不利和有利因子的分析，在效益分析中，考虑直接效益（经济效益）和间接效益（社会效益、环境效益）。因此在建设项目的环境影响评价工作中，除首先应注意那些由于污染对环境造成的影响外，还应同时开展社会经济效益分析，把提高社会经济效益作为环境影响评价的一个出发点，把环境资源作为一种经济实体来对待，选择合理的开发方式、开发力度和环境保护措施，一方面尽可能使建设项目获得显著的经济效益，另一方面付出的环境代价要小。</w:t>
      </w:r>
    </w:p>
    <w:p>
      <w:pPr>
        <w:bidi w:val="0"/>
        <w:rPr>
          <w:color w:val="0000FF"/>
        </w:rPr>
      </w:pPr>
      <w:r>
        <w:rPr>
          <w:color w:val="0000FF"/>
        </w:rPr>
        <w:t>结合本项目的实际情况，疾病防控是卫生领域基础性工作，疾病防控体系的建立健全是长效机制。疾病防控机构由政府财政出资建设，作为公共卫生资源，以其纯公益性质由全体市民共享，本项目作为社会公益性事业单位，它的能力提升建设具有较好的社会效益和间接的经济效益。</w:t>
      </w:r>
    </w:p>
    <w:p>
      <w:pPr>
        <w:pStyle w:val="5"/>
        <w:bidi w:val="0"/>
        <w:rPr>
          <w:color w:val="0000FF"/>
        </w:rPr>
      </w:pPr>
      <w:bookmarkStart w:id="118" w:name="_Toc4781"/>
      <w:r>
        <w:rPr>
          <w:color w:val="0000FF"/>
        </w:rPr>
        <w:t>7.</w:t>
      </w:r>
      <w:r>
        <w:rPr>
          <w:rFonts w:hint="eastAsia"/>
          <w:color w:val="0000FF"/>
          <w:lang w:val="en-US" w:eastAsia="zh-CN"/>
        </w:rPr>
        <w:t>2</w:t>
      </w:r>
      <w:r>
        <w:rPr>
          <w:color w:val="0000FF"/>
        </w:rPr>
        <w:t>环境投资估算</w:t>
      </w:r>
      <w:bookmarkEnd w:id="118"/>
    </w:p>
    <w:p>
      <w:pPr>
        <w:bidi w:val="0"/>
        <w:rPr>
          <w:color w:val="0000FF"/>
        </w:rPr>
      </w:pPr>
      <w:r>
        <w:rPr>
          <w:color w:val="0000FF"/>
        </w:rPr>
        <w:t>项目总投资为</w:t>
      </w:r>
      <w:r>
        <w:rPr>
          <w:rFonts w:hint="eastAsia"/>
          <w:color w:val="0000FF"/>
          <w:lang w:val="en-US" w:eastAsia="zh-CN"/>
        </w:rPr>
        <w:t>176</w:t>
      </w:r>
      <w:r>
        <w:rPr>
          <w:color w:val="0000FF"/>
        </w:rPr>
        <w:t>万元，其中环保投资为</w:t>
      </w:r>
      <w:r>
        <w:rPr>
          <w:rFonts w:hint="eastAsia"/>
          <w:color w:val="0000FF"/>
          <w:lang w:val="en-US" w:eastAsia="zh-CN"/>
        </w:rPr>
        <w:t>20</w:t>
      </w:r>
      <w:r>
        <w:rPr>
          <w:color w:val="0000FF"/>
        </w:rPr>
        <w:t>万元，约占总投资的</w:t>
      </w:r>
      <w:r>
        <w:rPr>
          <w:rFonts w:hint="eastAsia"/>
          <w:color w:val="0000FF"/>
          <w:lang w:val="en-US" w:eastAsia="zh-CN"/>
        </w:rPr>
        <w:t>11.3</w:t>
      </w:r>
      <w:r>
        <w:rPr>
          <w:color w:val="0000FF"/>
        </w:rPr>
        <w:t>%。环保投资估算详见表7.</w:t>
      </w:r>
      <w:r>
        <w:rPr>
          <w:rFonts w:hint="eastAsia"/>
          <w:color w:val="0000FF"/>
          <w:lang w:val="en-US" w:eastAsia="zh-CN"/>
        </w:rPr>
        <w:t>2</w:t>
      </w:r>
      <w:r>
        <w:rPr>
          <w:color w:val="0000FF"/>
        </w:rPr>
        <w:t>-1。</w:t>
      </w:r>
    </w:p>
    <w:p>
      <w:pPr>
        <w:pStyle w:val="22"/>
        <w:bidi w:val="0"/>
        <w:rPr>
          <w:b/>
          <w:bCs/>
          <w:color w:val="0000FF"/>
        </w:rPr>
      </w:pPr>
      <w:r>
        <w:rPr>
          <w:b/>
          <w:bCs/>
          <w:color w:val="0000FF"/>
        </w:rPr>
        <w:t>表7.</w:t>
      </w:r>
      <w:r>
        <w:rPr>
          <w:rFonts w:hint="eastAsia"/>
          <w:b/>
          <w:bCs/>
          <w:color w:val="0000FF"/>
          <w:lang w:val="en-US" w:eastAsia="zh-CN"/>
        </w:rPr>
        <w:t>2</w:t>
      </w:r>
      <w:r>
        <w:rPr>
          <w:b/>
          <w:bCs/>
          <w:color w:val="0000FF"/>
        </w:rPr>
        <w:t>-1项目环境保护投资</w:t>
      </w:r>
    </w:p>
    <w:tbl>
      <w:tblPr>
        <w:tblStyle w:val="23"/>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1437"/>
        <w:gridCol w:w="5222"/>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48" w:type="dxa"/>
            <w:tcBorders>
              <w:tl2br w:val="nil"/>
              <w:tr2bl w:val="nil"/>
            </w:tcBorders>
            <w:vAlign w:val="center"/>
          </w:tcPr>
          <w:p>
            <w:pPr>
              <w:pStyle w:val="22"/>
              <w:bidi w:val="0"/>
              <w:jc w:val="center"/>
              <w:rPr>
                <w:color w:val="0000FF"/>
              </w:rPr>
            </w:pPr>
            <w:r>
              <w:rPr>
                <w:color w:val="0000FF"/>
              </w:rPr>
              <w:t>时段</w:t>
            </w:r>
          </w:p>
        </w:tc>
        <w:tc>
          <w:tcPr>
            <w:tcW w:w="1437" w:type="dxa"/>
            <w:tcBorders>
              <w:tl2br w:val="nil"/>
              <w:tr2bl w:val="nil"/>
            </w:tcBorders>
            <w:vAlign w:val="center"/>
          </w:tcPr>
          <w:p>
            <w:pPr>
              <w:pStyle w:val="22"/>
              <w:bidi w:val="0"/>
              <w:jc w:val="center"/>
              <w:rPr>
                <w:color w:val="0000FF"/>
              </w:rPr>
            </w:pPr>
            <w:r>
              <w:rPr>
                <w:color w:val="0000FF"/>
              </w:rPr>
              <w:t>项目</w:t>
            </w:r>
          </w:p>
        </w:tc>
        <w:tc>
          <w:tcPr>
            <w:tcW w:w="5222" w:type="dxa"/>
            <w:tcBorders>
              <w:tl2br w:val="nil"/>
              <w:tr2bl w:val="nil"/>
            </w:tcBorders>
            <w:vAlign w:val="center"/>
          </w:tcPr>
          <w:p>
            <w:pPr>
              <w:pStyle w:val="22"/>
              <w:bidi w:val="0"/>
              <w:jc w:val="center"/>
              <w:rPr>
                <w:color w:val="0000FF"/>
              </w:rPr>
            </w:pPr>
            <w:r>
              <w:rPr>
                <w:color w:val="0000FF"/>
              </w:rPr>
              <w:t>主要内容</w:t>
            </w:r>
          </w:p>
        </w:tc>
        <w:tc>
          <w:tcPr>
            <w:tcW w:w="1214" w:type="dxa"/>
            <w:tcBorders>
              <w:tl2br w:val="nil"/>
              <w:tr2bl w:val="nil"/>
            </w:tcBorders>
            <w:vAlign w:val="center"/>
          </w:tcPr>
          <w:p>
            <w:pPr>
              <w:pStyle w:val="22"/>
              <w:bidi w:val="0"/>
              <w:jc w:val="center"/>
              <w:rPr>
                <w:color w:val="0000FF"/>
              </w:rPr>
            </w:pPr>
            <w:r>
              <w:rPr>
                <w:color w:val="0000FF"/>
              </w:rPr>
              <w:t>投资</w:t>
            </w:r>
            <w:r>
              <w:rPr>
                <w:rFonts w:hint="eastAsia"/>
                <w:color w:val="0000FF"/>
                <w:lang w:eastAsia="zh-CN"/>
              </w:rPr>
              <w:t>（</w:t>
            </w:r>
            <w:r>
              <w:rPr>
                <w:color w:val="0000FF"/>
              </w:rPr>
              <w:t>万元</w:t>
            </w:r>
            <w:r>
              <w:rPr>
                <w:rFonts w:hint="eastAsia"/>
                <w:color w:val="0000FF"/>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48" w:type="dxa"/>
            <w:vMerge w:val="restart"/>
            <w:tcBorders>
              <w:tl2br w:val="nil"/>
              <w:tr2bl w:val="nil"/>
            </w:tcBorders>
            <w:textDirection w:val="tbRlV"/>
            <w:vAlign w:val="center"/>
          </w:tcPr>
          <w:p>
            <w:pPr>
              <w:pStyle w:val="22"/>
              <w:bidi w:val="0"/>
              <w:jc w:val="center"/>
              <w:rPr>
                <w:color w:val="0000FF"/>
              </w:rPr>
            </w:pPr>
            <w:r>
              <w:rPr>
                <w:color w:val="0000FF"/>
              </w:rPr>
              <w:t>运营期</w:t>
            </w:r>
          </w:p>
        </w:tc>
        <w:tc>
          <w:tcPr>
            <w:tcW w:w="1437" w:type="dxa"/>
            <w:vMerge w:val="restart"/>
            <w:tcBorders>
              <w:tl2br w:val="nil"/>
              <w:tr2bl w:val="nil"/>
            </w:tcBorders>
            <w:vAlign w:val="center"/>
          </w:tcPr>
          <w:p>
            <w:pPr>
              <w:pStyle w:val="22"/>
              <w:bidi w:val="0"/>
              <w:jc w:val="center"/>
              <w:rPr>
                <w:color w:val="0000FF"/>
              </w:rPr>
            </w:pPr>
            <w:r>
              <w:rPr>
                <w:color w:val="0000FF"/>
              </w:rPr>
              <w:t>废气治理</w:t>
            </w:r>
          </w:p>
        </w:tc>
        <w:tc>
          <w:tcPr>
            <w:tcW w:w="5222" w:type="dxa"/>
            <w:tcBorders>
              <w:tl2br w:val="nil"/>
              <w:tr2bl w:val="nil"/>
            </w:tcBorders>
            <w:vAlign w:val="center"/>
          </w:tcPr>
          <w:p>
            <w:pPr>
              <w:pStyle w:val="22"/>
              <w:bidi w:val="0"/>
              <w:jc w:val="center"/>
              <w:rPr>
                <w:color w:val="0000FF"/>
              </w:rPr>
            </w:pPr>
            <w:r>
              <w:rPr>
                <w:color w:val="0000FF"/>
              </w:rPr>
              <w:t>污水处理站恶臭活性炭吸附；无组织排放</w:t>
            </w:r>
          </w:p>
        </w:tc>
        <w:tc>
          <w:tcPr>
            <w:tcW w:w="1214" w:type="dxa"/>
            <w:tcBorders>
              <w:tl2br w:val="nil"/>
              <w:tr2bl w:val="nil"/>
            </w:tcBorders>
            <w:vAlign w:val="center"/>
          </w:tcPr>
          <w:p>
            <w:pPr>
              <w:pStyle w:val="22"/>
              <w:bidi w:val="0"/>
              <w:jc w:val="center"/>
              <w:rPr>
                <w:color w:val="0000FF"/>
              </w:rPr>
            </w:pPr>
            <w:r>
              <w:rPr>
                <w:color w:val="0000FF"/>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vMerge w:val="continue"/>
            <w:tcBorders>
              <w:tl2br w:val="nil"/>
              <w:tr2bl w:val="nil"/>
            </w:tcBorders>
            <w:vAlign w:val="center"/>
          </w:tcPr>
          <w:p>
            <w:pPr>
              <w:pStyle w:val="22"/>
              <w:bidi w:val="0"/>
              <w:jc w:val="center"/>
              <w:rPr>
                <w:color w:val="0000FF"/>
              </w:rPr>
            </w:pPr>
          </w:p>
        </w:tc>
        <w:tc>
          <w:tcPr>
            <w:tcW w:w="5222" w:type="dxa"/>
            <w:tcBorders>
              <w:tl2br w:val="nil"/>
              <w:tr2bl w:val="nil"/>
            </w:tcBorders>
            <w:vAlign w:val="center"/>
          </w:tcPr>
          <w:p>
            <w:pPr>
              <w:pStyle w:val="22"/>
              <w:bidi w:val="0"/>
              <w:jc w:val="center"/>
              <w:rPr>
                <w:color w:val="0000FF"/>
              </w:rPr>
            </w:pPr>
            <w:r>
              <w:rPr>
                <w:color w:val="0000FF"/>
              </w:rPr>
              <w:t>理化实验室集气罩收集</w:t>
            </w:r>
            <w:r>
              <w:rPr>
                <w:rFonts w:hint="eastAsia"/>
                <w:color w:val="0000FF"/>
                <w:lang w:val="en-US" w:eastAsia="zh-CN"/>
              </w:rPr>
              <w:t>+</w:t>
            </w:r>
            <w:r>
              <w:rPr>
                <w:color w:val="0000FF"/>
              </w:rPr>
              <w:t>专用电控风道外排</w:t>
            </w:r>
          </w:p>
          <w:p>
            <w:pPr>
              <w:pStyle w:val="22"/>
              <w:bidi w:val="0"/>
              <w:jc w:val="center"/>
              <w:rPr>
                <w:color w:val="0000FF"/>
              </w:rPr>
            </w:pPr>
            <w:r>
              <w:rPr>
                <w:color w:val="0000FF"/>
              </w:rPr>
              <w:t>微生物实验室与病原微生物有关的实验在生物安全柜</w:t>
            </w:r>
          </w:p>
          <w:p>
            <w:pPr>
              <w:pStyle w:val="22"/>
              <w:bidi w:val="0"/>
              <w:jc w:val="center"/>
              <w:rPr>
                <w:color w:val="0000FF"/>
              </w:rPr>
            </w:pPr>
            <w:r>
              <w:rPr>
                <w:color w:val="0000FF"/>
              </w:rPr>
              <w:t>内操作</w:t>
            </w:r>
          </w:p>
        </w:tc>
        <w:tc>
          <w:tcPr>
            <w:tcW w:w="1214" w:type="dxa"/>
            <w:vMerge w:val="restart"/>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vMerge w:val="continue"/>
            <w:tcBorders>
              <w:tl2br w:val="nil"/>
              <w:tr2bl w:val="nil"/>
            </w:tcBorders>
            <w:vAlign w:val="center"/>
          </w:tcPr>
          <w:p>
            <w:pPr>
              <w:pStyle w:val="22"/>
              <w:bidi w:val="0"/>
              <w:jc w:val="center"/>
              <w:rPr>
                <w:color w:val="0000FF"/>
              </w:rPr>
            </w:pPr>
          </w:p>
        </w:tc>
        <w:tc>
          <w:tcPr>
            <w:tcW w:w="5222" w:type="dxa"/>
            <w:tcBorders>
              <w:tl2br w:val="nil"/>
              <w:tr2bl w:val="nil"/>
            </w:tcBorders>
            <w:vAlign w:val="center"/>
          </w:tcPr>
          <w:p>
            <w:pPr>
              <w:pStyle w:val="22"/>
              <w:bidi w:val="0"/>
              <w:jc w:val="center"/>
              <w:rPr>
                <w:color w:val="0000FF"/>
              </w:rPr>
            </w:pPr>
            <w:r>
              <w:rPr>
                <w:color w:val="0000FF"/>
              </w:rPr>
              <w:t>室理化实验室废气收集设施末端加设活性炭吸附装置</w:t>
            </w:r>
          </w:p>
        </w:tc>
        <w:tc>
          <w:tcPr>
            <w:tcW w:w="1214" w:type="dxa"/>
            <w:vMerge w:val="continue"/>
            <w:tcBorders>
              <w:tl2br w:val="nil"/>
              <w:tr2bl w:val="nil"/>
            </w:tcBorders>
            <w:vAlign w:val="center"/>
          </w:tcPr>
          <w:p>
            <w:pPr>
              <w:pStyle w:val="22"/>
              <w:bidi w:val="0"/>
              <w:jc w:val="center"/>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vMerge w:val="continue"/>
            <w:tcBorders>
              <w:tl2br w:val="nil"/>
              <w:tr2bl w:val="nil"/>
            </w:tcBorders>
            <w:vAlign w:val="center"/>
          </w:tcPr>
          <w:p>
            <w:pPr>
              <w:pStyle w:val="22"/>
              <w:bidi w:val="0"/>
              <w:jc w:val="center"/>
              <w:rPr>
                <w:color w:val="0000FF"/>
              </w:rPr>
            </w:pPr>
          </w:p>
        </w:tc>
        <w:tc>
          <w:tcPr>
            <w:tcW w:w="5222" w:type="dxa"/>
            <w:tcBorders>
              <w:tl2br w:val="nil"/>
              <w:tr2bl w:val="nil"/>
            </w:tcBorders>
            <w:vAlign w:val="center"/>
          </w:tcPr>
          <w:p>
            <w:pPr>
              <w:pStyle w:val="22"/>
              <w:bidi w:val="0"/>
              <w:jc w:val="center"/>
              <w:rPr>
                <w:color w:val="0000FF"/>
              </w:rPr>
            </w:pPr>
            <w:r>
              <w:rPr>
                <w:color w:val="0000FF"/>
              </w:rPr>
              <w:t>消毒异味机械通风</w:t>
            </w:r>
          </w:p>
        </w:tc>
        <w:tc>
          <w:tcPr>
            <w:tcW w:w="1214" w:type="dxa"/>
            <w:tcBorders>
              <w:tl2br w:val="nil"/>
              <w:tr2bl w:val="nil"/>
            </w:tcBorders>
            <w:vAlign w:val="center"/>
          </w:tcPr>
          <w:p>
            <w:pPr>
              <w:pStyle w:val="22"/>
              <w:bidi w:val="0"/>
              <w:jc w:val="center"/>
              <w:rPr>
                <w:color w:val="0000FF"/>
              </w:rPr>
            </w:pPr>
            <w:r>
              <w:rPr>
                <w:color w:val="0000FF"/>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vMerge w:val="restart"/>
            <w:tcBorders>
              <w:tl2br w:val="nil"/>
              <w:tr2bl w:val="nil"/>
            </w:tcBorders>
            <w:vAlign w:val="center"/>
          </w:tcPr>
          <w:p>
            <w:pPr>
              <w:pStyle w:val="22"/>
              <w:bidi w:val="0"/>
              <w:jc w:val="center"/>
              <w:rPr>
                <w:color w:val="0000FF"/>
              </w:rPr>
            </w:pPr>
            <w:r>
              <w:rPr>
                <w:color w:val="0000FF"/>
              </w:rPr>
              <w:t>废水治理</w:t>
            </w:r>
          </w:p>
        </w:tc>
        <w:tc>
          <w:tcPr>
            <w:tcW w:w="5222" w:type="dxa"/>
            <w:tcBorders>
              <w:tl2br w:val="nil"/>
              <w:tr2bl w:val="nil"/>
            </w:tcBorders>
            <w:vAlign w:val="center"/>
          </w:tcPr>
          <w:p>
            <w:pPr>
              <w:pStyle w:val="22"/>
              <w:bidi w:val="0"/>
              <w:jc w:val="center"/>
              <w:rPr>
                <w:color w:val="0000FF"/>
              </w:rPr>
            </w:pPr>
            <w:r>
              <w:rPr>
                <w:color w:val="0000FF"/>
              </w:rPr>
              <w:t>生活污水市政下水管网</w:t>
            </w:r>
          </w:p>
        </w:tc>
        <w:tc>
          <w:tcPr>
            <w:tcW w:w="1214" w:type="dxa"/>
            <w:tcBorders>
              <w:tl2br w:val="nil"/>
              <w:tr2bl w:val="nil"/>
            </w:tcBorders>
            <w:vAlign w:val="center"/>
          </w:tcPr>
          <w:p>
            <w:pPr>
              <w:pStyle w:val="22"/>
              <w:bidi w:val="0"/>
              <w:jc w:val="center"/>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vMerge w:val="continue"/>
            <w:tcBorders>
              <w:tl2br w:val="nil"/>
              <w:tr2bl w:val="nil"/>
            </w:tcBorders>
            <w:vAlign w:val="center"/>
          </w:tcPr>
          <w:p>
            <w:pPr>
              <w:pStyle w:val="22"/>
              <w:bidi w:val="0"/>
              <w:jc w:val="center"/>
              <w:rPr>
                <w:color w:val="0000FF"/>
              </w:rPr>
            </w:pPr>
          </w:p>
        </w:tc>
        <w:tc>
          <w:tcPr>
            <w:tcW w:w="5222" w:type="dxa"/>
            <w:tcBorders>
              <w:tl2br w:val="nil"/>
              <w:tr2bl w:val="nil"/>
            </w:tcBorders>
            <w:vAlign w:val="center"/>
          </w:tcPr>
          <w:p>
            <w:pPr>
              <w:pStyle w:val="22"/>
              <w:bidi w:val="0"/>
              <w:jc w:val="center"/>
              <w:rPr>
                <w:color w:val="0000FF"/>
              </w:rPr>
            </w:pPr>
            <w:r>
              <w:rPr>
                <w:color w:val="0000FF"/>
              </w:rPr>
              <w:t>每个实验室废水管道收集+实验室污水处理设备</w:t>
            </w:r>
          </w:p>
        </w:tc>
        <w:tc>
          <w:tcPr>
            <w:tcW w:w="121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vMerge w:val="restart"/>
            <w:tcBorders>
              <w:tl2br w:val="nil"/>
              <w:tr2bl w:val="nil"/>
            </w:tcBorders>
            <w:vAlign w:val="center"/>
          </w:tcPr>
          <w:p>
            <w:pPr>
              <w:pStyle w:val="22"/>
              <w:bidi w:val="0"/>
              <w:jc w:val="center"/>
              <w:rPr>
                <w:color w:val="0000FF"/>
              </w:rPr>
            </w:pPr>
            <w:r>
              <w:rPr>
                <w:color w:val="0000FF"/>
              </w:rPr>
              <w:t>固废治理</w:t>
            </w:r>
          </w:p>
        </w:tc>
        <w:tc>
          <w:tcPr>
            <w:tcW w:w="5222" w:type="dxa"/>
            <w:tcBorders>
              <w:tl2br w:val="nil"/>
              <w:tr2bl w:val="nil"/>
            </w:tcBorders>
            <w:vAlign w:val="center"/>
          </w:tcPr>
          <w:p>
            <w:pPr>
              <w:pStyle w:val="22"/>
              <w:bidi w:val="0"/>
              <w:jc w:val="center"/>
              <w:rPr>
                <w:color w:val="0000FF"/>
              </w:rPr>
            </w:pPr>
            <w:r>
              <w:rPr>
                <w:color w:val="0000FF"/>
              </w:rPr>
              <w:t>生活垃圾分类收集清运，废离子交换树脂属于一般固废，专用容器收集后运至工业固废垃圾填埋场处置。</w:t>
            </w:r>
          </w:p>
        </w:tc>
        <w:tc>
          <w:tcPr>
            <w:tcW w:w="121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vMerge w:val="continue"/>
            <w:tcBorders>
              <w:tl2br w:val="nil"/>
              <w:tr2bl w:val="nil"/>
            </w:tcBorders>
            <w:vAlign w:val="center"/>
          </w:tcPr>
          <w:p>
            <w:pPr>
              <w:pStyle w:val="22"/>
              <w:bidi w:val="0"/>
              <w:jc w:val="center"/>
              <w:rPr>
                <w:color w:val="0000FF"/>
              </w:rPr>
            </w:pPr>
          </w:p>
        </w:tc>
        <w:tc>
          <w:tcPr>
            <w:tcW w:w="5222" w:type="dxa"/>
            <w:tcBorders>
              <w:tl2br w:val="nil"/>
              <w:tr2bl w:val="nil"/>
            </w:tcBorders>
            <w:vAlign w:val="center"/>
          </w:tcPr>
          <w:p>
            <w:pPr>
              <w:pStyle w:val="22"/>
              <w:bidi w:val="0"/>
              <w:jc w:val="center"/>
              <w:rPr>
                <w:color w:val="0000FF"/>
              </w:rPr>
            </w:pPr>
            <w:r>
              <w:rPr>
                <w:color w:val="0000FF"/>
              </w:rPr>
              <w:t>医疗垃圾分类收集桶收集，危废暂存间暂存，委托当地有危废资质单位处置。</w:t>
            </w:r>
          </w:p>
        </w:tc>
        <w:tc>
          <w:tcPr>
            <w:tcW w:w="1214"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vMerge w:val="continue"/>
            <w:tcBorders>
              <w:tl2br w:val="nil"/>
              <w:tr2bl w:val="nil"/>
            </w:tcBorders>
            <w:vAlign w:val="center"/>
          </w:tcPr>
          <w:p>
            <w:pPr>
              <w:pStyle w:val="22"/>
              <w:bidi w:val="0"/>
              <w:jc w:val="center"/>
              <w:rPr>
                <w:color w:val="0000FF"/>
              </w:rPr>
            </w:pPr>
          </w:p>
        </w:tc>
        <w:tc>
          <w:tcPr>
            <w:tcW w:w="5222" w:type="dxa"/>
            <w:tcBorders>
              <w:tl2br w:val="nil"/>
              <w:tr2bl w:val="nil"/>
            </w:tcBorders>
            <w:vAlign w:val="center"/>
          </w:tcPr>
          <w:p>
            <w:pPr>
              <w:pStyle w:val="22"/>
              <w:bidi w:val="0"/>
              <w:jc w:val="center"/>
              <w:rPr>
                <w:color w:val="0000FF"/>
              </w:rPr>
            </w:pPr>
            <w:r>
              <w:rPr>
                <w:color w:val="0000FF"/>
              </w:rPr>
              <w:t>废活性炭、废滤芯专用容器收集，委托当地有危废资质单位处置。污水站污泥委托当地有危废资质单位处置。</w:t>
            </w:r>
          </w:p>
        </w:tc>
        <w:tc>
          <w:tcPr>
            <w:tcW w:w="121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tcBorders>
              <w:tl2br w:val="nil"/>
              <w:tr2bl w:val="nil"/>
            </w:tcBorders>
            <w:vAlign w:val="center"/>
          </w:tcPr>
          <w:p>
            <w:pPr>
              <w:pStyle w:val="22"/>
              <w:bidi w:val="0"/>
              <w:jc w:val="center"/>
              <w:rPr>
                <w:color w:val="0000FF"/>
              </w:rPr>
            </w:pPr>
            <w:r>
              <w:rPr>
                <w:color w:val="0000FF"/>
              </w:rPr>
              <w:t>噪声治理</w:t>
            </w:r>
          </w:p>
        </w:tc>
        <w:tc>
          <w:tcPr>
            <w:tcW w:w="5222" w:type="dxa"/>
            <w:tcBorders>
              <w:tl2br w:val="nil"/>
              <w:tr2bl w:val="nil"/>
            </w:tcBorders>
            <w:vAlign w:val="center"/>
          </w:tcPr>
          <w:p>
            <w:pPr>
              <w:pStyle w:val="22"/>
              <w:bidi w:val="0"/>
              <w:jc w:val="center"/>
              <w:rPr>
                <w:color w:val="0000FF"/>
              </w:rPr>
            </w:pPr>
            <w:r>
              <w:rPr>
                <w:color w:val="0000FF"/>
              </w:rPr>
              <w:t>机械设备加装减振垫、设备间设置吸声、隔声措施来降噪等</w:t>
            </w:r>
          </w:p>
        </w:tc>
        <w:tc>
          <w:tcPr>
            <w:tcW w:w="1214" w:type="dxa"/>
            <w:tcBorders>
              <w:tl2br w:val="nil"/>
              <w:tr2bl w:val="nil"/>
            </w:tcBorders>
            <w:vAlign w:val="center"/>
          </w:tcPr>
          <w:p>
            <w:pPr>
              <w:pStyle w:val="22"/>
              <w:bidi w:val="0"/>
              <w:jc w:val="center"/>
              <w:rPr>
                <w:rFonts w:hint="eastAsia" w:eastAsia="宋体"/>
                <w:color w:val="0000FF"/>
                <w:lang w:eastAsia="zh-CN"/>
              </w:rPr>
            </w:pPr>
            <w:r>
              <w:rPr>
                <w:rFonts w:hint="eastAsia"/>
                <w:color w:val="0000FF"/>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8" w:type="dxa"/>
            <w:vMerge w:val="continue"/>
            <w:tcBorders>
              <w:tl2br w:val="nil"/>
              <w:tr2bl w:val="nil"/>
            </w:tcBorders>
            <w:textDirection w:val="tbRlV"/>
            <w:vAlign w:val="center"/>
          </w:tcPr>
          <w:p>
            <w:pPr>
              <w:pStyle w:val="22"/>
              <w:bidi w:val="0"/>
              <w:jc w:val="center"/>
              <w:rPr>
                <w:color w:val="0000FF"/>
              </w:rPr>
            </w:pPr>
          </w:p>
        </w:tc>
        <w:tc>
          <w:tcPr>
            <w:tcW w:w="1437" w:type="dxa"/>
            <w:tcBorders>
              <w:tl2br w:val="nil"/>
              <w:tr2bl w:val="nil"/>
            </w:tcBorders>
            <w:vAlign w:val="center"/>
          </w:tcPr>
          <w:p>
            <w:pPr>
              <w:pStyle w:val="22"/>
              <w:bidi w:val="0"/>
              <w:jc w:val="center"/>
              <w:rPr>
                <w:color w:val="0000FF"/>
              </w:rPr>
            </w:pPr>
            <w:r>
              <w:rPr>
                <w:color w:val="0000FF"/>
              </w:rPr>
              <w:t>生态恢复</w:t>
            </w:r>
          </w:p>
        </w:tc>
        <w:tc>
          <w:tcPr>
            <w:tcW w:w="5222" w:type="dxa"/>
            <w:tcBorders>
              <w:tl2br w:val="nil"/>
              <w:tr2bl w:val="nil"/>
            </w:tcBorders>
            <w:vAlign w:val="center"/>
          </w:tcPr>
          <w:p>
            <w:pPr>
              <w:pStyle w:val="22"/>
              <w:bidi w:val="0"/>
              <w:jc w:val="center"/>
              <w:rPr>
                <w:color w:val="0000FF"/>
              </w:rPr>
            </w:pPr>
            <w:r>
              <w:rPr>
                <w:color w:val="0000FF"/>
              </w:rPr>
              <w:t>植树、种草</w:t>
            </w:r>
          </w:p>
        </w:tc>
        <w:tc>
          <w:tcPr>
            <w:tcW w:w="121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48" w:type="dxa"/>
            <w:tcBorders>
              <w:tl2br w:val="nil"/>
              <w:tr2bl w:val="nil"/>
            </w:tcBorders>
            <w:vAlign w:val="center"/>
          </w:tcPr>
          <w:p>
            <w:pPr>
              <w:pStyle w:val="22"/>
              <w:bidi w:val="0"/>
              <w:jc w:val="center"/>
              <w:rPr>
                <w:color w:val="0000FF"/>
              </w:rPr>
            </w:pPr>
            <w:r>
              <w:rPr>
                <w:color w:val="0000FF"/>
              </w:rPr>
              <w:t>合计</w:t>
            </w:r>
          </w:p>
        </w:tc>
        <w:tc>
          <w:tcPr>
            <w:tcW w:w="1437" w:type="dxa"/>
            <w:tcBorders>
              <w:tl2br w:val="nil"/>
              <w:tr2bl w:val="nil"/>
            </w:tcBorders>
            <w:vAlign w:val="center"/>
          </w:tcPr>
          <w:p>
            <w:pPr>
              <w:pStyle w:val="22"/>
              <w:bidi w:val="0"/>
              <w:jc w:val="center"/>
              <w:rPr>
                <w:color w:val="0000FF"/>
              </w:rPr>
            </w:pPr>
            <w:r>
              <w:rPr>
                <w:color w:val="0000FF"/>
              </w:rPr>
              <w:t>/</w:t>
            </w:r>
          </w:p>
        </w:tc>
        <w:tc>
          <w:tcPr>
            <w:tcW w:w="5222" w:type="dxa"/>
            <w:tcBorders>
              <w:tl2br w:val="nil"/>
              <w:tr2bl w:val="nil"/>
            </w:tcBorders>
            <w:vAlign w:val="center"/>
          </w:tcPr>
          <w:p>
            <w:pPr>
              <w:pStyle w:val="22"/>
              <w:bidi w:val="0"/>
              <w:jc w:val="center"/>
              <w:rPr>
                <w:color w:val="0000FF"/>
              </w:rPr>
            </w:pPr>
            <w:r>
              <w:rPr>
                <w:color w:val="0000FF"/>
              </w:rPr>
              <w:t>/</w:t>
            </w:r>
          </w:p>
        </w:tc>
        <w:tc>
          <w:tcPr>
            <w:tcW w:w="1214" w:type="dxa"/>
            <w:tcBorders>
              <w:tl2br w:val="nil"/>
              <w:tr2bl w:val="nil"/>
            </w:tcBorders>
            <w:vAlign w:val="center"/>
          </w:tcPr>
          <w:p>
            <w:pPr>
              <w:pStyle w:val="22"/>
              <w:bidi w:val="0"/>
              <w:jc w:val="center"/>
              <w:rPr>
                <w:rFonts w:hint="default" w:eastAsia="宋体"/>
                <w:color w:val="0000FF"/>
                <w:lang w:val="en-US" w:eastAsia="zh-CN"/>
              </w:rPr>
            </w:pPr>
            <w:r>
              <w:rPr>
                <w:rFonts w:hint="eastAsia"/>
                <w:color w:val="0000FF"/>
                <w:lang w:val="en-US" w:eastAsia="zh-CN"/>
              </w:rPr>
              <w:t>20</w:t>
            </w:r>
          </w:p>
        </w:tc>
      </w:tr>
    </w:tbl>
    <w:p>
      <w:pPr>
        <w:pStyle w:val="5"/>
        <w:bidi w:val="0"/>
        <w:outlineLvl w:val="0"/>
        <w:rPr>
          <w:color w:val="0000FF"/>
        </w:rPr>
      </w:pPr>
      <w:bookmarkStart w:id="119" w:name="_Toc12262"/>
      <w:r>
        <w:rPr>
          <w:color w:val="0000FF"/>
        </w:rPr>
        <w:t>7.3环境经济效益分析</w:t>
      </w:r>
      <w:bookmarkEnd w:id="119"/>
    </w:p>
    <w:p>
      <w:pPr>
        <w:pStyle w:val="6"/>
        <w:bidi w:val="0"/>
        <w:rPr>
          <w:color w:val="0000FF"/>
        </w:rPr>
      </w:pPr>
      <w:bookmarkStart w:id="120" w:name="_Toc3868"/>
      <w:r>
        <w:rPr>
          <w:color w:val="0000FF"/>
        </w:rPr>
        <w:t>7.3.1社会效益</w:t>
      </w:r>
      <w:bookmarkEnd w:id="120"/>
    </w:p>
    <w:p>
      <w:pPr>
        <w:bidi w:val="0"/>
        <w:rPr>
          <w:color w:val="0000FF"/>
        </w:rPr>
      </w:pPr>
      <w:r>
        <w:rPr>
          <w:color w:val="0000FF"/>
        </w:rPr>
        <w:t>本项目的建设，对提高全县疾病防控能力、提高公共卫生监测水平、提高公共卫生突发事件应急处理能力具有重要意义。烈性传染病等突发公共卫生事件往往容易引起社会公众的恐慌，甚至造成社会秩序陷入忙乱状态。个别时期，一场疫情突如其来，往往造成社会经济的巨大损失。因此，各级政府只有建立起强大的公共卫生体系，搭建完善的疾病防控网络，组建高素质的卫生防疫队伍，提高防控疾病的能力，才能够遏制传染病的肆虐和对人民生命的危害。如果没有较高的疾病识别能力、监测和防控能力，没有准确及时的病情通报网络信息系统，没有必要的应急设施和手段，一旦发生传染病疫情大流行，后果相当严重。一个强有力的疾病防控机构的存在，才能坚定人们战胜传染病疫情的信心，对传染病疫情就不再恐惧和惊慌。本项目的建设，建立起疾病防控和卫生监测的技术支持平台，增强对传染病的识别、监测和防控能力，提高了</w:t>
      </w:r>
      <w:r>
        <w:rPr>
          <w:rFonts w:hint="eastAsia"/>
          <w:color w:val="0000FF"/>
          <w:lang w:eastAsia="zh-CN"/>
        </w:rPr>
        <w:t>对</w:t>
      </w:r>
      <w:r>
        <w:rPr>
          <w:color w:val="0000FF"/>
        </w:rPr>
        <w:t>人民群众的生命健康的保障能力；增强对疾病和疫情的信息管理和引导作用，并通过广泛宣传指导，使人们对疾病和卫生有更多的了解并增加防范。这对于提高人民群众的健康水平，提高</w:t>
      </w:r>
      <w:r>
        <w:rPr>
          <w:rFonts w:hint="eastAsia"/>
          <w:color w:val="0000FF"/>
          <w:lang w:val="en-US" w:eastAsia="zh-CN"/>
        </w:rPr>
        <w:t>225团</w:t>
      </w:r>
      <w:r>
        <w:rPr>
          <w:color w:val="0000FF"/>
        </w:rPr>
        <w:t>公共卫生水平将起到积极的作用。</w:t>
      </w:r>
    </w:p>
    <w:p>
      <w:pPr>
        <w:pStyle w:val="6"/>
        <w:bidi w:val="0"/>
        <w:rPr>
          <w:color w:val="0000FF"/>
        </w:rPr>
      </w:pPr>
      <w:bookmarkStart w:id="121" w:name="_Toc6340"/>
      <w:r>
        <w:rPr>
          <w:color w:val="0000FF"/>
        </w:rPr>
        <w:t>7.3.2经济效益</w:t>
      </w:r>
      <w:bookmarkEnd w:id="121"/>
    </w:p>
    <w:p>
      <w:pPr>
        <w:bidi w:val="0"/>
        <w:rPr>
          <w:color w:val="0000FF"/>
        </w:rPr>
      </w:pPr>
      <w:r>
        <w:rPr>
          <w:color w:val="0000FF"/>
        </w:rPr>
        <w:t>本项目与一般工业项目不同，它是以国家投入为主体建设的社会公益性事业项目，旨在保护人民群众身体健康和生命财产安全，以及社会秩序的稳定，保障国家的经济发展和促进地方经济的稳定增长。本项目的建设有一定的经济效益，更有巨大的间接效益。疾病预防控制中心的建设能够有效的控制和掌握群众疾病的发生与流行，保障人体健康，使人民能安居乐业，身心健康的投入国家建设，创造出更大的经济效益。疾控中心的建设对促进社会安定，为城市提供一个安全、健康的环境起着重要作用，进而提高</w:t>
      </w:r>
      <w:r>
        <w:rPr>
          <w:rFonts w:hint="eastAsia"/>
          <w:color w:val="0000FF"/>
          <w:lang w:val="en-US" w:eastAsia="zh-CN"/>
        </w:rPr>
        <w:t>第十四师225团</w:t>
      </w:r>
      <w:r>
        <w:rPr>
          <w:color w:val="0000FF"/>
        </w:rPr>
        <w:t>的社会经济的发展，带来可观的经济效益。</w:t>
      </w:r>
    </w:p>
    <w:p>
      <w:pPr>
        <w:pStyle w:val="6"/>
        <w:bidi w:val="0"/>
        <w:rPr>
          <w:color w:val="0000FF"/>
        </w:rPr>
      </w:pPr>
      <w:bookmarkStart w:id="122" w:name="_Toc25120"/>
      <w:r>
        <w:rPr>
          <w:color w:val="0000FF"/>
        </w:rPr>
        <w:t>7.3.3环境效益</w:t>
      </w:r>
      <w:bookmarkEnd w:id="122"/>
    </w:p>
    <w:p>
      <w:pPr>
        <w:bidi w:val="0"/>
        <w:rPr>
          <w:color w:val="0000FF"/>
        </w:rPr>
      </w:pPr>
      <w:r>
        <w:rPr>
          <w:color w:val="0000FF"/>
        </w:rPr>
        <w:t>项目建成后，由于实施各种严格的环保措施，污染物排放量均有所降低，对城市环境质量影响较小。项目内拟建污水处理站，项目废水处理达标后通过市政污水管网排入</w:t>
      </w:r>
      <w:r>
        <w:rPr>
          <w:rFonts w:hint="eastAsia"/>
          <w:color w:val="0000FF"/>
          <w:lang w:val="en-US" w:eastAsia="zh-CN"/>
        </w:rPr>
        <w:t>225团</w:t>
      </w:r>
      <w:r>
        <w:rPr>
          <w:color w:val="0000FF"/>
        </w:rPr>
        <w:t>污水处理厂进行进一步处理，减少了污染负荷；污水处理站废气、实验室废气等大气污染物均得到有效处置，对周围环境影响较小；项目产生的各种一般固废和危险废物均按照相关要求进行妥善处置。</w:t>
      </w:r>
    </w:p>
    <w:p>
      <w:pPr>
        <w:pStyle w:val="5"/>
        <w:bidi w:val="0"/>
        <w:rPr>
          <w:color w:val="0000FF"/>
        </w:rPr>
      </w:pPr>
      <w:bookmarkStart w:id="123" w:name="_Toc32383"/>
      <w:r>
        <w:rPr>
          <w:color w:val="0000FF"/>
        </w:rPr>
        <w:t>7.4结论</w:t>
      </w:r>
      <w:bookmarkEnd w:id="123"/>
    </w:p>
    <w:p>
      <w:pPr>
        <w:bidi w:val="0"/>
        <w:rPr>
          <w:rFonts w:hint="eastAsia"/>
          <w:color w:val="0000FF"/>
          <w:lang w:eastAsia="zh-CN"/>
        </w:rPr>
      </w:pPr>
      <w:r>
        <w:rPr>
          <w:color w:val="0000FF"/>
        </w:rPr>
        <w:t>本项目作为社会公益性事业单位，它的建设旨在提高公共卫生预防及控制的整体能力，具有较好的社会效益和一定的经济效益；项目产生的各种污染物经分别采取相应的处理措施后，减少了项目对环境的影响，具有一定的环境效益。综上所述，本项目的建设可行</w:t>
      </w:r>
      <w:r>
        <w:rPr>
          <w:rFonts w:hint="eastAsia"/>
          <w:color w:val="0000FF"/>
          <w:lang w:eastAsia="zh-CN"/>
        </w:rPr>
        <w:t>。</w:t>
      </w:r>
    </w:p>
    <w:p>
      <w:pPr>
        <w:rPr>
          <w:rFonts w:hint="eastAsia"/>
          <w:color w:val="0000FF"/>
          <w:lang w:eastAsia="zh-CN"/>
        </w:rPr>
      </w:pPr>
      <w:r>
        <w:rPr>
          <w:rFonts w:hint="eastAsia"/>
          <w:color w:val="0000FF"/>
          <w:lang w:eastAsia="zh-CN"/>
        </w:rPr>
        <w:br w:type="page"/>
      </w:r>
    </w:p>
    <w:p>
      <w:pPr>
        <w:pStyle w:val="4"/>
        <w:bidi w:val="0"/>
        <w:rPr>
          <w:color w:val="0000FF"/>
        </w:rPr>
      </w:pPr>
      <w:bookmarkStart w:id="124" w:name="_Toc32184"/>
      <w:r>
        <w:rPr>
          <w:color w:val="0000FF"/>
        </w:rPr>
        <w:t>8环境管理与监测计划</w:t>
      </w:r>
      <w:bookmarkEnd w:id="124"/>
    </w:p>
    <w:p>
      <w:pPr>
        <w:pStyle w:val="5"/>
        <w:bidi w:val="0"/>
        <w:rPr>
          <w:color w:val="0000FF"/>
        </w:rPr>
      </w:pPr>
      <w:bookmarkStart w:id="125" w:name="_Toc2559"/>
      <w:r>
        <w:rPr>
          <w:color w:val="0000FF"/>
        </w:rPr>
        <w:t>8.1环境管理计划</w:t>
      </w:r>
      <w:bookmarkEnd w:id="125"/>
    </w:p>
    <w:p>
      <w:pPr>
        <w:pStyle w:val="6"/>
        <w:bidi w:val="0"/>
        <w:rPr>
          <w:color w:val="0000FF"/>
        </w:rPr>
      </w:pPr>
      <w:bookmarkStart w:id="126" w:name="_Toc29320"/>
      <w:r>
        <w:rPr>
          <w:color w:val="0000FF"/>
        </w:rPr>
        <w:t>8.1.1环境管理目的</w:t>
      </w:r>
      <w:bookmarkEnd w:id="126"/>
    </w:p>
    <w:p>
      <w:pPr>
        <w:bidi w:val="0"/>
        <w:rPr>
          <w:color w:val="0000FF"/>
        </w:rPr>
      </w:pPr>
      <w:r>
        <w:rPr>
          <w:color w:val="0000FF"/>
        </w:rPr>
        <w:t>通过制定系统科学的环境管理计划，使本项目的建设和营运符合国家有关环境保护的法律法规，严格执行环保工程与主体工程同时设计、同时施工和同时竣工验收的“三同时”规定。</w:t>
      </w:r>
    </w:p>
    <w:p>
      <w:pPr>
        <w:bidi w:val="0"/>
        <w:rPr>
          <w:color w:val="0000FF"/>
        </w:rPr>
      </w:pPr>
      <w:r>
        <w:rPr>
          <w:color w:val="0000FF"/>
        </w:rPr>
        <w:t>通过实施环境管理计划，力图将本项目的建设和运营对环境带来的不利影响减轻至</w:t>
      </w:r>
      <w:r>
        <w:rPr>
          <w:rFonts w:hint="eastAsia"/>
          <w:color w:val="0000FF"/>
          <w:lang w:eastAsia="zh-CN"/>
        </w:rPr>
        <w:t>最低程度</w:t>
      </w:r>
      <w:r>
        <w:rPr>
          <w:color w:val="0000FF"/>
        </w:rPr>
        <w:t>，使项目建设的经济效益和环境效益得以协调、持续和稳定发展。</w:t>
      </w:r>
    </w:p>
    <w:p>
      <w:pPr>
        <w:pStyle w:val="6"/>
        <w:bidi w:val="0"/>
        <w:rPr>
          <w:color w:val="0000FF"/>
        </w:rPr>
      </w:pPr>
      <w:bookmarkStart w:id="127" w:name="_Toc20294"/>
      <w:r>
        <w:rPr>
          <w:color w:val="0000FF"/>
        </w:rPr>
        <w:t>8.1.2环境管理机构的设置</w:t>
      </w:r>
      <w:bookmarkEnd w:id="127"/>
    </w:p>
    <w:p>
      <w:pPr>
        <w:bidi w:val="0"/>
        <w:rPr>
          <w:color w:val="0000FF"/>
        </w:rPr>
      </w:pPr>
      <w:r>
        <w:rPr>
          <w:color w:val="0000FF"/>
        </w:rPr>
        <w:t>本次环评对施工期、运营期环境影响进行分析，因此环境管理机构的设置针对施工期、运营阶段设置。</w:t>
      </w:r>
    </w:p>
    <w:p>
      <w:pPr>
        <w:bidi w:val="0"/>
        <w:rPr>
          <w:color w:val="0000FF"/>
        </w:rPr>
      </w:pPr>
      <w:r>
        <w:rPr>
          <w:color w:val="0000FF"/>
        </w:rPr>
        <w:t>（1）机构组成</w:t>
      </w:r>
    </w:p>
    <w:p>
      <w:pPr>
        <w:bidi w:val="0"/>
        <w:rPr>
          <w:color w:val="0000FF"/>
        </w:rPr>
      </w:pPr>
      <w:r>
        <w:rPr>
          <w:color w:val="0000FF"/>
        </w:rPr>
        <w:t>根据疾控中心的实际情况，环境管理机构由疾控中心的后勤管理部门负责，下设环境管理小组对疾控中心的环境管理和环境监控负责，并受疾控中心主管领导及当地环保局的监督和指导。</w:t>
      </w:r>
    </w:p>
    <w:p>
      <w:pPr>
        <w:bidi w:val="0"/>
        <w:rPr>
          <w:color w:val="0000FF"/>
        </w:rPr>
      </w:pPr>
      <w:r>
        <w:rPr>
          <w:color w:val="0000FF"/>
        </w:rPr>
        <w:t>（2）环保机构定员</w:t>
      </w:r>
    </w:p>
    <w:p>
      <w:pPr>
        <w:bidi w:val="0"/>
        <w:rPr>
          <w:color w:val="0000FF"/>
        </w:rPr>
      </w:pPr>
      <w:r>
        <w:rPr>
          <w:color w:val="0000FF"/>
        </w:rPr>
        <w:t>项目运营期间，疾控中心后勤管理部门设有专门的环保机构和环保管理人员，负责疾控中心的环境保护及管理工作。</w:t>
      </w:r>
    </w:p>
    <w:p>
      <w:pPr>
        <w:pStyle w:val="6"/>
        <w:bidi w:val="0"/>
        <w:rPr>
          <w:color w:val="0000FF"/>
        </w:rPr>
      </w:pPr>
      <w:bookmarkStart w:id="128" w:name="_Toc31407"/>
      <w:r>
        <w:rPr>
          <w:color w:val="0000FF"/>
        </w:rPr>
        <w:t>8.1.3环境管理机构的职责</w:t>
      </w:r>
      <w:bookmarkEnd w:id="128"/>
    </w:p>
    <w:p>
      <w:pPr>
        <w:bidi w:val="0"/>
        <w:rPr>
          <w:color w:val="0000FF"/>
        </w:rPr>
      </w:pPr>
      <w:r>
        <w:rPr>
          <w:color w:val="0000FF"/>
        </w:rPr>
        <w:t>（1）贯彻、宣传国家的环保方针、政策和法律法规；</w:t>
      </w:r>
    </w:p>
    <w:p>
      <w:pPr>
        <w:bidi w:val="0"/>
        <w:rPr>
          <w:color w:val="0000FF"/>
        </w:rPr>
      </w:pPr>
      <w:r>
        <w:rPr>
          <w:color w:val="0000FF"/>
        </w:rPr>
        <w:t>（2）制定疾控中心和本项目的环保管理制度、环保技术经济政策、环境保护发展规划和年度实施计划；</w:t>
      </w:r>
    </w:p>
    <w:p>
      <w:pPr>
        <w:bidi w:val="0"/>
        <w:rPr>
          <w:color w:val="0000FF"/>
        </w:rPr>
      </w:pPr>
      <w:r>
        <w:rPr>
          <w:color w:val="0000FF"/>
        </w:rPr>
        <w:t>（3）监督检查本项目执行“三同时”规定的情况；</w:t>
      </w:r>
    </w:p>
    <w:p>
      <w:pPr>
        <w:bidi w:val="0"/>
        <w:rPr>
          <w:color w:val="0000FF"/>
        </w:rPr>
      </w:pPr>
      <w:r>
        <w:rPr>
          <w:color w:val="0000FF"/>
        </w:rPr>
        <w:t>（4）定期进行环保设备检查、维修和保养工作，确保环保设施长期、稳定、达标运转；</w:t>
      </w:r>
    </w:p>
    <w:p>
      <w:pPr>
        <w:bidi w:val="0"/>
        <w:rPr>
          <w:color w:val="0000FF"/>
        </w:rPr>
      </w:pPr>
      <w:r>
        <w:rPr>
          <w:color w:val="0000FF"/>
        </w:rPr>
        <w:t>（5）负责疾控中心环保设施的日常运行管理工作，制定事故防范措施，一旦发生事故，组织污染源调查及控制工作，并及时总结经验教训；</w:t>
      </w:r>
    </w:p>
    <w:p>
      <w:pPr>
        <w:bidi w:val="0"/>
        <w:rPr>
          <w:color w:val="0000FF"/>
        </w:rPr>
      </w:pPr>
      <w:r>
        <w:rPr>
          <w:color w:val="0000FF"/>
        </w:rPr>
        <w:t>（6）负责对疾控中心员工和环保人员进行环境保护教育，不断提高员工的环境意识和环保人员的业务素质。</w:t>
      </w:r>
    </w:p>
    <w:p>
      <w:pPr>
        <w:pStyle w:val="6"/>
        <w:bidi w:val="0"/>
        <w:rPr>
          <w:color w:val="0000FF"/>
        </w:rPr>
      </w:pPr>
      <w:bookmarkStart w:id="129" w:name="_Toc25977"/>
      <w:r>
        <w:rPr>
          <w:color w:val="0000FF"/>
        </w:rPr>
        <w:t>8.1.4环境管理计划</w:t>
      </w:r>
      <w:bookmarkEnd w:id="129"/>
    </w:p>
    <w:p>
      <w:pPr>
        <w:bidi w:val="0"/>
        <w:rPr>
          <w:color w:val="0000FF"/>
        </w:rPr>
      </w:pPr>
      <w:r>
        <w:rPr>
          <w:color w:val="0000FF"/>
        </w:rPr>
        <w:t>（1）根据国家环保政策、标准及环境监测要求，制定该项目运营期环境管理规章制度、各种污染物排放指标；</w:t>
      </w:r>
    </w:p>
    <w:p>
      <w:pPr>
        <w:bidi w:val="0"/>
        <w:rPr>
          <w:color w:val="0000FF"/>
        </w:rPr>
      </w:pPr>
      <w:r>
        <w:rPr>
          <w:color w:val="0000FF"/>
        </w:rPr>
        <w:t>（2）建立健全项目运行期的污染源档案，环保设施运行情况档案，按月统计污染物排放情况并编制好有关数据报表并存档；保证本项目的实验室废水处理设施正常运行，定期检查。保证各项环保设施的正常运行。</w:t>
      </w:r>
    </w:p>
    <w:p>
      <w:pPr>
        <w:bidi w:val="0"/>
        <w:rPr>
          <w:color w:val="0000FF"/>
        </w:rPr>
      </w:pPr>
      <w:r>
        <w:rPr>
          <w:color w:val="0000FF"/>
        </w:rPr>
        <w:t>（3）对环保设施、设备进行日常的监控和维护工作，并</w:t>
      </w:r>
      <w:r>
        <w:rPr>
          <w:rFonts w:hint="eastAsia"/>
          <w:color w:val="0000FF"/>
          <w:lang w:eastAsia="zh-CN"/>
        </w:rPr>
        <w:t>做好</w:t>
      </w:r>
      <w:r>
        <w:rPr>
          <w:color w:val="0000FF"/>
        </w:rPr>
        <w:t>记录存档；</w:t>
      </w:r>
    </w:p>
    <w:p>
      <w:pPr>
        <w:bidi w:val="0"/>
        <w:rPr>
          <w:color w:val="0000FF"/>
        </w:rPr>
      </w:pPr>
      <w:r>
        <w:rPr>
          <w:color w:val="0000FF"/>
        </w:rPr>
        <w:t>（4）做好环境保护，安全生产宣传以及相关技术培训等工作，提高全体员工的环境保护意识，加强环境法制观念；</w:t>
      </w:r>
    </w:p>
    <w:p>
      <w:pPr>
        <w:bidi w:val="0"/>
        <w:rPr>
          <w:color w:val="0000FF"/>
        </w:rPr>
      </w:pPr>
      <w:r>
        <w:rPr>
          <w:color w:val="0000FF"/>
        </w:rPr>
        <w:t>（5）加强管理，建立废水、废气非正常排放的应急制度和响应措施，将非正常排放的影响降至最低；</w:t>
      </w:r>
    </w:p>
    <w:p>
      <w:pPr>
        <w:bidi w:val="0"/>
        <w:rPr>
          <w:color w:val="0000FF"/>
        </w:rPr>
      </w:pPr>
      <w:r>
        <w:rPr>
          <w:color w:val="0000FF"/>
        </w:rPr>
        <w:t>（6）加强危险、有毒品的贮运，使用的安全管理，做好防火、防爆、防毒害的日常管理工作及应急处理，疏散措施的组织等。</w:t>
      </w:r>
    </w:p>
    <w:p>
      <w:pPr>
        <w:bidi w:val="0"/>
        <w:rPr>
          <w:color w:val="0000FF"/>
        </w:rPr>
      </w:pPr>
      <w:r>
        <w:rPr>
          <w:color w:val="0000FF"/>
        </w:rPr>
        <w:t>（7）加强危险废物收集、贮存、运输、处理处置全过程环境监管，确保危险废物分类收集，采用合理容器进行暂存，医疗废物委托当地有危废资质单位处理。</w:t>
      </w:r>
    </w:p>
    <w:p>
      <w:pPr>
        <w:bidi w:val="0"/>
        <w:rPr>
          <w:color w:val="0000FF"/>
        </w:rPr>
      </w:pPr>
      <w:r>
        <w:rPr>
          <w:color w:val="0000FF"/>
        </w:rPr>
        <w:t>废离子交换树脂属于一般固废，专用容器收集后运至工业固废垃圾填埋场处置。</w:t>
      </w:r>
    </w:p>
    <w:p>
      <w:pPr>
        <w:bidi w:val="0"/>
        <w:rPr>
          <w:color w:val="0000FF"/>
        </w:rPr>
      </w:pPr>
      <w:r>
        <w:rPr>
          <w:color w:val="0000FF"/>
        </w:rPr>
        <w:t>医疗废物交由当地有危废资质单位处理，实验废液、废活性炭、废滤芯、污水站污泥</w:t>
      </w:r>
      <w:r>
        <w:rPr>
          <w:rFonts w:hint="eastAsia"/>
          <w:color w:val="0000FF"/>
          <w:lang w:val="en-US" w:eastAsia="zh-CN"/>
        </w:rPr>
        <w:t>及废医疗用品</w:t>
      </w:r>
      <w:r>
        <w:rPr>
          <w:color w:val="0000FF"/>
        </w:rPr>
        <w:t>委托当地有危废资质单位处置，危险废物实施转移联单，做好相应资料记录工作，保留危险废物台账便于接受主管部门监察；</w:t>
      </w:r>
    </w:p>
    <w:p>
      <w:pPr>
        <w:bidi w:val="0"/>
        <w:rPr>
          <w:color w:val="0000FF"/>
        </w:rPr>
      </w:pPr>
      <w:r>
        <w:rPr>
          <w:color w:val="0000FF"/>
        </w:rPr>
        <w:t>（8）接受并配合地方环境保护主管部门对各废气、废水、噪声等污染源排放情况及固废处置情况进行监督监测，并将检查结果及时反馈给上级主管部门及相关环节，制订环境保护规划和目标，协调各部门的关系，调查处理内外污染事故与纠纷。</w:t>
      </w:r>
    </w:p>
    <w:p>
      <w:pPr>
        <w:bidi w:val="0"/>
        <w:rPr>
          <w:color w:val="0000FF"/>
        </w:rPr>
      </w:pPr>
      <w:r>
        <w:rPr>
          <w:color w:val="0000FF"/>
        </w:rPr>
        <w:t>（9）针对本项目产生的危废，产生主要如下类：医疗废物、实验废液</w:t>
      </w:r>
      <w:r>
        <w:rPr>
          <w:rFonts w:hint="eastAsia"/>
          <w:color w:val="0000FF"/>
          <w:lang w:eastAsia="zh-CN"/>
        </w:rPr>
        <w:t>、</w:t>
      </w:r>
      <w:r>
        <w:rPr>
          <w:color w:val="0000FF"/>
        </w:rPr>
        <w:t>废活性炭，严格按照《危险废物贮存污染控制标准》（GB18597-2001）的要求进行分类收集，所用容器收集暂存容器要满足相关要求，同时不同类型危废要分类收集，并在危险废物贮存设施都必须按《环境保护图形标志</w:t>
      </w:r>
      <w:r>
        <w:rPr>
          <w:rFonts w:hint="eastAsia"/>
          <w:color w:val="0000FF"/>
          <w:lang w:eastAsia="zh-CN"/>
        </w:rPr>
        <w:t>－</w:t>
      </w:r>
      <w:r>
        <w:rPr>
          <w:color w:val="0000FF"/>
        </w:rPr>
        <w:t>固体废物贮存</w:t>
      </w:r>
      <w:r>
        <w:rPr>
          <w:rFonts w:hint="eastAsia"/>
          <w:color w:val="0000FF"/>
          <w:lang w:eastAsia="zh-CN"/>
        </w:rPr>
        <w:t>（</w:t>
      </w:r>
      <w:r>
        <w:rPr>
          <w:color w:val="0000FF"/>
        </w:rPr>
        <w:t>处置</w:t>
      </w:r>
      <w:r>
        <w:rPr>
          <w:rFonts w:hint="eastAsia"/>
          <w:color w:val="0000FF"/>
          <w:lang w:eastAsia="zh-CN"/>
        </w:rPr>
        <w:t>）</w:t>
      </w:r>
      <w:r>
        <w:rPr>
          <w:color w:val="0000FF"/>
        </w:rPr>
        <w:t>场》（GB15562.2）的规定设置警示标志。</w:t>
      </w:r>
    </w:p>
    <w:p>
      <w:pPr>
        <w:bidi w:val="0"/>
        <w:rPr>
          <w:color w:val="0000FF"/>
        </w:rPr>
      </w:pPr>
      <w:r>
        <w:rPr>
          <w:color w:val="0000FF"/>
        </w:rPr>
        <w:t>（10）项目污水站产生的污泥，消毒处理，必须满足《医疗机构水污染排放标准》（GB18466-2005）中医疗机构污泥控制标准。严禁企业自行处理。</w:t>
      </w:r>
    </w:p>
    <w:p>
      <w:pPr>
        <w:pStyle w:val="6"/>
        <w:bidi w:val="0"/>
        <w:rPr>
          <w:color w:val="0000FF"/>
        </w:rPr>
      </w:pPr>
      <w:bookmarkStart w:id="130" w:name="_Toc2109"/>
      <w:r>
        <w:rPr>
          <w:color w:val="0000FF"/>
        </w:rPr>
        <w:t>8.1.5信息公开</w:t>
      </w:r>
      <w:bookmarkEnd w:id="130"/>
    </w:p>
    <w:p>
      <w:pPr>
        <w:bidi w:val="0"/>
        <w:rPr>
          <w:color w:val="0000FF"/>
        </w:rPr>
      </w:pPr>
      <w:r>
        <w:rPr>
          <w:color w:val="0000FF"/>
        </w:rPr>
        <w:t>建设单位作为建设项目选址、建设、运营全过程环境信息公开的主体，需要依法推进建设项目环评信息全过程公开。建设单位应向社会公开单位名称、地址、法定代表人；单位排放污染物种类、数量、浓度和去向；单位环保设施的建设和运行情况；环境污染事故应急预案等内容。</w:t>
      </w:r>
    </w:p>
    <w:p>
      <w:pPr>
        <w:pStyle w:val="6"/>
        <w:bidi w:val="0"/>
        <w:rPr>
          <w:rFonts w:hint="eastAsia"/>
          <w:color w:val="0000FF"/>
          <w:lang w:val="en-US" w:eastAsia="zh-CN"/>
        </w:rPr>
      </w:pPr>
      <w:bookmarkStart w:id="131" w:name="_Toc14331"/>
      <w:r>
        <w:rPr>
          <w:color w:val="0000FF"/>
        </w:rPr>
        <w:t>8.1.6</w:t>
      </w:r>
      <w:r>
        <w:rPr>
          <w:rFonts w:hint="eastAsia"/>
          <w:color w:val="0000FF"/>
          <w:lang w:val="en-US" w:eastAsia="zh-CN"/>
        </w:rPr>
        <w:t>污染物排放管理</w:t>
      </w:r>
      <w:bookmarkEnd w:id="131"/>
    </w:p>
    <w:p>
      <w:pPr>
        <w:bidi w:val="0"/>
        <w:rPr>
          <w:color w:val="0000FF"/>
        </w:rPr>
      </w:pPr>
      <w:r>
        <w:rPr>
          <w:color w:val="0000FF"/>
        </w:rPr>
        <w:t>本项目污染物排放清单详见下表。</w:t>
      </w:r>
    </w:p>
    <w:p>
      <w:pPr>
        <w:pStyle w:val="22"/>
        <w:bidi w:val="0"/>
        <w:rPr>
          <w:b/>
          <w:bCs/>
          <w:color w:val="0000FF"/>
        </w:rPr>
      </w:pPr>
      <w:r>
        <w:rPr>
          <w:b/>
          <w:bCs/>
          <w:color w:val="0000FF"/>
        </w:rPr>
        <w:t>表8.1-1项目污染源排放清单</w:t>
      </w:r>
    </w:p>
    <w:tbl>
      <w:tblPr>
        <w:tblStyle w:val="23"/>
        <w:tblW w:w="855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845"/>
        <w:gridCol w:w="805"/>
        <w:gridCol w:w="450"/>
        <w:gridCol w:w="954"/>
        <w:gridCol w:w="2087"/>
        <w:gridCol w:w="1063"/>
        <w:gridCol w:w="18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466" w:type="dxa"/>
            <w:tcBorders>
              <w:tl2br w:val="nil"/>
              <w:tr2bl w:val="nil"/>
            </w:tcBorders>
            <w:textDirection w:val="tbRlV"/>
            <w:vAlign w:val="center"/>
          </w:tcPr>
          <w:p>
            <w:pPr>
              <w:pStyle w:val="22"/>
              <w:bidi w:val="0"/>
              <w:jc w:val="center"/>
              <w:rPr>
                <w:color w:val="0000FF"/>
              </w:rPr>
            </w:pPr>
            <w:r>
              <w:rPr>
                <w:color w:val="0000FF"/>
              </w:rPr>
              <w:t>类别</w:t>
            </w:r>
          </w:p>
        </w:tc>
        <w:tc>
          <w:tcPr>
            <w:tcW w:w="845" w:type="dxa"/>
            <w:tcBorders>
              <w:tl2br w:val="nil"/>
              <w:tr2bl w:val="nil"/>
            </w:tcBorders>
            <w:vAlign w:val="center"/>
          </w:tcPr>
          <w:p>
            <w:pPr>
              <w:pStyle w:val="22"/>
              <w:bidi w:val="0"/>
              <w:jc w:val="center"/>
              <w:rPr>
                <w:color w:val="0000FF"/>
              </w:rPr>
            </w:pPr>
            <w:r>
              <w:rPr>
                <w:color w:val="0000FF"/>
              </w:rPr>
              <w:t>污染</w:t>
            </w:r>
          </w:p>
          <w:p>
            <w:pPr>
              <w:pStyle w:val="22"/>
              <w:bidi w:val="0"/>
              <w:jc w:val="center"/>
              <w:rPr>
                <w:color w:val="0000FF"/>
              </w:rPr>
            </w:pPr>
            <w:r>
              <w:rPr>
                <w:color w:val="0000FF"/>
              </w:rPr>
              <w:t>源</w:t>
            </w:r>
          </w:p>
        </w:tc>
        <w:tc>
          <w:tcPr>
            <w:tcW w:w="805" w:type="dxa"/>
            <w:tcBorders>
              <w:tl2br w:val="nil"/>
              <w:tr2bl w:val="nil"/>
            </w:tcBorders>
            <w:vAlign w:val="center"/>
          </w:tcPr>
          <w:p>
            <w:pPr>
              <w:pStyle w:val="22"/>
              <w:bidi w:val="0"/>
              <w:jc w:val="center"/>
              <w:rPr>
                <w:color w:val="0000FF"/>
              </w:rPr>
            </w:pPr>
            <w:r>
              <w:rPr>
                <w:color w:val="0000FF"/>
              </w:rPr>
              <w:t>污染物名称</w:t>
            </w:r>
          </w:p>
        </w:tc>
        <w:tc>
          <w:tcPr>
            <w:tcW w:w="1404" w:type="dxa"/>
            <w:gridSpan w:val="2"/>
            <w:tcBorders>
              <w:tl2br w:val="nil"/>
              <w:tr2bl w:val="nil"/>
            </w:tcBorders>
            <w:vAlign w:val="center"/>
          </w:tcPr>
          <w:p>
            <w:pPr>
              <w:pStyle w:val="22"/>
              <w:bidi w:val="0"/>
              <w:jc w:val="center"/>
              <w:rPr>
                <w:color w:val="0000FF"/>
              </w:rPr>
            </w:pPr>
            <w:r>
              <w:rPr>
                <w:color w:val="0000FF"/>
              </w:rPr>
              <w:t>产生量</w:t>
            </w:r>
          </w:p>
        </w:tc>
        <w:tc>
          <w:tcPr>
            <w:tcW w:w="2087" w:type="dxa"/>
            <w:tcBorders>
              <w:tl2br w:val="nil"/>
              <w:tr2bl w:val="nil"/>
            </w:tcBorders>
            <w:vAlign w:val="center"/>
          </w:tcPr>
          <w:p>
            <w:pPr>
              <w:pStyle w:val="22"/>
              <w:bidi w:val="0"/>
              <w:jc w:val="center"/>
              <w:rPr>
                <w:color w:val="0000FF"/>
              </w:rPr>
            </w:pPr>
            <w:r>
              <w:rPr>
                <w:color w:val="0000FF"/>
              </w:rPr>
              <w:t>治理措施</w:t>
            </w:r>
          </w:p>
        </w:tc>
        <w:tc>
          <w:tcPr>
            <w:tcW w:w="1063" w:type="dxa"/>
            <w:tcBorders>
              <w:tl2br w:val="nil"/>
              <w:tr2bl w:val="nil"/>
            </w:tcBorders>
            <w:vAlign w:val="center"/>
          </w:tcPr>
          <w:p>
            <w:pPr>
              <w:pStyle w:val="22"/>
              <w:bidi w:val="0"/>
              <w:jc w:val="center"/>
              <w:rPr>
                <w:color w:val="0000FF"/>
              </w:rPr>
            </w:pPr>
            <w:r>
              <w:rPr>
                <w:color w:val="0000FF"/>
              </w:rPr>
              <w:t>排放量</w:t>
            </w:r>
          </w:p>
        </w:tc>
        <w:tc>
          <w:tcPr>
            <w:tcW w:w="1886" w:type="dxa"/>
            <w:tcBorders>
              <w:tl2br w:val="nil"/>
              <w:tr2bl w:val="nil"/>
            </w:tcBorders>
            <w:vAlign w:val="center"/>
          </w:tcPr>
          <w:p>
            <w:pPr>
              <w:pStyle w:val="22"/>
              <w:bidi w:val="0"/>
              <w:jc w:val="center"/>
              <w:rPr>
                <w:color w:val="0000FF"/>
              </w:rPr>
            </w:pPr>
            <w:r>
              <w:rPr>
                <w:color w:val="0000FF"/>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466" w:type="dxa"/>
            <w:vMerge w:val="restart"/>
            <w:tcBorders>
              <w:tl2br w:val="nil"/>
              <w:tr2bl w:val="nil"/>
            </w:tcBorders>
            <w:textDirection w:val="tbRlV"/>
            <w:vAlign w:val="center"/>
          </w:tcPr>
          <w:p>
            <w:pPr>
              <w:pStyle w:val="22"/>
              <w:bidi w:val="0"/>
              <w:jc w:val="center"/>
              <w:rPr>
                <w:color w:val="0000FF"/>
              </w:rPr>
            </w:pPr>
            <w:r>
              <w:rPr>
                <w:color w:val="0000FF"/>
              </w:rPr>
              <w:t>大气污染物</w:t>
            </w:r>
          </w:p>
        </w:tc>
        <w:tc>
          <w:tcPr>
            <w:tcW w:w="845" w:type="dxa"/>
            <w:vMerge w:val="restart"/>
            <w:tcBorders>
              <w:tl2br w:val="nil"/>
              <w:tr2bl w:val="nil"/>
            </w:tcBorders>
            <w:vAlign w:val="center"/>
          </w:tcPr>
          <w:p>
            <w:pPr>
              <w:pStyle w:val="22"/>
              <w:bidi w:val="0"/>
              <w:jc w:val="center"/>
              <w:rPr>
                <w:rFonts w:hint="eastAsia"/>
                <w:color w:val="0000FF"/>
                <w:lang w:eastAsia="zh-CN"/>
              </w:rPr>
            </w:pPr>
            <w:r>
              <w:rPr>
                <w:rFonts w:hint="eastAsia"/>
                <w:color w:val="0000FF"/>
                <w:lang w:val="en-US" w:eastAsia="zh-CN"/>
              </w:rPr>
              <w:t>有组织</w:t>
            </w:r>
          </w:p>
        </w:tc>
        <w:tc>
          <w:tcPr>
            <w:tcW w:w="805" w:type="dxa"/>
            <w:vMerge w:val="restart"/>
            <w:tcBorders>
              <w:tl2br w:val="nil"/>
              <w:tr2bl w:val="nil"/>
            </w:tcBorders>
            <w:vAlign w:val="center"/>
          </w:tcPr>
          <w:p>
            <w:pPr>
              <w:pStyle w:val="22"/>
              <w:bidi w:val="0"/>
              <w:jc w:val="center"/>
              <w:rPr>
                <w:color w:val="0000FF"/>
              </w:rPr>
            </w:pPr>
            <w:r>
              <w:rPr>
                <w:color w:val="0000FF"/>
              </w:rPr>
              <w:t>酸碱试剂、有机试剂、病原微生物等</w:t>
            </w:r>
          </w:p>
        </w:tc>
        <w:tc>
          <w:tcPr>
            <w:tcW w:w="1404" w:type="dxa"/>
            <w:gridSpan w:val="2"/>
            <w:vMerge w:val="restart"/>
            <w:tcBorders>
              <w:tl2br w:val="nil"/>
              <w:tr2bl w:val="nil"/>
            </w:tcBorders>
            <w:vAlign w:val="center"/>
          </w:tcPr>
          <w:p>
            <w:pPr>
              <w:pStyle w:val="22"/>
              <w:bidi w:val="0"/>
              <w:jc w:val="center"/>
              <w:rPr>
                <w:color w:val="0000FF"/>
              </w:rPr>
            </w:pPr>
            <w:r>
              <w:rPr>
                <w:color w:val="0000FF"/>
              </w:rPr>
              <w:t>少量</w:t>
            </w:r>
          </w:p>
        </w:tc>
        <w:tc>
          <w:tcPr>
            <w:tcW w:w="2087" w:type="dxa"/>
            <w:tcBorders>
              <w:tl2br w:val="nil"/>
              <w:tr2bl w:val="nil"/>
            </w:tcBorders>
            <w:vAlign w:val="center"/>
          </w:tcPr>
          <w:p>
            <w:pPr>
              <w:pStyle w:val="22"/>
              <w:bidi w:val="0"/>
              <w:jc w:val="center"/>
              <w:rPr>
                <w:rFonts w:hint="eastAsia"/>
                <w:color w:val="0000FF"/>
                <w:lang w:val="en-US" w:eastAsia="zh-CN"/>
              </w:rPr>
            </w:pPr>
            <w:r>
              <w:rPr>
                <w:rFonts w:hint="eastAsia"/>
                <w:color w:val="0000FF"/>
                <w:lang w:val="en-US" w:eastAsia="zh-CN"/>
              </w:rPr>
              <w:t>理化实验室：集气罩</w:t>
            </w:r>
            <w:r>
              <w:rPr>
                <w:color w:val="0000FF"/>
              </w:rPr>
              <w:t>+活性炭吸附，末端通过电控风道外排</w:t>
            </w:r>
          </w:p>
        </w:tc>
        <w:tc>
          <w:tcPr>
            <w:tcW w:w="1063" w:type="dxa"/>
            <w:vMerge w:val="restart"/>
            <w:tcBorders>
              <w:tl2br w:val="nil"/>
              <w:tr2bl w:val="nil"/>
            </w:tcBorders>
            <w:vAlign w:val="center"/>
          </w:tcPr>
          <w:p>
            <w:pPr>
              <w:pStyle w:val="22"/>
              <w:bidi w:val="0"/>
              <w:jc w:val="center"/>
              <w:rPr>
                <w:color w:val="0000FF"/>
              </w:rPr>
            </w:pPr>
            <w:r>
              <w:rPr>
                <w:color w:val="0000FF"/>
              </w:rPr>
              <w:t>少量</w:t>
            </w:r>
          </w:p>
        </w:tc>
        <w:tc>
          <w:tcPr>
            <w:tcW w:w="1886" w:type="dxa"/>
            <w:vMerge w:val="restart"/>
            <w:tcBorders>
              <w:tl2br w:val="nil"/>
              <w:tr2bl w:val="nil"/>
            </w:tcBorders>
            <w:vAlign w:val="center"/>
          </w:tcPr>
          <w:p>
            <w:pPr>
              <w:pStyle w:val="22"/>
              <w:bidi w:val="0"/>
              <w:jc w:val="center"/>
              <w:rPr>
                <w:color w:val="0000FF"/>
              </w:rPr>
            </w:pPr>
            <w:r>
              <w:rPr>
                <w:color w:val="0000FF"/>
              </w:rPr>
              <w:t>《大气污染物综合排放标准》（GB16297-1996）表2中新污染源大气污染物排放限值；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466" w:type="dxa"/>
            <w:vMerge w:val="continue"/>
            <w:tcBorders>
              <w:tl2br w:val="nil"/>
              <w:tr2bl w:val="nil"/>
            </w:tcBorders>
            <w:textDirection w:val="tbRlV"/>
            <w:vAlign w:val="center"/>
          </w:tcPr>
          <w:p>
            <w:pPr>
              <w:pStyle w:val="22"/>
              <w:bidi w:val="0"/>
              <w:jc w:val="center"/>
              <w:rPr>
                <w:color w:val="0000FF"/>
              </w:rPr>
            </w:pPr>
          </w:p>
        </w:tc>
        <w:tc>
          <w:tcPr>
            <w:tcW w:w="845" w:type="dxa"/>
            <w:vMerge w:val="continue"/>
            <w:tcBorders>
              <w:tl2br w:val="nil"/>
              <w:tr2bl w:val="nil"/>
            </w:tcBorders>
            <w:vAlign w:val="center"/>
          </w:tcPr>
          <w:p>
            <w:pPr>
              <w:pStyle w:val="22"/>
              <w:bidi w:val="0"/>
              <w:jc w:val="center"/>
              <w:rPr>
                <w:color w:val="0000FF"/>
              </w:rPr>
            </w:pPr>
          </w:p>
        </w:tc>
        <w:tc>
          <w:tcPr>
            <w:tcW w:w="805" w:type="dxa"/>
            <w:vMerge w:val="continue"/>
            <w:tcBorders>
              <w:tl2br w:val="nil"/>
              <w:tr2bl w:val="nil"/>
            </w:tcBorders>
            <w:vAlign w:val="center"/>
          </w:tcPr>
          <w:p>
            <w:pPr>
              <w:pStyle w:val="22"/>
              <w:bidi w:val="0"/>
              <w:jc w:val="center"/>
              <w:rPr>
                <w:color w:val="0000FF"/>
              </w:rPr>
            </w:pPr>
          </w:p>
        </w:tc>
        <w:tc>
          <w:tcPr>
            <w:tcW w:w="1404" w:type="dxa"/>
            <w:gridSpan w:val="2"/>
            <w:vMerge w:val="continue"/>
            <w:tcBorders>
              <w:tl2br w:val="nil"/>
              <w:tr2bl w:val="nil"/>
            </w:tcBorders>
            <w:vAlign w:val="center"/>
          </w:tcPr>
          <w:p>
            <w:pPr>
              <w:pStyle w:val="22"/>
              <w:bidi w:val="0"/>
              <w:jc w:val="center"/>
              <w:rPr>
                <w:color w:val="0000FF"/>
              </w:rPr>
            </w:pPr>
          </w:p>
        </w:tc>
        <w:tc>
          <w:tcPr>
            <w:tcW w:w="2087" w:type="dxa"/>
            <w:tcBorders>
              <w:tl2br w:val="nil"/>
              <w:tr2bl w:val="nil"/>
            </w:tcBorders>
            <w:vAlign w:val="center"/>
          </w:tcPr>
          <w:p>
            <w:pPr>
              <w:pStyle w:val="22"/>
              <w:bidi w:val="0"/>
              <w:jc w:val="center"/>
              <w:rPr>
                <w:color w:val="0000FF"/>
              </w:rPr>
            </w:pPr>
            <w:r>
              <w:rPr>
                <w:rFonts w:hint="eastAsia"/>
                <w:color w:val="0000FF"/>
                <w:lang w:val="en-US" w:eastAsia="zh-CN"/>
              </w:rPr>
              <w:t>微生物实验室：</w:t>
            </w:r>
            <w:r>
              <w:rPr>
                <w:color w:val="0000FF"/>
              </w:rPr>
              <w:t>生物安全柜</w:t>
            </w:r>
            <w:r>
              <w:rPr>
                <w:rFonts w:hint="eastAsia"/>
                <w:color w:val="0000FF"/>
                <w:lang w:val="en-US" w:eastAsia="zh-CN"/>
              </w:rPr>
              <w:t>+</w:t>
            </w:r>
            <w:r>
              <w:rPr>
                <w:color w:val="0000FF"/>
              </w:rPr>
              <w:t>高效过滤器</w:t>
            </w:r>
            <w:r>
              <w:rPr>
                <w:rFonts w:hint="eastAsia"/>
                <w:color w:val="0000FF"/>
                <w:lang w:val="en-US" w:eastAsia="zh-CN"/>
              </w:rPr>
              <w:t>+</w:t>
            </w:r>
            <w:r>
              <w:rPr>
                <w:color w:val="0000FF"/>
              </w:rPr>
              <w:t>专用排气筒送至楼顶排放。</w:t>
            </w:r>
          </w:p>
        </w:tc>
        <w:tc>
          <w:tcPr>
            <w:tcW w:w="1063" w:type="dxa"/>
            <w:vMerge w:val="continue"/>
            <w:tcBorders>
              <w:tl2br w:val="nil"/>
              <w:tr2bl w:val="nil"/>
            </w:tcBorders>
            <w:vAlign w:val="center"/>
          </w:tcPr>
          <w:p>
            <w:pPr>
              <w:pStyle w:val="22"/>
              <w:bidi w:val="0"/>
              <w:jc w:val="center"/>
              <w:rPr>
                <w:color w:val="0000FF"/>
              </w:rPr>
            </w:pPr>
          </w:p>
        </w:tc>
        <w:tc>
          <w:tcPr>
            <w:tcW w:w="1886"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466" w:type="dxa"/>
            <w:vMerge w:val="continue"/>
            <w:tcBorders>
              <w:tl2br w:val="nil"/>
              <w:tr2bl w:val="nil"/>
            </w:tcBorders>
            <w:textDirection w:val="tbRlV"/>
            <w:vAlign w:val="center"/>
          </w:tcPr>
          <w:p>
            <w:pPr>
              <w:pStyle w:val="22"/>
              <w:bidi w:val="0"/>
              <w:jc w:val="center"/>
              <w:rPr>
                <w:color w:val="0000FF"/>
              </w:rPr>
            </w:pPr>
          </w:p>
        </w:tc>
        <w:tc>
          <w:tcPr>
            <w:tcW w:w="845" w:type="dxa"/>
            <w:vMerge w:val="restart"/>
            <w:tcBorders>
              <w:tl2br w:val="nil"/>
              <w:tr2bl w:val="nil"/>
            </w:tcBorders>
            <w:vAlign w:val="center"/>
          </w:tcPr>
          <w:p>
            <w:pPr>
              <w:pStyle w:val="22"/>
              <w:bidi w:val="0"/>
              <w:jc w:val="center"/>
              <w:rPr>
                <w:rFonts w:hint="eastAsia"/>
                <w:color w:val="0000FF"/>
                <w:lang w:val="en-US" w:eastAsia="zh-CN"/>
              </w:rPr>
            </w:pPr>
            <w:r>
              <w:rPr>
                <w:rFonts w:hint="eastAsia"/>
                <w:color w:val="0000FF"/>
                <w:lang w:val="en-US" w:eastAsia="zh-CN"/>
              </w:rPr>
              <w:t>无组织</w:t>
            </w:r>
          </w:p>
        </w:tc>
        <w:tc>
          <w:tcPr>
            <w:tcW w:w="805" w:type="dxa"/>
            <w:tcBorders>
              <w:tl2br w:val="nil"/>
              <w:tr2bl w:val="nil"/>
            </w:tcBorders>
            <w:vAlign w:val="center"/>
          </w:tcPr>
          <w:p>
            <w:pPr>
              <w:pStyle w:val="22"/>
              <w:bidi w:val="0"/>
              <w:jc w:val="center"/>
              <w:rPr>
                <w:color w:val="0000FF"/>
              </w:rPr>
            </w:pPr>
            <w:r>
              <w:rPr>
                <w:color w:val="0000FF"/>
              </w:rPr>
              <w:t>医疗废物暂存间</w:t>
            </w:r>
          </w:p>
        </w:tc>
        <w:tc>
          <w:tcPr>
            <w:tcW w:w="1404" w:type="dxa"/>
            <w:gridSpan w:val="2"/>
            <w:tcBorders>
              <w:tl2br w:val="nil"/>
              <w:tr2bl w:val="nil"/>
            </w:tcBorders>
            <w:vAlign w:val="center"/>
          </w:tcPr>
          <w:p>
            <w:pPr>
              <w:pStyle w:val="22"/>
              <w:bidi w:val="0"/>
              <w:jc w:val="center"/>
              <w:rPr>
                <w:color w:val="0000FF"/>
              </w:rPr>
            </w:pPr>
            <w:r>
              <w:rPr>
                <w:color w:val="0000FF"/>
              </w:rPr>
              <w:t>少量</w:t>
            </w:r>
          </w:p>
        </w:tc>
        <w:tc>
          <w:tcPr>
            <w:tcW w:w="2087" w:type="dxa"/>
            <w:tcBorders>
              <w:tl2br w:val="nil"/>
              <w:tr2bl w:val="nil"/>
            </w:tcBorders>
            <w:vAlign w:val="center"/>
          </w:tcPr>
          <w:p>
            <w:pPr>
              <w:pStyle w:val="22"/>
              <w:bidi w:val="0"/>
              <w:jc w:val="center"/>
              <w:rPr>
                <w:color w:val="0000FF"/>
              </w:rPr>
            </w:pPr>
            <w:r>
              <w:rPr>
                <w:color w:val="0000FF"/>
              </w:rPr>
              <w:t>暂存间有严密的封闭措施，消毒处理后通过排气扇将暂存间废气排出</w:t>
            </w:r>
          </w:p>
        </w:tc>
        <w:tc>
          <w:tcPr>
            <w:tcW w:w="1063" w:type="dxa"/>
            <w:tcBorders>
              <w:tl2br w:val="nil"/>
              <w:tr2bl w:val="nil"/>
            </w:tcBorders>
            <w:vAlign w:val="center"/>
          </w:tcPr>
          <w:p>
            <w:pPr>
              <w:pStyle w:val="22"/>
              <w:bidi w:val="0"/>
              <w:jc w:val="center"/>
              <w:rPr>
                <w:color w:val="0000FF"/>
              </w:rPr>
            </w:pPr>
            <w:r>
              <w:rPr>
                <w:color w:val="0000FF"/>
              </w:rPr>
              <w:t>少量</w:t>
            </w:r>
          </w:p>
        </w:tc>
        <w:tc>
          <w:tcPr>
            <w:tcW w:w="1886" w:type="dxa"/>
            <w:tcBorders>
              <w:tl2br w:val="nil"/>
              <w:tr2bl w:val="nil"/>
            </w:tcBorders>
            <w:vAlign w:val="center"/>
          </w:tcPr>
          <w:p>
            <w:pPr>
              <w:pStyle w:val="22"/>
              <w:bidi w:val="0"/>
              <w:jc w:val="center"/>
              <w:rPr>
                <w:color w:val="0000FF"/>
              </w:rPr>
            </w:pPr>
            <w:r>
              <w:rPr>
                <w:color w:val="0000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6" w:type="dxa"/>
            <w:vMerge w:val="continue"/>
            <w:tcBorders>
              <w:tl2br w:val="nil"/>
              <w:tr2bl w:val="nil"/>
            </w:tcBorders>
            <w:textDirection w:val="tbRlV"/>
            <w:vAlign w:val="center"/>
          </w:tcPr>
          <w:p>
            <w:pPr>
              <w:pStyle w:val="22"/>
              <w:bidi w:val="0"/>
              <w:jc w:val="center"/>
              <w:rPr>
                <w:color w:val="0000FF"/>
              </w:rPr>
            </w:pPr>
          </w:p>
        </w:tc>
        <w:tc>
          <w:tcPr>
            <w:tcW w:w="845" w:type="dxa"/>
            <w:vMerge w:val="continue"/>
            <w:tcBorders>
              <w:tl2br w:val="nil"/>
              <w:tr2bl w:val="nil"/>
            </w:tcBorders>
            <w:vAlign w:val="center"/>
          </w:tcPr>
          <w:p>
            <w:pPr>
              <w:pStyle w:val="22"/>
              <w:bidi w:val="0"/>
              <w:jc w:val="center"/>
              <w:rPr>
                <w:color w:val="0000FF"/>
              </w:rPr>
            </w:pPr>
          </w:p>
        </w:tc>
        <w:tc>
          <w:tcPr>
            <w:tcW w:w="805" w:type="dxa"/>
            <w:vMerge w:val="restart"/>
            <w:tcBorders>
              <w:tl2br w:val="nil"/>
              <w:tr2bl w:val="nil"/>
            </w:tcBorders>
            <w:vAlign w:val="center"/>
          </w:tcPr>
          <w:p>
            <w:pPr>
              <w:pStyle w:val="22"/>
              <w:bidi w:val="0"/>
              <w:jc w:val="center"/>
              <w:rPr>
                <w:color w:val="0000FF"/>
              </w:rPr>
            </w:pPr>
            <w:r>
              <w:rPr>
                <w:color w:val="0000FF"/>
              </w:rPr>
              <w:t>污水站恶臭</w:t>
            </w:r>
          </w:p>
        </w:tc>
        <w:tc>
          <w:tcPr>
            <w:tcW w:w="450" w:type="dxa"/>
            <w:tcBorders>
              <w:tl2br w:val="nil"/>
              <w:tr2bl w:val="nil"/>
            </w:tcBorders>
            <w:vAlign w:val="center"/>
          </w:tcPr>
          <w:p>
            <w:pPr>
              <w:pStyle w:val="22"/>
              <w:bidi w:val="0"/>
              <w:jc w:val="center"/>
              <w:rPr>
                <w:color w:val="0000FF"/>
              </w:rPr>
            </w:pPr>
            <w:r>
              <w:rPr>
                <w:color w:val="0000FF"/>
              </w:rPr>
              <w:t>H</w:t>
            </w:r>
            <w:r>
              <w:rPr>
                <w:color w:val="0000FF"/>
                <w:vertAlign w:val="subscript"/>
              </w:rPr>
              <w:t>2</w:t>
            </w:r>
            <w:r>
              <w:rPr>
                <w:color w:val="0000FF"/>
              </w:rPr>
              <w:t>S</w:t>
            </w:r>
          </w:p>
        </w:tc>
        <w:tc>
          <w:tcPr>
            <w:tcW w:w="954" w:type="dxa"/>
            <w:tcBorders>
              <w:tl2br w:val="nil"/>
              <w:tr2bl w:val="nil"/>
            </w:tcBorders>
            <w:vAlign w:val="center"/>
          </w:tcPr>
          <w:p>
            <w:pPr>
              <w:pStyle w:val="22"/>
              <w:bidi w:val="0"/>
              <w:jc w:val="center"/>
              <w:rPr>
                <w:color w:val="0000FF"/>
              </w:rPr>
            </w:pPr>
            <w:r>
              <w:rPr>
                <w:rFonts w:hint="eastAsia"/>
                <w:color w:val="0000FF"/>
                <w:lang w:val="en-US" w:eastAsia="zh-CN"/>
              </w:rPr>
              <w:t>0.248</w:t>
            </w:r>
            <w:r>
              <w:rPr>
                <w:color w:val="0000FF"/>
              </w:rPr>
              <w:t>kg/a</w:t>
            </w:r>
          </w:p>
        </w:tc>
        <w:tc>
          <w:tcPr>
            <w:tcW w:w="2087" w:type="dxa"/>
            <w:vMerge w:val="restart"/>
            <w:tcBorders>
              <w:tl2br w:val="nil"/>
              <w:tr2bl w:val="nil"/>
            </w:tcBorders>
            <w:vAlign w:val="center"/>
          </w:tcPr>
          <w:p>
            <w:pPr>
              <w:pStyle w:val="22"/>
              <w:bidi w:val="0"/>
              <w:jc w:val="center"/>
              <w:rPr>
                <w:color w:val="0000FF"/>
              </w:rPr>
            </w:pPr>
            <w:r>
              <w:rPr>
                <w:color w:val="0000FF"/>
              </w:rPr>
              <w:t>污水处理设施及构筑物均进行密闭，各部分产生的废气经集中收集后通过活性炭吸附后排放</w:t>
            </w:r>
          </w:p>
        </w:tc>
        <w:tc>
          <w:tcPr>
            <w:tcW w:w="1063" w:type="dxa"/>
            <w:tcBorders>
              <w:tl2br w:val="nil"/>
              <w:tr2bl w:val="nil"/>
            </w:tcBorders>
            <w:vAlign w:val="center"/>
          </w:tcPr>
          <w:p>
            <w:pPr>
              <w:pStyle w:val="22"/>
              <w:bidi w:val="0"/>
              <w:jc w:val="center"/>
              <w:rPr>
                <w:color w:val="0000FF"/>
              </w:rPr>
            </w:pPr>
            <w:r>
              <w:rPr>
                <w:rFonts w:hint="eastAsia"/>
                <w:color w:val="0000FF"/>
                <w:lang w:val="en-US" w:eastAsia="zh-CN"/>
              </w:rPr>
              <w:t>0.05</w:t>
            </w:r>
            <w:r>
              <w:rPr>
                <w:color w:val="0000FF"/>
              </w:rPr>
              <w:t>kg/a</w:t>
            </w:r>
          </w:p>
        </w:tc>
        <w:tc>
          <w:tcPr>
            <w:tcW w:w="1886" w:type="dxa"/>
            <w:vMerge w:val="restart"/>
            <w:tcBorders>
              <w:tl2br w:val="nil"/>
              <w:tr2bl w:val="nil"/>
            </w:tcBorders>
            <w:vAlign w:val="center"/>
          </w:tcPr>
          <w:p>
            <w:pPr>
              <w:pStyle w:val="22"/>
              <w:bidi w:val="0"/>
              <w:jc w:val="center"/>
              <w:rPr>
                <w:color w:val="0000FF"/>
              </w:rPr>
            </w:pPr>
            <w:r>
              <w:rPr>
                <w:color w:val="0000FF"/>
              </w:rPr>
              <w:t>《医疗机构水污染物排放标准》（GB18466-2005）中表3的排放标准限值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66" w:type="dxa"/>
            <w:vMerge w:val="continue"/>
            <w:tcBorders>
              <w:tl2br w:val="nil"/>
              <w:tr2bl w:val="nil"/>
            </w:tcBorders>
            <w:textDirection w:val="tbRlV"/>
            <w:vAlign w:val="center"/>
          </w:tcPr>
          <w:p>
            <w:pPr>
              <w:pStyle w:val="22"/>
              <w:bidi w:val="0"/>
              <w:jc w:val="center"/>
              <w:rPr>
                <w:color w:val="0000FF"/>
              </w:rPr>
            </w:pPr>
          </w:p>
        </w:tc>
        <w:tc>
          <w:tcPr>
            <w:tcW w:w="845" w:type="dxa"/>
            <w:vMerge w:val="continue"/>
            <w:tcBorders>
              <w:tl2br w:val="nil"/>
              <w:tr2bl w:val="nil"/>
            </w:tcBorders>
            <w:vAlign w:val="center"/>
          </w:tcPr>
          <w:p>
            <w:pPr>
              <w:pStyle w:val="22"/>
              <w:bidi w:val="0"/>
              <w:jc w:val="center"/>
              <w:rPr>
                <w:color w:val="0000FF"/>
              </w:rPr>
            </w:pPr>
          </w:p>
        </w:tc>
        <w:tc>
          <w:tcPr>
            <w:tcW w:w="805" w:type="dxa"/>
            <w:vMerge w:val="continue"/>
            <w:tcBorders>
              <w:tl2br w:val="nil"/>
              <w:tr2bl w:val="nil"/>
            </w:tcBorders>
            <w:vAlign w:val="center"/>
          </w:tcPr>
          <w:p>
            <w:pPr>
              <w:pStyle w:val="22"/>
              <w:bidi w:val="0"/>
              <w:jc w:val="center"/>
              <w:rPr>
                <w:color w:val="0000FF"/>
              </w:rPr>
            </w:pPr>
          </w:p>
        </w:tc>
        <w:tc>
          <w:tcPr>
            <w:tcW w:w="450" w:type="dxa"/>
            <w:tcBorders>
              <w:tl2br w:val="nil"/>
              <w:tr2bl w:val="nil"/>
            </w:tcBorders>
            <w:vAlign w:val="center"/>
          </w:tcPr>
          <w:p>
            <w:pPr>
              <w:pStyle w:val="22"/>
              <w:bidi w:val="0"/>
              <w:jc w:val="center"/>
              <w:rPr>
                <w:color w:val="0000FF"/>
              </w:rPr>
            </w:pPr>
            <w:r>
              <w:rPr>
                <w:color w:val="0000FF"/>
              </w:rPr>
              <w:t>NH</w:t>
            </w:r>
            <w:r>
              <w:rPr>
                <w:color w:val="0000FF"/>
                <w:vertAlign w:val="subscript"/>
              </w:rPr>
              <w:t>3</w:t>
            </w:r>
          </w:p>
        </w:tc>
        <w:tc>
          <w:tcPr>
            <w:tcW w:w="954" w:type="dxa"/>
            <w:tcBorders>
              <w:tl2br w:val="nil"/>
              <w:tr2bl w:val="nil"/>
            </w:tcBorders>
            <w:vAlign w:val="center"/>
          </w:tcPr>
          <w:p>
            <w:pPr>
              <w:pStyle w:val="22"/>
              <w:bidi w:val="0"/>
              <w:jc w:val="center"/>
              <w:rPr>
                <w:color w:val="0000FF"/>
              </w:rPr>
            </w:pPr>
            <w:r>
              <w:rPr>
                <w:rFonts w:hint="eastAsia"/>
                <w:color w:val="0000FF"/>
                <w:lang w:val="en-US" w:eastAsia="zh-CN"/>
              </w:rPr>
              <w:t>0.0096</w:t>
            </w:r>
            <w:r>
              <w:rPr>
                <w:color w:val="0000FF"/>
              </w:rPr>
              <w:t>kg/a</w:t>
            </w:r>
          </w:p>
        </w:tc>
        <w:tc>
          <w:tcPr>
            <w:tcW w:w="2087" w:type="dxa"/>
            <w:vMerge w:val="continue"/>
            <w:tcBorders>
              <w:tl2br w:val="nil"/>
              <w:tr2bl w:val="nil"/>
            </w:tcBorders>
            <w:vAlign w:val="center"/>
          </w:tcPr>
          <w:p>
            <w:pPr>
              <w:pStyle w:val="22"/>
              <w:bidi w:val="0"/>
              <w:jc w:val="center"/>
              <w:rPr>
                <w:color w:val="0000FF"/>
              </w:rPr>
            </w:pPr>
          </w:p>
        </w:tc>
        <w:tc>
          <w:tcPr>
            <w:tcW w:w="1063" w:type="dxa"/>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002</w:t>
            </w:r>
            <w:r>
              <w:rPr>
                <w:color w:val="0000FF"/>
              </w:rPr>
              <w:t>kg/a</w:t>
            </w:r>
          </w:p>
        </w:tc>
        <w:tc>
          <w:tcPr>
            <w:tcW w:w="1886"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66" w:type="dxa"/>
            <w:vMerge w:val="restart"/>
            <w:tcBorders>
              <w:tl2br w:val="nil"/>
              <w:tr2bl w:val="nil"/>
            </w:tcBorders>
            <w:textDirection w:val="tbRlV"/>
            <w:vAlign w:val="center"/>
          </w:tcPr>
          <w:p>
            <w:pPr>
              <w:pStyle w:val="22"/>
              <w:bidi w:val="0"/>
              <w:jc w:val="center"/>
              <w:rPr>
                <w:rFonts w:hint="default"/>
                <w:color w:val="0000FF"/>
                <w:lang w:val="en-US" w:eastAsia="zh-CN"/>
              </w:rPr>
            </w:pPr>
            <w:r>
              <w:rPr>
                <w:rFonts w:hint="eastAsia"/>
                <w:color w:val="0000FF"/>
                <w:lang w:val="en-US" w:eastAsia="zh-CN"/>
              </w:rPr>
              <w:t>水污染物</w:t>
            </w:r>
          </w:p>
        </w:tc>
        <w:tc>
          <w:tcPr>
            <w:tcW w:w="845" w:type="dxa"/>
            <w:tcBorders>
              <w:tl2br w:val="nil"/>
              <w:tr2bl w:val="nil"/>
            </w:tcBorders>
            <w:vAlign w:val="center"/>
          </w:tcPr>
          <w:p>
            <w:pPr>
              <w:pStyle w:val="22"/>
              <w:bidi w:val="0"/>
              <w:jc w:val="center"/>
              <w:rPr>
                <w:color w:val="0000FF"/>
              </w:rPr>
            </w:pPr>
            <w:r>
              <w:rPr>
                <w:color w:val="0000FF"/>
              </w:rPr>
              <w:t>生活</w:t>
            </w:r>
          </w:p>
          <w:p>
            <w:pPr>
              <w:pStyle w:val="22"/>
              <w:bidi w:val="0"/>
              <w:jc w:val="center"/>
              <w:rPr>
                <w:color w:val="0000FF"/>
              </w:rPr>
            </w:pPr>
            <w:r>
              <w:rPr>
                <w:color w:val="0000FF"/>
              </w:rPr>
              <w:t>污水</w:t>
            </w:r>
          </w:p>
        </w:tc>
        <w:tc>
          <w:tcPr>
            <w:tcW w:w="805" w:type="dxa"/>
            <w:tcBorders>
              <w:tl2br w:val="nil"/>
              <w:tr2bl w:val="nil"/>
            </w:tcBorders>
            <w:vAlign w:val="center"/>
          </w:tcPr>
          <w:p>
            <w:pPr>
              <w:pStyle w:val="22"/>
              <w:bidi w:val="0"/>
              <w:jc w:val="center"/>
              <w:rPr>
                <w:rFonts w:hint="eastAsia"/>
                <w:color w:val="0000FF"/>
                <w:lang w:eastAsia="zh-CN"/>
              </w:rPr>
            </w:pPr>
            <w:r>
              <w:rPr>
                <w:color w:val="0000FF"/>
              </w:rPr>
              <w:t>COD</w:t>
            </w:r>
            <w:r>
              <w:rPr>
                <w:rFonts w:hint="eastAsia"/>
                <w:color w:val="0000FF"/>
                <w:lang w:eastAsia="zh-CN"/>
              </w:rPr>
              <w:t>、</w:t>
            </w:r>
            <w:r>
              <w:rPr>
                <w:color w:val="0000FF"/>
              </w:rPr>
              <w:t>BOD</w:t>
            </w:r>
            <w:r>
              <w:rPr>
                <w:color w:val="0000FF"/>
                <w:vertAlign w:val="subscript"/>
              </w:rPr>
              <w:t>5</w:t>
            </w:r>
            <w:r>
              <w:rPr>
                <w:rFonts w:hint="eastAsia"/>
                <w:color w:val="0000FF"/>
                <w:lang w:eastAsia="zh-CN"/>
              </w:rPr>
              <w:t>、</w:t>
            </w:r>
            <w:r>
              <w:rPr>
                <w:color w:val="0000FF"/>
              </w:rPr>
              <w:t>SS</w:t>
            </w:r>
            <w:r>
              <w:rPr>
                <w:rFonts w:hint="eastAsia"/>
                <w:color w:val="0000FF"/>
                <w:lang w:eastAsia="zh-CN"/>
              </w:rPr>
              <w:t>、</w:t>
            </w:r>
          </w:p>
          <w:p>
            <w:pPr>
              <w:pStyle w:val="22"/>
              <w:bidi w:val="0"/>
              <w:jc w:val="center"/>
              <w:rPr>
                <w:color w:val="0000FF"/>
              </w:rPr>
            </w:pPr>
            <w:r>
              <w:rPr>
                <w:color w:val="0000FF"/>
              </w:rPr>
              <w:t>NH</w:t>
            </w:r>
            <w:r>
              <w:rPr>
                <w:color w:val="0000FF"/>
                <w:vertAlign w:val="subscript"/>
              </w:rPr>
              <w:t>3</w:t>
            </w:r>
            <w:r>
              <w:rPr>
                <w:color w:val="0000FF"/>
              </w:rPr>
              <w:t>-N</w:t>
            </w:r>
          </w:p>
        </w:tc>
        <w:tc>
          <w:tcPr>
            <w:tcW w:w="1404" w:type="dxa"/>
            <w:gridSpan w:val="2"/>
            <w:tcBorders>
              <w:tl2br w:val="nil"/>
              <w:tr2bl w:val="nil"/>
            </w:tcBorders>
            <w:vAlign w:val="center"/>
          </w:tcPr>
          <w:p>
            <w:pPr>
              <w:pStyle w:val="22"/>
              <w:bidi w:val="0"/>
              <w:jc w:val="center"/>
              <w:rPr>
                <w:color w:val="0000FF"/>
              </w:rPr>
            </w:pPr>
            <w:r>
              <w:rPr>
                <w:rFonts w:hint="eastAsia"/>
                <w:color w:val="0000FF"/>
                <w:lang w:val="en-US" w:eastAsia="zh-CN"/>
              </w:rPr>
              <w:t>48</w:t>
            </w:r>
            <w:r>
              <w:rPr>
                <w:color w:val="0000FF"/>
              </w:rPr>
              <w:t>m</w:t>
            </w:r>
            <w:r>
              <w:rPr>
                <w:color w:val="0000FF"/>
                <w:vertAlign w:val="superscript"/>
              </w:rPr>
              <w:t>3</w:t>
            </w:r>
            <w:r>
              <w:rPr>
                <w:color w:val="0000FF"/>
              </w:rPr>
              <w:t>/a</w:t>
            </w:r>
          </w:p>
        </w:tc>
        <w:tc>
          <w:tcPr>
            <w:tcW w:w="2087" w:type="dxa"/>
            <w:vMerge w:val="restart"/>
            <w:tcBorders>
              <w:tl2br w:val="nil"/>
              <w:tr2bl w:val="nil"/>
            </w:tcBorders>
            <w:vAlign w:val="center"/>
          </w:tcPr>
          <w:p>
            <w:pPr>
              <w:pStyle w:val="22"/>
              <w:bidi w:val="0"/>
              <w:jc w:val="center"/>
              <w:rPr>
                <w:color w:val="0000FF"/>
              </w:rPr>
            </w:pPr>
            <w:r>
              <w:rPr>
                <w:color w:val="0000FF"/>
              </w:rPr>
              <w:t>生活污水经化粪池处理后</w:t>
            </w:r>
            <w:r>
              <w:rPr>
                <w:rFonts w:hint="eastAsia"/>
                <w:color w:val="0000FF"/>
                <w:lang w:val="en-US" w:eastAsia="zh-CN"/>
              </w:rPr>
              <w:t>经市政管网</w:t>
            </w:r>
            <w:r>
              <w:rPr>
                <w:color w:val="0000FF"/>
              </w:rPr>
              <w:t>进入</w:t>
            </w:r>
            <w:r>
              <w:rPr>
                <w:rFonts w:hint="eastAsia"/>
                <w:color w:val="0000FF"/>
                <w:lang w:val="en-US" w:eastAsia="zh-CN"/>
              </w:rPr>
              <w:t>225团</w:t>
            </w:r>
            <w:r>
              <w:rPr>
                <w:color w:val="0000FF"/>
              </w:rPr>
              <w:t>污水处理厂处理；实验室废水进入自建污水处理站处理后，</w:t>
            </w:r>
            <w:r>
              <w:rPr>
                <w:rFonts w:hint="eastAsia"/>
                <w:color w:val="0000FF"/>
                <w:lang w:val="en-US" w:eastAsia="zh-CN"/>
              </w:rPr>
              <w:t>经市政污水管网进入225团</w:t>
            </w:r>
            <w:r>
              <w:rPr>
                <w:color w:val="0000FF"/>
              </w:rPr>
              <w:t>污水处理厂处理</w:t>
            </w:r>
          </w:p>
        </w:tc>
        <w:tc>
          <w:tcPr>
            <w:tcW w:w="1063" w:type="dxa"/>
            <w:tcBorders>
              <w:tl2br w:val="nil"/>
              <w:tr2bl w:val="nil"/>
            </w:tcBorders>
            <w:vAlign w:val="center"/>
          </w:tcPr>
          <w:p>
            <w:pPr>
              <w:pStyle w:val="22"/>
              <w:bidi w:val="0"/>
              <w:jc w:val="center"/>
              <w:rPr>
                <w:color w:val="0000FF"/>
              </w:rPr>
            </w:pPr>
            <w:r>
              <w:rPr>
                <w:rFonts w:hint="eastAsia"/>
                <w:color w:val="0000FF"/>
                <w:lang w:val="en-US" w:eastAsia="zh-CN"/>
              </w:rPr>
              <w:t>48</w:t>
            </w:r>
            <w:r>
              <w:rPr>
                <w:color w:val="0000FF"/>
              </w:rPr>
              <w:t>m</w:t>
            </w:r>
            <w:r>
              <w:rPr>
                <w:color w:val="0000FF"/>
                <w:vertAlign w:val="superscript"/>
              </w:rPr>
              <w:t>3</w:t>
            </w:r>
            <w:r>
              <w:rPr>
                <w:color w:val="0000FF"/>
              </w:rPr>
              <w:t>/a</w:t>
            </w:r>
          </w:p>
        </w:tc>
        <w:tc>
          <w:tcPr>
            <w:tcW w:w="1886" w:type="dxa"/>
            <w:tcBorders>
              <w:tl2br w:val="nil"/>
              <w:tr2bl w:val="nil"/>
            </w:tcBorders>
            <w:vAlign w:val="center"/>
          </w:tcPr>
          <w:p>
            <w:pPr>
              <w:pStyle w:val="22"/>
              <w:bidi w:val="0"/>
              <w:jc w:val="center"/>
              <w:rPr>
                <w:color w:val="0000FF"/>
              </w:rPr>
            </w:pPr>
            <w:r>
              <w:rPr>
                <w:color w:val="0000FF"/>
              </w:rPr>
              <w:t>《污水综合排放标准》（GB8978-1996）</w:t>
            </w:r>
          </w:p>
          <w:p>
            <w:pPr>
              <w:pStyle w:val="22"/>
              <w:bidi w:val="0"/>
              <w:jc w:val="center"/>
              <w:rPr>
                <w:color w:val="0000FF"/>
              </w:rPr>
            </w:pPr>
            <w:r>
              <w:rPr>
                <w:color w:val="0000FF"/>
              </w:rPr>
              <w:t>中三级标准/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66" w:type="dxa"/>
            <w:vMerge w:val="continue"/>
            <w:tcBorders>
              <w:tl2br w:val="nil"/>
              <w:tr2bl w:val="nil"/>
            </w:tcBorders>
            <w:textDirection w:val="tbRlV"/>
            <w:vAlign w:val="center"/>
          </w:tcPr>
          <w:p>
            <w:pPr>
              <w:pStyle w:val="22"/>
              <w:bidi w:val="0"/>
              <w:jc w:val="center"/>
              <w:rPr>
                <w:rFonts w:hint="eastAsia"/>
                <w:color w:val="0000FF"/>
                <w:lang w:val="en-US" w:eastAsia="zh-CN"/>
              </w:rPr>
            </w:pPr>
          </w:p>
        </w:tc>
        <w:tc>
          <w:tcPr>
            <w:tcW w:w="845" w:type="dxa"/>
            <w:tcBorders>
              <w:tl2br w:val="nil"/>
              <w:tr2bl w:val="nil"/>
            </w:tcBorders>
            <w:vAlign w:val="center"/>
          </w:tcPr>
          <w:p>
            <w:pPr>
              <w:pStyle w:val="22"/>
              <w:bidi w:val="0"/>
              <w:jc w:val="center"/>
              <w:rPr>
                <w:rFonts w:hint="eastAsia"/>
                <w:color w:val="0000FF"/>
                <w:lang w:eastAsia="zh-CN"/>
              </w:rPr>
            </w:pPr>
            <w:r>
              <w:rPr>
                <w:color w:val="0000FF"/>
              </w:rPr>
              <w:t>纯水制备浓水</w:t>
            </w:r>
            <w:r>
              <w:rPr>
                <w:rFonts w:hint="eastAsia"/>
                <w:color w:val="0000FF"/>
                <w:lang w:eastAsia="zh-CN"/>
              </w:rPr>
              <w:t>、</w:t>
            </w:r>
          </w:p>
          <w:p>
            <w:pPr>
              <w:pStyle w:val="22"/>
              <w:bidi w:val="0"/>
              <w:jc w:val="center"/>
              <w:rPr>
                <w:color w:val="0000FF"/>
              </w:rPr>
            </w:pPr>
            <w:r>
              <w:rPr>
                <w:color w:val="0000FF"/>
              </w:rPr>
              <w:t>微生物实验室废水</w:t>
            </w:r>
            <w:r>
              <w:rPr>
                <w:rFonts w:hint="eastAsia"/>
                <w:color w:val="0000FF"/>
                <w:lang w:eastAsia="zh-CN"/>
              </w:rPr>
              <w:t>、</w:t>
            </w:r>
            <w:r>
              <w:rPr>
                <w:color w:val="0000FF"/>
              </w:rPr>
              <w:t>理化实验室废水</w:t>
            </w:r>
          </w:p>
        </w:tc>
        <w:tc>
          <w:tcPr>
            <w:tcW w:w="805" w:type="dxa"/>
            <w:tcBorders>
              <w:tl2br w:val="nil"/>
              <w:tr2bl w:val="nil"/>
            </w:tcBorders>
            <w:vAlign w:val="center"/>
          </w:tcPr>
          <w:p>
            <w:pPr>
              <w:pStyle w:val="22"/>
              <w:bidi w:val="0"/>
              <w:jc w:val="center"/>
              <w:rPr>
                <w:color w:val="0000FF"/>
              </w:rPr>
            </w:pPr>
            <w:r>
              <w:rPr>
                <w:color w:val="0000FF"/>
              </w:rPr>
              <w:t>全盐类</w:t>
            </w:r>
            <w:r>
              <w:rPr>
                <w:rFonts w:hint="eastAsia"/>
                <w:color w:val="0000FF"/>
                <w:lang w:eastAsia="zh-CN"/>
              </w:rPr>
              <w:t>、</w:t>
            </w:r>
            <w:r>
              <w:rPr>
                <w:color w:val="0000FF"/>
              </w:rPr>
              <w:t>COD</w:t>
            </w:r>
            <w:r>
              <w:rPr>
                <w:rFonts w:hint="eastAsia"/>
                <w:color w:val="0000FF"/>
                <w:lang w:eastAsia="zh-CN"/>
              </w:rPr>
              <w:t>、</w:t>
            </w:r>
            <w:r>
              <w:rPr>
                <w:color w:val="0000FF"/>
              </w:rPr>
              <w:t>BOD</w:t>
            </w:r>
            <w:r>
              <w:rPr>
                <w:color w:val="0000FF"/>
                <w:vertAlign w:val="subscript"/>
              </w:rPr>
              <w:t>5</w:t>
            </w:r>
          </w:p>
          <w:p>
            <w:pPr>
              <w:pStyle w:val="22"/>
              <w:bidi w:val="0"/>
              <w:jc w:val="center"/>
              <w:rPr>
                <w:color w:val="0000FF"/>
              </w:rPr>
            </w:pPr>
            <w:r>
              <w:rPr>
                <w:color w:val="0000FF"/>
              </w:rPr>
              <w:t>SS</w:t>
            </w:r>
            <w:r>
              <w:rPr>
                <w:rFonts w:hint="eastAsia"/>
                <w:color w:val="0000FF"/>
                <w:lang w:eastAsia="zh-CN"/>
              </w:rPr>
              <w:t>、</w:t>
            </w:r>
            <w:r>
              <w:rPr>
                <w:color w:val="0000FF"/>
              </w:rPr>
              <w:t>NH3-N</w:t>
            </w:r>
          </w:p>
          <w:p>
            <w:pPr>
              <w:pStyle w:val="22"/>
              <w:bidi w:val="0"/>
              <w:jc w:val="center"/>
              <w:rPr>
                <w:color w:val="0000FF"/>
              </w:rPr>
            </w:pPr>
            <w:r>
              <w:rPr>
                <w:color w:val="0000FF"/>
              </w:rPr>
              <w:t>粪大肠菌群</w:t>
            </w:r>
          </w:p>
        </w:tc>
        <w:tc>
          <w:tcPr>
            <w:tcW w:w="1404" w:type="dxa"/>
            <w:gridSpan w:val="2"/>
            <w:tcBorders>
              <w:tl2br w:val="nil"/>
              <w:tr2bl w:val="nil"/>
            </w:tcBorders>
            <w:vAlign w:val="center"/>
          </w:tcPr>
          <w:p>
            <w:pPr>
              <w:pStyle w:val="22"/>
              <w:bidi w:val="0"/>
              <w:jc w:val="center"/>
              <w:rPr>
                <w:rFonts w:hint="eastAsia"/>
                <w:color w:val="0000FF"/>
                <w:lang w:val="en-US" w:eastAsia="zh-CN"/>
              </w:rPr>
            </w:pPr>
            <w:r>
              <w:rPr>
                <w:rFonts w:hint="eastAsia"/>
                <w:color w:val="0000FF"/>
                <w:lang w:val="en-US" w:eastAsia="zh-CN"/>
              </w:rPr>
              <w:t>444</w:t>
            </w:r>
            <w:r>
              <w:rPr>
                <w:color w:val="0000FF"/>
              </w:rPr>
              <w:t>m</w:t>
            </w:r>
            <w:r>
              <w:rPr>
                <w:color w:val="0000FF"/>
                <w:vertAlign w:val="superscript"/>
              </w:rPr>
              <w:t>3</w:t>
            </w:r>
            <w:r>
              <w:rPr>
                <w:color w:val="0000FF"/>
              </w:rPr>
              <w:t>/a</w:t>
            </w:r>
          </w:p>
        </w:tc>
        <w:tc>
          <w:tcPr>
            <w:tcW w:w="2087" w:type="dxa"/>
            <w:vMerge w:val="continue"/>
            <w:tcBorders>
              <w:tl2br w:val="nil"/>
              <w:tr2bl w:val="nil"/>
            </w:tcBorders>
            <w:vAlign w:val="center"/>
          </w:tcPr>
          <w:p>
            <w:pPr>
              <w:pStyle w:val="22"/>
              <w:bidi w:val="0"/>
              <w:jc w:val="center"/>
              <w:rPr>
                <w:color w:val="0000FF"/>
              </w:rPr>
            </w:pPr>
          </w:p>
        </w:tc>
        <w:tc>
          <w:tcPr>
            <w:tcW w:w="1063" w:type="dxa"/>
            <w:tcBorders>
              <w:tl2br w:val="nil"/>
              <w:tr2bl w:val="nil"/>
            </w:tcBorders>
            <w:vAlign w:val="center"/>
          </w:tcPr>
          <w:p>
            <w:pPr>
              <w:pStyle w:val="22"/>
              <w:bidi w:val="0"/>
              <w:jc w:val="center"/>
              <w:rPr>
                <w:color w:val="0000FF"/>
              </w:rPr>
            </w:pPr>
            <w:r>
              <w:rPr>
                <w:rFonts w:hint="eastAsia"/>
                <w:color w:val="0000FF"/>
                <w:lang w:val="en-US" w:eastAsia="zh-CN"/>
              </w:rPr>
              <w:t>444</w:t>
            </w:r>
            <w:r>
              <w:rPr>
                <w:color w:val="0000FF"/>
              </w:rPr>
              <w:t>m</w:t>
            </w:r>
            <w:r>
              <w:rPr>
                <w:color w:val="0000FF"/>
                <w:vertAlign w:val="superscript"/>
              </w:rPr>
              <w:t>3</w:t>
            </w:r>
            <w:r>
              <w:rPr>
                <w:color w:val="0000FF"/>
              </w:rPr>
              <w:t>/a</w:t>
            </w:r>
          </w:p>
        </w:tc>
        <w:tc>
          <w:tcPr>
            <w:tcW w:w="1886" w:type="dxa"/>
            <w:tcBorders>
              <w:tl2br w:val="nil"/>
              <w:tr2bl w:val="nil"/>
            </w:tcBorders>
            <w:vAlign w:val="center"/>
          </w:tcPr>
          <w:p>
            <w:pPr>
              <w:pStyle w:val="22"/>
              <w:bidi w:val="0"/>
              <w:jc w:val="center"/>
              <w:rPr>
                <w:color w:val="0000FF"/>
              </w:rPr>
            </w:pPr>
            <w:r>
              <w:rPr>
                <w:color w:val="0000FF"/>
              </w:rPr>
              <w:t>《医疗机构水污染物排放标准》（GB18466-2005）表2预处理标准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466" w:type="dxa"/>
            <w:tcBorders>
              <w:tl2br w:val="nil"/>
              <w:tr2bl w:val="nil"/>
            </w:tcBorders>
            <w:textDirection w:val="tbRlV"/>
            <w:vAlign w:val="center"/>
          </w:tcPr>
          <w:p>
            <w:pPr>
              <w:pStyle w:val="22"/>
              <w:bidi w:val="0"/>
              <w:jc w:val="center"/>
              <w:rPr>
                <w:color w:val="0000FF"/>
              </w:rPr>
            </w:pPr>
            <w:r>
              <w:rPr>
                <w:color w:val="0000FF"/>
              </w:rPr>
              <w:t>噪声</w:t>
            </w:r>
          </w:p>
        </w:tc>
        <w:tc>
          <w:tcPr>
            <w:tcW w:w="845" w:type="dxa"/>
            <w:tcBorders>
              <w:tl2br w:val="nil"/>
              <w:tr2bl w:val="nil"/>
            </w:tcBorders>
            <w:vAlign w:val="center"/>
          </w:tcPr>
          <w:p>
            <w:pPr>
              <w:pStyle w:val="22"/>
              <w:bidi w:val="0"/>
              <w:jc w:val="center"/>
              <w:rPr>
                <w:color w:val="0000FF"/>
              </w:rPr>
            </w:pPr>
            <w:r>
              <w:rPr>
                <w:color w:val="0000FF"/>
              </w:rPr>
              <w:t>设备</w:t>
            </w:r>
          </w:p>
        </w:tc>
        <w:tc>
          <w:tcPr>
            <w:tcW w:w="805" w:type="dxa"/>
            <w:tcBorders>
              <w:tl2br w:val="nil"/>
              <w:tr2bl w:val="nil"/>
            </w:tcBorders>
            <w:vAlign w:val="center"/>
          </w:tcPr>
          <w:p>
            <w:pPr>
              <w:pStyle w:val="22"/>
              <w:bidi w:val="0"/>
              <w:jc w:val="center"/>
              <w:rPr>
                <w:color w:val="0000FF"/>
              </w:rPr>
            </w:pPr>
            <w:r>
              <w:rPr>
                <w:color w:val="0000FF"/>
              </w:rPr>
              <w:t>噪声</w:t>
            </w:r>
          </w:p>
        </w:tc>
        <w:tc>
          <w:tcPr>
            <w:tcW w:w="1404" w:type="dxa"/>
            <w:gridSpan w:val="2"/>
            <w:tcBorders>
              <w:tl2br w:val="nil"/>
              <w:tr2bl w:val="nil"/>
            </w:tcBorders>
            <w:vAlign w:val="center"/>
          </w:tcPr>
          <w:p>
            <w:pPr>
              <w:pStyle w:val="22"/>
              <w:bidi w:val="0"/>
              <w:jc w:val="center"/>
              <w:rPr>
                <w:color w:val="0000FF"/>
              </w:rPr>
            </w:pPr>
            <w:r>
              <w:rPr>
                <w:color w:val="0000FF"/>
              </w:rPr>
              <w:t>/</w:t>
            </w:r>
          </w:p>
        </w:tc>
        <w:tc>
          <w:tcPr>
            <w:tcW w:w="2087" w:type="dxa"/>
            <w:tcBorders>
              <w:tl2br w:val="nil"/>
              <w:tr2bl w:val="nil"/>
            </w:tcBorders>
            <w:vAlign w:val="center"/>
          </w:tcPr>
          <w:p>
            <w:pPr>
              <w:pStyle w:val="22"/>
              <w:bidi w:val="0"/>
              <w:jc w:val="center"/>
              <w:rPr>
                <w:color w:val="0000FF"/>
              </w:rPr>
            </w:pPr>
            <w:r>
              <w:rPr>
                <w:color w:val="0000FF"/>
              </w:rPr>
              <w:t>基础减振</w:t>
            </w:r>
          </w:p>
        </w:tc>
        <w:tc>
          <w:tcPr>
            <w:tcW w:w="1063" w:type="dxa"/>
            <w:tcBorders>
              <w:tl2br w:val="nil"/>
              <w:tr2bl w:val="nil"/>
            </w:tcBorders>
            <w:vAlign w:val="center"/>
          </w:tcPr>
          <w:p>
            <w:pPr>
              <w:pStyle w:val="22"/>
              <w:bidi w:val="0"/>
              <w:jc w:val="center"/>
              <w:rPr>
                <w:color w:val="0000FF"/>
              </w:rPr>
            </w:pPr>
            <w:r>
              <w:rPr>
                <w:color w:val="0000FF"/>
              </w:rPr>
              <w:t>/</w:t>
            </w:r>
          </w:p>
        </w:tc>
        <w:tc>
          <w:tcPr>
            <w:tcW w:w="1886" w:type="dxa"/>
            <w:tcBorders>
              <w:tl2br w:val="nil"/>
              <w:tr2bl w:val="nil"/>
            </w:tcBorders>
            <w:vAlign w:val="center"/>
          </w:tcPr>
          <w:p>
            <w:pPr>
              <w:pStyle w:val="22"/>
              <w:bidi w:val="0"/>
              <w:jc w:val="center"/>
              <w:rPr>
                <w:color w:val="0000FF"/>
              </w:rPr>
            </w:pPr>
            <w:r>
              <w:rPr>
                <w:color w:val="0000FF"/>
              </w:rPr>
              <w:t>《工业企业厂界环境噪声排放标准》（GB12348-2008）1类标准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466" w:type="dxa"/>
            <w:vMerge w:val="restart"/>
            <w:tcBorders>
              <w:tl2br w:val="nil"/>
              <w:tr2bl w:val="nil"/>
            </w:tcBorders>
            <w:textDirection w:val="tbRlV"/>
            <w:vAlign w:val="center"/>
          </w:tcPr>
          <w:p>
            <w:pPr>
              <w:pStyle w:val="22"/>
              <w:bidi w:val="0"/>
              <w:jc w:val="center"/>
              <w:rPr>
                <w:color w:val="0000FF"/>
              </w:rPr>
            </w:pPr>
            <w:r>
              <w:rPr>
                <w:color w:val="0000FF"/>
              </w:rPr>
              <w:t>固废</w:t>
            </w:r>
          </w:p>
        </w:tc>
        <w:tc>
          <w:tcPr>
            <w:tcW w:w="845" w:type="dxa"/>
            <w:tcBorders>
              <w:tl2br w:val="nil"/>
              <w:tr2bl w:val="nil"/>
            </w:tcBorders>
            <w:vAlign w:val="center"/>
          </w:tcPr>
          <w:p>
            <w:pPr>
              <w:pStyle w:val="22"/>
              <w:bidi w:val="0"/>
              <w:jc w:val="center"/>
              <w:rPr>
                <w:color w:val="0000FF"/>
              </w:rPr>
            </w:pPr>
            <w:r>
              <w:rPr>
                <w:color w:val="0000FF"/>
              </w:rPr>
              <w:t>生活</w:t>
            </w:r>
          </w:p>
          <w:p>
            <w:pPr>
              <w:pStyle w:val="22"/>
              <w:bidi w:val="0"/>
              <w:jc w:val="center"/>
              <w:rPr>
                <w:color w:val="0000FF"/>
              </w:rPr>
            </w:pPr>
            <w:r>
              <w:rPr>
                <w:color w:val="0000FF"/>
              </w:rPr>
              <w:t>区</w:t>
            </w:r>
          </w:p>
        </w:tc>
        <w:tc>
          <w:tcPr>
            <w:tcW w:w="805" w:type="dxa"/>
            <w:tcBorders>
              <w:tl2br w:val="nil"/>
              <w:tr2bl w:val="nil"/>
            </w:tcBorders>
            <w:vAlign w:val="center"/>
          </w:tcPr>
          <w:p>
            <w:pPr>
              <w:pStyle w:val="22"/>
              <w:bidi w:val="0"/>
              <w:jc w:val="center"/>
              <w:rPr>
                <w:color w:val="0000FF"/>
              </w:rPr>
            </w:pPr>
            <w:r>
              <w:rPr>
                <w:color w:val="0000FF"/>
              </w:rPr>
              <w:t>生活垃圾</w:t>
            </w:r>
          </w:p>
        </w:tc>
        <w:tc>
          <w:tcPr>
            <w:tcW w:w="1404" w:type="dxa"/>
            <w:gridSpan w:val="2"/>
            <w:tcBorders>
              <w:tl2br w:val="nil"/>
              <w:tr2bl w:val="nil"/>
            </w:tcBorders>
            <w:vAlign w:val="center"/>
          </w:tcPr>
          <w:p>
            <w:pPr>
              <w:pStyle w:val="22"/>
              <w:bidi w:val="0"/>
              <w:jc w:val="center"/>
              <w:rPr>
                <w:color w:val="0000FF"/>
              </w:rPr>
            </w:pPr>
            <w:r>
              <w:rPr>
                <w:rFonts w:hint="eastAsia"/>
                <w:color w:val="0000FF"/>
                <w:lang w:val="en-US" w:eastAsia="zh-CN"/>
              </w:rPr>
              <w:t>1</w:t>
            </w:r>
            <w:r>
              <w:rPr>
                <w:color w:val="0000FF"/>
              </w:rPr>
              <w:t>t/a</w:t>
            </w:r>
          </w:p>
        </w:tc>
        <w:tc>
          <w:tcPr>
            <w:tcW w:w="2087" w:type="dxa"/>
            <w:tcBorders>
              <w:tl2br w:val="nil"/>
              <w:tr2bl w:val="nil"/>
            </w:tcBorders>
            <w:vAlign w:val="center"/>
          </w:tcPr>
          <w:p>
            <w:pPr>
              <w:pStyle w:val="22"/>
              <w:bidi w:val="0"/>
              <w:jc w:val="center"/>
              <w:rPr>
                <w:color w:val="0000FF"/>
              </w:rPr>
            </w:pPr>
            <w:r>
              <w:rPr>
                <w:color w:val="0000FF"/>
              </w:rPr>
              <w:t>由市政环卫部门统一收集后送至垃圾填埋场处理</w:t>
            </w:r>
          </w:p>
        </w:tc>
        <w:tc>
          <w:tcPr>
            <w:tcW w:w="1063" w:type="dxa"/>
            <w:tcBorders>
              <w:tl2br w:val="nil"/>
              <w:tr2bl w:val="nil"/>
            </w:tcBorders>
            <w:vAlign w:val="center"/>
          </w:tcPr>
          <w:p>
            <w:pPr>
              <w:pStyle w:val="22"/>
              <w:bidi w:val="0"/>
              <w:jc w:val="center"/>
              <w:rPr>
                <w:color w:val="0000FF"/>
              </w:rPr>
            </w:pPr>
            <w:r>
              <w:rPr>
                <w:rFonts w:hint="eastAsia"/>
                <w:color w:val="0000FF"/>
                <w:lang w:val="en-US" w:eastAsia="zh-CN"/>
              </w:rPr>
              <w:t>1</w:t>
            </w:r>
            <w:r>
              <w:rPr>
                <w:color w:val="0000FF"/>
              </w:rPr>
              <w:t>t/a</w:t>
            </w:r>
          </w:p>
        </w:tc>
        <w:tc>
          <w:tcPr>
            <w:tcW w:w="1886" w:type="dxa"/>
            <w:tcBorders>
              <w:tl2br w:val="nil"/>
              <w:tr2bl w:val="nil"/>
            </w:tcBorders>
            <w:vAlign w:val="center"/>
          </w:tcPr>
          <w:p>
            <w:pPr>
              <w:pStyle w:val="22"/>
              <w:bidi w:val="0"/>
              <w:jc w:val="center"/>
              <w:rPr>
                <w:color w:val="0000FF"/>
              </w:rPr>
            </w:pPr>
            <w:r>
              <w:rPr>
                <w:color w:val="0000FF"/>
              </w:rPr>
              <w:t>合理处置率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2" w:hRule="atLeast"/>
        </w:trPr>
        <w:tc>
          <w:tcPr>
            <w:tcW w:w="466" w:type="dxa"/>
            <w:vMerge w:val="continue"/>
            <w:tcBorders>
              <w:tl2br w:val="nil"/>
              <w:tr2bl w:val="nil"/>
            </w:tcBorders>
            <w:textDirection w:val="tbRlV"/>
            <w:vAlign w:val="center"/>
          </w:tcPr>
          <w:p>
            <w:pPr>
              <w:pStyle w:val="22"/>
              <w:bidi w:val="0"/>
              <w:jc w:val="center"/>
              <w:rPr>
                <w:color w:val="0000FF"/>
              </w:rPr>
            </w:pPr>
          </w:p>
        </w:tc>
        <w:tc>
          <w:tcPr>
            <w:tcW w:w="845" w:type="dxa"/>
            <w:vMerge w:val="restart"/>
            <w:tcBorders>
              <w:tl2br w:val="nil"/>
              <w:tr2bl w:val="nil"/>
            </w:tcBorders>
            <w:vAlign w:val="center"/>
          </w:tcPr>
          <w:p>
            <w:pPr>
              <w:pStyle w:val="22"/>
              <w:bidi w:val="0"/>
              <w:jc w:val="center"/>
              <w:rPr>
                <w:color w:val="0000FF"/>
              </w:rPr>
            </w:pPr>
            <w:r>
              <w:rPr>
                <w:color w:val="0000FF"/>
              </w:rPr>
              <w:t>生产</w:t>
            </w:r>
          </w:p>
          <w:p>
            <w:pPr>
              <w:pStyle w:val="22"/>
              <w:bidi w:val="0"/>
              <w:jc w:val="center"/>
              <w:rPr>
                <w:color w:val="0000FF"/>
              </w:rPr>
            </w:pPr>
            <w:r>
              <w:rPr>
                <w:color w:val="0000FF"/>
              </w:rPr>
              <w:t>区</w:t>
            </w:r>
          </w:p>
        </w:tc>
        <w:tc>
          <w:tcPr>
            <w:tcW w:w="805" w:type="dxa"/>
            <w:tcBorders>
              <w:tl2br w:val="nil"/>
              <w:tr2bl w:val="nil"/>
            </w:tcBorders>
            <w:vAlign w:val="center"/>
          </w:tcPr>
          <w:p>
            <w:pPr>
              <w:pStyle w:val="22"/>
              <w:bidi w:val="0"/>
              <w:jc w:val="center"/>
              <w:rPr>
                <w:rFonts w:hint="eastAsia"/>
                <w:color w:val="0000FF"/>
                <w:lang w:val="en-US" w:eastAsia="zh-CN"/>
              </w:rPr>
            </w:pPr>
            <w:r>
              <w:rPr>
                <w:color w:val="0000FF"/>
              </w:rPr>
              <w:t>医疗废</w:t>
            </w:r>
            <w:r>
              <w:rPr>
                <w:rFonts w:hint="eastAsia"/>
                <w:color w:val="0000FF"/>
                <w:lang w:val="en-US" w:eastAsia="zh-CN"/>
              </w:rPr>
              <w:t>物</w:t>
            </w:r>
          </w:p>
        </w:tc>
        <w:tc>
          <w:tcPr>
            <w:tcW w:w="1404" w:type="dxa"/>
            <w:gridSpan w:val="2"/>
            <w:tcBorders>
              <w:tl2br w:val="nil"/>
              <w:tr2bl w:val="nil"/>
            </w:tcBorders>
            <w:vAlign w:val="center"/>
          </w:tcPr>
          <w:p>
            <w:pPr>
              <w:pStyle w:val="22"/>
              <w:bidi w:val="0"/>
              <w:jc w:val="center"/>
              <w:rPr>
                <w:color w:val="0000FF"/>
              </w:rPr>
            </w:pPr>
            <w:r>
              <w:rPr>
                <w:rFonts w:hint="eastAsia"/>
                <w:color w:val="0000FF"/>
                <w:lang w:val="en-US" w:eastAsia="zh-CN"/>
              </w:rPr>
              <w:t>0.85</w:t>
            </w:r>
            <w:r>
              <w:rPr>
                <w:color w:val="0000FF"/>
              </w:rPr>
              <w:t>t/a</w:t>
            </w:r>
          </w:p>
        </w:tc>
        <w:tc>
          <w:tcPr>
            <w:tcW w:w="2087" w:type="dxa"/>
            <w:vMerge w:val="restart"/>
            <w:tcBorders>
              <w:tl2br w:val="nil"/>
              <w:tr2bl w:val="nil"/>
            </w:tcBorders>
            <w:vAlign w:val="center"/>
          </w:tcPr>
          <w:p>
            <w:pPr>
              <w:pStyle w:val="22"/>
              <w:bidi w:val="0"/>
              <w:jc w:val="center"/>
              <w:rPr>
                <w:color w:val="0000FF"/>
              </w:rPr>
            </w:pPr>
            <w:r>
              <w:rPr>
                <w:color w:val="0000FF"/>
              </w:rPr>
              <w:t>密闭容器收集，暂存于医疗废物暂存间，定期交由有资质的单位进行处置；污泥清掏前委托有资质的单位进行污泥监测，达到《医疗机构水污染物排放标准》（GB18466-2005）表4医疗机构污泥控制标准后再进行清掏，清掏出的污泥交由有资质的单位进行处置。</w:t>
            </w:r>
          </w:p>
        </w:tc>
        <w:tc>
          <w:tcPr>
            <w:tcW w:w="1063" w:type="dxa"/>
            <w:tcBorders>
              <w:tl2br w:val="nil"/>
              <w:tr2bl w:val="nil"/>
            </w:tcBorders>
            <w:vAlign w:val="center"/>
          </w:tcPr>
          <w:p>
            <w:pPr>
              <w:pStyle w:val="22"/>
              <w:bidi w:val="0"/>
              <w:jc w:val="center"/>
              <w:rPr>
                <w:color w:val="0000FF"/>
              </w:rPr>
            </w:pPr>
            <w:r>
              <w:rPr>
                <w:rFonts w:hint="eastAsia"/>
                <w:color w:val="0000FF"/>
                <w:lang w:val="en-US" w:eastAsia="zh-CN"/>
              </w:rPr>
              <w:t>0.85</w:t>
            </w:r>
            <w:r>
              <w:rPr>
                <w:color w:val="0000FF"/>
              </w:rPr>
              <w:t>t/a</w:t>
            </w:r>
          </w:p>
        </w:tc>
        <w:tc>
          <w:tcPr>
            <w:tcW w:w="1886" w:type="dxa"/>
            <w:vMerge w:val="restart"/>
            <w:tcBorders>
              <w:tl2br w:val="nil"/>
              <w:tr2bl w:val="nil"/>
            </w:tcBorders>
            <w:vAlign w:val="center"/>
          </w:tcPr>
          <w:p>
            <w:pPr>
              <w:pStyle w:val="22"/>
              <w:bidi w:val="0"/>
              <w:jc w:val="center"/>
              <w:rPr>
                <w:color w:val="0000FF"/>
              </w:rPr>
            </w:pPr>
            <w:r>
              <w:rPr>
                <w:color w:val="0000FF"/>
              </w:rPr>
              <w:t>满足《危险废物贮存污染控制标准》</w:t>
            </w:r>
          </w:p>
          <w:p>
            <w:pPr>
              <w:pStyle w:val="22"/>
              <w:bidi w:val="0"/>
              <w:jc w:val="center"/>
              <w:rPr>
                <w:color w:val="0000FF"/>
              </w:rPr>
            </w:pPr>
            <w:r>
              <w:rPr>
                <w:color w:val="0000FF"/>
              </w:rPr>
              <w:t>（GB18597-2001）</w:t>
            </w:r>
          </w:p>
          <w:p>
            <w:pPr>
              <w:pStyle w:val="22"/>
              <w:bidi w:val="0"/>
              <w:jc w:val="center"/>
              <w:rPr>
                <w:color w:val="0000FF"/>
              </w:rPr>
            </w:pPr>
            <w:r>
              <w:rPr>
                <w:color w:val="0000FF"/>
              </w:rPr>
              <w:t>中危险废物贮存要求；满足《医疗机构水污染排放标准》（GB18466-2005）中医疗机构污泥控制标准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466" w:type="dxa"/>
            <w:vMerge w:val="continue"/>
            <w:tcBorders>
              <w:tl2br w:val="nil"/>
              <w:tr2bl w:val="nil"/>
            </w:tcBorders>
            <w:textDirection w:val="tbRlV"/>
            <w:vAlign w:val="center"/>
          </w:tcPr>
          <w:p>
            <w:pPr>
              <w:pStyle w:val="22"/>
              <w:bidi w:val="0"/>
              <w:jc w:val="center"/>
              <w:rPr>
                <w:color w:val="0000FF"/>
              </w:rPr>
            </w:pPr>
          </w:p>
        </w:tc>
        <w:tc>
          <w:tcPr>
            <w:tcW w:w="845" w:type="dxa"/>
            <w:vMerge w:val="continue"/>
            <w:tcBorders>
              <w:tl2br w:val="nil"/>
              <w:tr2bl w:val="nil"/>
            </w:tcBorders>
            <w:vAlign w:val="center"/>
          </w:tcPr>
          <w:p>
            <w:pPr>
              <w:pStyle w:val="22"/>
              <w:bidi w:val="0"/>
              <w:jc w:val="center"/>
              <w:rPr>
                <w:color w:val="0000FF"/>
              </w:rPr>
            </w:pPr>
          </w:p>
        </w:tc>
        <w:tc>
          <w:tcPr>
            <w:tcW w:w="805" w:type="dxa"/>
            <w:tcBorders>
              <w:tl2br w:val="nil"/>
              <w:tr2bl w:val="nil"/>
            </w:tcBorders>
            <w:vAlign w:val="center"/>
          </w:tcPr>
          <w:p>
            <w:pPr>
              <w:pStyle w:val="22"/>
              <w:bidi w:val="0"/>
              <w:jc w:val="center"/>
              <w:rPr>
                <w:color w:val="0000FF"/>
              </w:rPr>
            </w:pPr>
            <w:r>
              <w:rPr>
                <w:color w:val="0000FF"/>
              </w:rPr>
              <w:t>栅渣、污泥</w:t>
            </w:r>
          </w:p>
        </w:tc>
        <w:tc>
          <w:tcPr>
            <w:tcW w:w="1404" w:type="dxa"/>
            <w:gridSpan w:val="2"/>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3</w:t>
            </w:r>
            <w:r>
              <w:rPr>
                <w:color w:val="0000FF"/>
              </w:rPr>
              <w:t>t/a</w:t>
            </w:r>
          </w:p>
        </w:tc>
        <w:tc>
          <w:tcPr>
            <w:tcW w:w="2087" w:type="dxa"/>
            <w:vMerge w:val="continue"/>
            <w:tcBorders>
              <w:tl2br w:val="nil"/>
              <w:tr2bl w:val="nil"/>
            </w:tcBorders>
            <w:vAlign w:val="center"/>
          </w:tcPr>
          <w:p>
            <w:pPr>
              <w:pStyle w:val="22"/>
              <w:bidi w:val="0"/>
              <w:jc w:val="center"/>
              <w:rPr>
                <w:color w:val="0000FF"/>
              </w:rPr>
            </w:pPr>
          </w:p>
        </w:tc>
        <w:tc>
          <w:tcPr>
            <w:tcW w:w="1063" w:type="dxa"/>
            <w:tcBorders>
              <w:tl2br w:val="nil"/>
              <w:tr2bl w:val="nil"/>
            </w:tcBorders>
            <w:vAlign w:val="center"/>
          </w:tcPr>
          <w:p>
            <w:pPr>
              <w:pStyle w:val="22"/>
              <w:bidi w:val="0"/>
              <w:jc w:val="center"/>
              <w:rPr>
                <w:color w:val="0000FF"/>
              </w:rPr>
            </w:pPr>
          </w:p>
          <w:p>
            <w:pPr>
              <w:pStyle w:val="22"/>
              <w:bidi w:val="0"/>
              <w:jc w:val="center"/>
              <w:rPr>
                <w:color w:val="0000FF"/>
              </w:rPr>
            </w:pPr>
          </w:p>
          <w:p>
            <w:pPr>
              <w:pStyle w:val="22"/>
              <w:bidi w:val="0"/>
              <w:jc w:val="center"/>
              <w:rPr>
                <w:color w:val="0000FF"/>
              </w:rPr>
            </w:pPr>
            <w:r>
              <w:rPr>
                <w:color w:val="0000FF"/>
              </w:rPr>
              <w:t>0.</w:t>
            </w:r>
            <w:r>
              <w:rPr>
                <w:rFonts w:hint="eastAsia"/>
                <w:color w:val="0000FF"/>
                <w:lang w:val="en-US" w:eastAsia="zh-CN"/>
              </w:rPr>
              <w:t>3</w:t>
            </w:r>
            <w:r>
              <w:rPr>
                <w:color w:val="0000FF"/>
              </w:rPr>
              <w:t>t/a</w:t>
            </w:r>
          </w:p>
        </w:tc>
        <w:tc>
          <w:tcPr>
            <w:tcW w:w="1886"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466" w:type="dxa"/>
            <w:vMerge w:val="continue"/>
            <w:tcBorders>
              <w:tl2br w:val="nil"/>
              <w:tr2bl w:val="nil"/>
            </w:tcBorders>
            <w:textDirection w:val="tbRlV"/>
            <w:vAlign w:val="center"/>
          </w:tcPr>
          <w:p>
            <w:pPr>
              <w:pStyle w:val="22"/>
              <w:bidi w:val="0"/>
              <w:jc w:val="center"/>
              <w:rPr>
                <w:color w:val="0000FF"/>
              </w:rPr>
            </w:pPr>
          </w:p>
        </w:tc>
        <w:tc>
          <w:tcPr>
            <w:tcW w:w="845" w:type="dxa"/>
            <w:vMerge w:val="continue"/>
            <w:tcBorders>
              <w:tl2br w:val="nil"/>
              <w:tr2bl w:val="nil"/>
            </w:tcBorders>
            <w:vAlign w:val="center"/>
          </w:tcPr>
          <w:p>
            <w:pPr>
              <w:pStyle w:val="22"/>
              <w:bidi w:val="0"/>
              <w:jc w:val="center"/>
              <w:rPr>
                <w:color w:val="0000FF"/>
              </w:rPr>
            </w:pPr>
          </w:p>
        </w:tc>
        <w:tc>
          <w:tcPr>
            <w:tcW w:w="805" w:type="dxa"/>
            <w:tcBorders>
              <w:tl2br w:val="nil"/>
              <w:tr2bl w:val="nil"/>
            </w:tcBorders>
            <w:vAlign w:val="center"/>
          </w:tcPr>
          <w:p>
            <w:pPr>
              <w:pStyle w:val="22"/>
              <w:bidi w:val="0"/>
              <w:jc w:val="center"/>
              <w:rPr>
                <w:color w:val="0000FF"/>
              </w:rPr>
            </w:pPr>
            <w:r>
              <w:rPr>
                <w:color w:val="0000FF"/>
              </w:rPr>
              <w:t>废活性炭</w:t>
            </w:r>
          </w:p>
        </w:tc>
        <w:tc>
          <w:tcPr>
            <w:tcW w:w="1404" w:type="dxa"/>
            <w:gridSpan w:val="2"/>
            <w:tcBorders>
              <w:tl2br w:val="nil"/>
              <w:tr2bl w:val="nil"/>
            </w:tcBorders>
            <w:vAlign w:val="center"/>
          </w:tcPr>
          <w:p>
            <w:pPr>
              <w:pStyle w:val="22"/>
              <w:bidi w:val="0"/>
              <w:jc w:val="center"/>
              <w:rPr>
                <w:color w:val="0000FF"/>
              </w:rPr>
            </w:pPr>
            <w:r>
              <w:rPr>
                <w:color w:val="0000FF"/>
              </w:rPr>
              <w:t>0</w:t>
            </w:r>
            <w:r>
              <w:rPr>
                <w:rFonts w:hint="eastAsia"/>
                <w:color w:val="0000FF"/>
                <w:lang w:val="en-US" w:eastAsia="zh-CN"/>
              </w:rPr>
              <w:t>.01</w:t>
            </w:r>
            <w:r>
              <w:rPr>
                <w:color w:val="0000FF"/>
              </w:rPr>
              <w:t>t/a</w:t>
            </w:r>
          </w:p>
        </w:tc>
        <w:tc>
          <w:tcPr>
            <w:tcW w:w="2087" w:type="dxa"/>
            <w:vMerge w:val="continue"/>
            <w:tcBorders>
              <w:tl2br w:val="nil"/>
              <w:tr2bl w:val="nil"/>
            </w:tcBorders>
            <w:vAlign w:val="center"/>
          </w:tcPr>
          <w:p>
            <w:pPr>
              <w:pStyle w:val="22"/>
              <w:bidi w:val="0"/>
              <w:jc w:val="center"/>
              <w:rPr>
                <w:color w:val="0000FF"/>
              </w:rPr>
            </w:pPr>
          </w:p>
        </w:tc>
        <w:tc>
          <w:tcPr>
            <w:tcW w:w="1063" w:type="dxa"/>
            <w:tcBorders>
              <w:tl2br w:val="nil"/>
              <w:tr2bl w:val="nil"/>
            </w:tcBorders>
            <w:vAlign w:val="center"/>
          </w:tcPr>
          <w:p>
            <w:pPr>
              <w:pStyle w:val="22"/>
              <w:bidi w:val="0"/>
              <w:jc w:val="center"/>
              <w:rPr>
                <w:rFonts w:hint="default"/>
                <w:color w:val="0000FF"/>
                <w:lang w:val="en-US" w:eastAsia="zh-CN"/>
              </w:rPr>
            </w:pPr>
            <w:r>
              <w:rPr>
                <w:rFonts w:hint="eastAsia"/>
                <w:color w:val="0000FF"/>
                <w:lang w:val="en-US" w:eastAsia="zh-CN"/>
              </w:rPr>
              <w:t>0.01</w:t>
            </w:r>
            <w:r>
              <w:rPr>
                <w:color w:val="0000FF"/>
              </w:rPr>
              <w:t>t/a</w:t>
            </w:r>
          </w:p>
        </w:tc>
        <w:tc>
          <w:tcPr>
            <w:tcW w:w="1886" w:type="dxa"/>
            <w:vMerge w:val="continue"/>
            <w:tcBorders>
              <w:tl2br w:val="nil"/>
              <w:tr2bl w:val="nil"/>
            </w:tcBorders>
            <w:vAlign w:val="center"/>
          </w:tcPr>
          <w:p>
            <w:pPr>
              <w:pStyle w:val="22"/>
              <w:bidi w:val="0"/>
              <w:jc w:val="center"/>
              <w:rPr>
                <w:color w:val="0000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66" w:type="dxa"/>
            <w:vMerge w:val="continue"/>
            <w:tcBorders>
              <w:tl2br w:val="nil"/>
              <w:tr2bl w:val="nil"/>
            </w:tcBorders>
            <w:textDirection w:val="tbRlV"/>
            <w:vAlign w:val="center"/>
          </w:tcPr>
          <w:p>
            <w:pPr>
              <w:pStyle w:val="22"/>
              <w:bidi w:val="0"/>
              <w:jc w:val="center"/>
              <w:rPr>
                <w:color w:val="0000FF"/>
              </w:rPr>
            </w:pPr>
          </w:p>
        </w:tc>
        <w:tc>
          <w:tcPr>
            <w:tcW w:w="845" w:type="dxa"/>
            <w:vMerge w:val="continue"/>
            <w:tcBorders>
              <w:tl2br w:val="nil"/>
              <w:tr2bl w:val="nil"/>
            </w:tcBorders>
            <w:vAlign w:val="center"/>
          </w:tcPr>
          <w:p>
            <w:pPr>
              <w:pStyle w:val="22"/>
              <w:bidi w:val="0"/>
              <w:jc w:val="center"/>
              <w:rPr>
                <w:color w:val="0000FF"/>
              </w:rPr>
            </w:pPr>
          </w:p>
        </w:tc>
        <w:tc>
          <w:tcPr>
            <w:tcW w:w="805" w:type="dxa"/>
            <w:tcBorders>
              <w:tl2br w:val="nil"/>
              <w:tr2bl w:val="nil"/>
            </w:tcBorders>
            <w:vAlign w:val="center"/>
          </w:tcPr>
          <w:p>
            <w:pPr>
              <w:pStyle w:val="22"/>
              <w:bidi w:val="0"/>
              <w:jc w:val="center"/>
              <w:rPr>
                <w:color w:val="0000FF"/>
              </w:rPr>
            </w:pPr>
            <w:r>
              <w:rPr>
                <w:color w:val="0000FF"/>
              </w:rPr>
              <w:t>废离子树脂</w:t>
            </w:r>
          </w:p>
        </w:tc>
        <w:tc>
          <w:tcPr>
            <w:tcW w:w="1404" w:type="dxa"/>
            <w:gridSpan w:val="2"/>
            <w:tcBorders>
              <w:tl2br w:val="nil"/>
              <w:tr2bl w:val="nil"/>
            </w:tcBorders>
            <w:vAlign w:val="center"/>
          </w:tcPr>
          <w:p>
            <w:pPr>
              <w:pStyle w:val="22"/>
              <w:bidi w:val="0"/>
              <w:jc w:val="center"/>
              <w:rPr>
                <w:color w:val="0000FF"/>
              </w:rPr>
            </w:pPr>
            <w:r>
              <w:rPr>
                <w:color w:val="0000FF"/>
              </w:rPr>
              <w:t>0.00</w:t>
            </w:r>
            <w:r>
              <w:rPr>
                <w:rFonts w:hint="eastAsia"/>
                <w:color w:val="0000FF"/>
                <w:lang w:val="en-US" w:eastAsia="zh-CN"/>
              </w:rPr>
              <w:t>3</w:t>
            </w:r>
            <w:r>
              <w:rPr>
                <w:color w:val="0000FF"/>
              </w:rPr>
              <w:t>t/a</w:t>
            </w:r>
          </w:p>
        </w:tc>
        <w:tc>
          <w:tcPr>
            <w:tcW w:w="2087" w:type="dxa"/>
            <w:tcBorders>
              <w:tl2br w:val="nil"/>
              <w:tr2bl w:val="nil"/>
            </w:tcBorders>
            <w:vAlign w:val="center"/>
          </w:tcPr>
          <w:p>
            <w:pPr>
              <w:pStyle w:val="22"/>
              <w:bidi w:val="0"/>
              <w:jc w:val="center"/>
              <w:rPr>
                <w:color w:val="0000FF"/>
              </w:rPr>
            </w:pPr>
            <w:r>
              <w:rPr>
                <w:color w:val="0000FF"/>
              </w:rPr>
              <w:t>经收集后由专门厂家回收</w:t>
            </w:r>
          </w:p>
        </w:tc>
        <w:tc>
          <w:tcPr>
            <w:tcW w:w="1063" w:type="dxa"/>
            <w:tcBorders>
              <w:tl2br w:val="nil"/>
              <w:tr2bl w:val="nil"/>
            </w:tcBorders>
            <w:vAlign w:val="center"/>
          </w:tcPr>
          <w:p>
            <w:pPr>
              <w:pStyle w:val="22"/>
              <w:bidi w:val="0"/>
              <w:jc w:val="center"/>
              <w:rPr>
                <w:color w:val="0000FF"/>
              </w:rPr>
            </w:pPr>
            <w:r>
              <w:rPr>
                <w:color w:val="0000FF"/>
              </w:rPr>
              <w:t>0.004t/a</w:t>
            </w:r>
          </w:p>
        </w:tc>
        <w:tc>
          <w:tcPr>
            <w:tcW w:w="1886" w:type="dxa"/>
            <w:vMerge w:val="continue"/>
            <w:tcBorders>
              <w:tl2br w:val="nil"/>
              <w:tr2bl w:val="nil"/>
            </w:tcBorders>
            <w:vAlign w:val="center"/>
          </w:tcPr>
          <w:p>
            <w:pPr>
              <w:pStyle w:val="22"/>
              <w:bidi w:val="0"/>
              <w:jc w:val="center"/>
              <w:rPr>
                <w:color w:val="0000FF"/>
              </w:rPr>
            </w:pPr>
          </w:p>
        </w:tc>
      </w:tr>
    </w:tbl>
    <w:p>
      <w:pPr>
        <w:pStyle w:val="5"/>
        <w:bidi w:val="0"/>
        <w:rPr>
          <w:color w:val="0000FF"/>
        </w:rPr>
      </w:pPr>
      <w:bookmarkStart w:id="132" w:name="_Toc23631"/>
      <w:r>
        <w:rPr>
          <w:color w:val="0000FF"/>
        </w:rPr>
        <w:t>8.2环境监测计划</w:t>
      </w:r>
      <w:bookmarkEnd w:id="132"/>
    </w:p>
    <w:p>
      <w:pPr>
        <w:pStyle w:val="6"/>
        <w:bidi w:val="0"/>
        <w:rPr>
          <w:color w:val="0000FF"/>
        </w:rPr>
      </w:pPr>
      <w:bookmarkStart w:id="133" w:name="_Toc8600"/>
      <w:r>
        <w:rPr>
          <w:color w:val="0000FF"/>
        </w:rPr>
        <w:t>8.2.1环境监测目的</w:t>
      </w:r>
      <w:bookmarkEnd w:id="133"/>
    </w:p>
    <w:p>
      <w:pPr>
        <w:bidi w:val="0"/>
        <w:rPr>
          <w:color w:val="0000FF"/>
        </w:rPr>
      </w:pPr>
      <w:r>
        <w:rPr>
          <w:color w:val="0000FF"/>
        </w:rPr>
        <w:t>环境监测目的是通过对污染源监测和周围环境的监测，及时准确掌握污染状况，了解污染程度和范围，分析变化趋势和规律，为加强环境管理，实施清洁生产提供可靠的技术依据。按照环境监测技术的规范要求，在排气筒上设置废气监测孔，定时对废气排放口和场界无组织排放监测点进行监测，以确保外排废气达到规定的排放标准要求。</w:t>
      </w:r>
    </w:p>
    <w:p>
      <w:pPr>
        <w:pStyle w:val="6"/>
        <w:bidi w:val="0"/>
        <w:rPr>
          <w:color w:val="0000FF"/>
        </w:rPr>
      </w:pPr>
      <w:bookmarkStart w:id="134" w:name="_Toc5151"/>
      <w:r>
        <w:rPr>
          <w:color w:val="0000FF"/>
        </w:rPr>
        <w:t>8.2.2环境监测计划</w:t>
      </w:r>
      <w:bookmarkEnd w:id="134"/>
    </w:p>
    <w:p>
      <w:pPr>
        <w:bidi w:val="0"/>
        <w:rPr>
          <w:color w:val="0000FF"/>
        </w:rPr>
      </w:pPr>
      <w:r>
        <w:rPr>
          <w:color w:val="0000FF"/>
        </w:rPr>
        <w:t>根据项目的特点，本工程环境监测主要是对疾控中心的环境质量进行定期监测，并对监测数据进行统计、分析，以便环境管理部门及时、准确地掌握本工程的污染动态和区域环境质量变化情况。环境监测工作的重点是对项目运营期的污染源进行监测，其监测的具体内容、目的和频率如下：</w:t>
      </w:r>
    </w:p>
    <w:p>
      <w:pPr>
        <w:bidi w:val="0"/>
        <w:rPr>
          <w:color w:val="0000FF"/>
        </w:rPr>
      </w:pPr>
      <w:r>
        <w:rPr>
          <w:color w:val="0000FF"/>
        </w:rPr>
        <w:t>（1）噪声</w:t>
      </w:r>
    </w:p>
    <w:p>
      <w:pPr>
        <w:bidi w:val="0"/>
        <w:rPr>
          <w:color w:val="0000FF"/>
        </w:rPr>
      </w:pPr>
      <w:r>
        <w:rPr>
          <w:color w:val="0000FF"/>
        </w:rPr>
        <w:t>委托具有相关资质的单位对疾控中心的场界噪声进行监测。监测项目：场界噪声</w:t>
      </w:r>
      <w:r>
        <w:rPr>
          <w:rFonts w:hint="eastAsia"/>
          <w:color w:val="0000FF"/>
          <w:lang w:eastAsia="zh-CN"/>
        </w:rPr>
        <w:t>的</w:t>
      </w:r>
      <w:r>
        <w:rPr>
          <w:color w:val="0000FF"/>
        </w:rPr>
        <w:t>等效连续A声级</w:t>
      </w:r>
    </w:p>
    <w:p>
      <w:pPr>
        <w:bidi w:val="0"/>
        <w:rPr>
          <w:color w:val="0000FF"/>
        </w:rPr>
      </w:pPr>
      <w:r>
        <w:rPr>
          <w:color w:val="0000FF"/>
        </w:rPr>
        <w:t>监测频次：1次/半年</w:t>
      </w:r>
    </w:p>
    <w:p>
      <w:pPr>
        <w:bidi w:val="0"/>
        <w:rPr>
          <w:color w:val="0000FF"/>
        </w:rPr>
      </w:pPr>
      <w:r>
        <w:rPr>
          <w:color w:val="0000FF"/>
        </w:rPr>
        <w:t>监测点位：疾控中心四周场界共设置4个监测点</w:t>
      </w:r>
    </w:p>
    <w:p>
      <w:pPr>
        <w:bidi w:val="0"/>
        <w:rPr>
          <w:color w:val="0000FF"/>
        </w:rPr>
      </w:pPr>
      <w:r>
        <w:rPr>
          <w:color w:val="0000FF"/>
        </w:rPr>
        <w:t>（2）大气</w:t>
      </w:r>
    </w:p>
    <w:p>
      <w:pPr>
        <w:bidi w:val="0"/>
        <w:rPr>
          <w:color w:val="0000FF"/>
        </w:rPr>
      </w:pPr>
      <w:r>
        <w:rPr>
          <w:color w:val="0000FF"/>
        </w:rPr>
        <w:t>委托具有相关资质的单位对疾控中心的场界噪声进行监测。</w:t>
      </w:r>
    </w:p>
    <w:p>
      <w:pPr>
        <w:bidi w:val="0"/>
        <w:rPr>
          <w:color w:val="0000FF"/>
        </w:rPr>
      </w:pPr>
      <w:r>
        <w:rPr>
          <w:color w:val="0000FF"/>
        </w:rPr>
        <w:t>污水站监测项目：氨、硫化氢、臭气浓度</w:t>
      </w:r>
    </w:p>
    <w:p>
      <w:pPr>
        <w:bidi w:val="0"/>
        <w:rPr>
          <w:color w:val="0000FF"/>
        </w:rPr>
      </w:pPr>
      <w:r>
        <w:rPr>
          <w:color w:val="0000FF"/>
        </w:rPr>
        <w:t>监测频次：1次/年</w:t>
      </w:r>
    </w:p>
    <w:p>
      <w:pPr>
        <w:bidi w:val="0"/>
        <w:rPr>
          <w:color w:val="0000FF"/>
        </w:rPr>
      </w:pPr>
      <w:r>
        <w:rPr>
          <w:color w:val="0000FF"/>
        </w:rPr>
        <w:t>监测点位：厂界下风向、排放口</w:t>
      </w:r>
    </w:p>
    <w:p>
      <w:pPr>
        <w:bidi w:val="0"/>
        <w:rPr>
          <w:color w:val="0000FF"/>
        </w:rPr>
      </w:pPr>
      <w:r>
        <w:rPr>
          <w:rFonts w:hint="eastAsia"/>
          <w:color w:val="0000FF"/>
          <w:lang w:eastAsia="zh-CN"/>
        </w:rPr>
        <w:t>（</w:t>
      </w:r>
      <w:r>
        <w:rPr>
          <w:rFonts w:hint="eastAsia"/>
          <w:color w:val="0000FF"/>
          <w:lang w:val="en-US" w:eastAsia="zh-CN"/>
        </w:rPr>
        <w:t>3</w:t>
      </w:r>
      <w:r>
        <w:rPr>
          <w:rFonts w:hint="eastAsia"/>
          <w:color w:val="0000FF"/>
          <w:lang w:eastAsia="zh-CN"/>
        </w:rPr>
        <w:t>）</w:t>
      </w:r>
      <w:r>
        <w:rPr>
          <w:color w:val="0000FF"/>
        </w:rPr>
        <w:t>废水</w:t>
      </w:r>
    </w:p>
    <w:p>
      <w:pPr>
        <w:numPr>
          <w:ilvl w:val="0"/>
          <w:numId w:val="0"/>
        </w:numPr>
        <w:bidi w:val="0"/>
        <w:ind w:left="720" w:leftChars="0"/>
        <w:rPr>
          <w:color w:val="0000FF"/>
        </w:rPr>
      </w:pPr>
      <w:r>
        <w:rPr>
          <w:color w:val="0000FF"/>
        </w:rPr>
        <w:t>委托具有相关资质的单位对疾控中心的污水排放口进行监测。</w:t>
      </w:r>
    </w:p>
    <w:p>
      <w:pPr>
        <w:bidi w:val="0"/>
        <w:rPr>
          <w:color w:val="0000FF"/>
        </w:rPr>
      </w:pPr>
      <w:r>
        <w:rPr>
          <w:color w:val="0000FF"/>
        </w:rPr>
        <w:t>监测项目：CODcr、BOD</w:t>
      </w:r>
      <w:r>
        <w:rPr>
          <w:color w:val="0000FF"/>
          <w:vertAlign w:val="subscript"/>
        </w:rPr>
        <w:t>5</w:t>
      </w:r>
      <w:r>
        <w:rPr>
          <w:color w:val="0000FF"/>
        </w:rPr>
        <w:t>、SS、氨氮、粪大肠菌群、总余氯、总磷等</w:t>
      </w:r>
    </w:p>
    <w:p>
      <w:pPr>
        <w:bidi w:val="0"/>
        <w:rPr>
          <w:color w:val="0000FF"/>
        </w:rPr>
      </w:pPr>
      <w:r>
        <w:rPr>
          <w:color w:val="0000FF"/>
        </w:rPr>
        <w:t>监测频次：1次/年</w:t>
      </w:r>
    </w:p>
    <w:p>
      <w:pPr>
        <w:bidi w:val="0"/>
        <w:jc w:val="left"/>
        <w:rPr>
          <w:color w:val="0000FF"/>
        </w:rPr>
      </w:pPr>
      <w:r>
        <w:rPr>
          <w:color w:val="0000FF"/>
        </w:rPr>
        <w:t>监测点位：企业污水处理设备排放口监测应由具有资质的环境监测机构进行。环境监测分析方法按国家颁布的</w:t>
      </w:r>
    </w:p>
    <w:p>
      <w:pPr>
        <w:bidi w:val="0"/>
        <w:rPr>
          <w:color w:val="0000FF"/>
        </w:rPr>
      </w:pPr>
      <w:r>
        <w:rPr>
          <w:color w:val="0000FF"/>
        </w:rPr>
        <w:t>有关环境监测分析方法标准的规定执行，污染源监测按国家规定的污染源采样与监测分析方法执行。</w:t>
      </w:r>
    </w:p>
    <w:p>
      <w:pPr>
        <w:bidi w:val="0"/>
        <w:rPr>
          <w:color w:val="0000FF"/>
        </w:rPr>
      </w:pPr>
      <w:r>
        <w:rPr>
          <w:color w:val="0000FF"/>
        </w:rPr>
        <w:t>本工程环境监测计划建议按表8.2-1执行。</w:t>
      </w:r>
    </w:p>
    <w:p>
      <w:pPr>
        <w:pStyle w:val="22"/>
        <w:bidi w:val="0"/>
        <w:rPr>
          <w:b/>
          <w:bCs/>
          <w:color w:val="0000FF"/>
        </w:rPr>
      </w:pPr>
      <w:r>
        <w:rPr>
          <w:b/>
          <w:bCs/>
          <w:color w:val="0000FF"/>
        </w:rPr>
        <w:t>表8.2-1项目监测计划</w:t>
      </w:r>
    </w:p>
    <w:tbl>
      <w:tblPr>
        <w:tblStyle w:val="23"/>
        <w:tblW w:w="8516"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2227"/>
        <w:gridCol w:w="2930"/>
        <w:gridCol w:w="1325"/>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873" w:type="dxa"/>
            <w:tcBorders>
              <w:tl2br w:val="nil"/>
              <w:tr2bl w:val="nil"/>
            </w:tcBorders>
            <w:vAlign w:val="center"/>
          </w:tcPr>
          <w:p>
            <w:pPr>
              <w:pStyle w:val="22"/>
              <w:bidi w:val="0"/>
              <w:jc w:val="center"/>
              <w:rPr>
                <w:color w:val="0000FF"/>
              </w:rPr>
            </w:pPr>
            <w:r>
              <w:rPr>
                <w:color w:val="0000FF"/>
              </w:rPr>
              <w:t>项目</w:t>
            </w:r>
          </w:p>
        </w:tc>
        <w:tc>
          <w:tcPr>
            <w:tcW w:w="2227" w:type="dxa"/>
            <w:tcBorders>
              <w:tl2br w:val="nil"/>
              <w:tr2bl w:val="nil"/>
            </w:tcBorders>
            <w:vAlign w:val="center"/>
          </w:tcPr>
          <w:p>
            <w:pPr>
              <w:pStyle w:val="22"/>
              <w:bidi w:val="0"/>
              <w:jc w:val="center"/>
              <w:rPr>
                <w:color w:val="0000FF"/>
              </w:rPr>
            </w:pPr>
            <w:r>
              <w:rPr>
                <w:color w:val="0000FF"/>
              </w:rPr>
              <w:t>监测点</w:t>
            </w:r>
          </w:p>
        </w:tc>
        <w:tc>
          <w:tcPr>
            <w:tcW w:w="2930" w:type="dxa"/>
            <w:tcBorders>
              <w:tl2br w:val="nil"/>
              <w:tr2bl w:val="nil"/>
            </w:tcBorders>
            <w:vAlign w:val="center"/>
          </w:tcPr>
          <w:p>
            <w:pPr>
              <w:pStyle w:val="22"/>
              <w:bidi w:val="0"/>
              <w:jc w:val="center"/>
              <w:rPr>
                <w:color w:val="0000FF"/>
              </w:rPr>
            </w:pPr>
            <w:r>
              <w:rPr>
                <w:color w:val="0000FF"/>
              </w:rPr>
              <w:t>监测因子</w:t>
            </w:r>
          </w:p>
        </w:tc>
        <w:tc>
          <w:tcPr>
            <w:tcW w:w="1325" w:type="dxa"/>
            <w:tcBorders>
              <w:tl2br w:val="nil"/>
              <w:tr2bl w:val="nil"/>
            </w:tcBorders>
            <w:vAlign w:val="center"/>
          </w:tcPr>
          <w:p>
            <w:pPr>
              <w:pStyle w:val="22"/>
              <w:bidi w:val="0"/>
              <w:jc w:val="center"/>
              <w:rPr>
                <w:color w:val="0000FF"/>
              </w:rPr>
            </w:pPr>
            <w:r>
              <w:rPr>
                <w:color w:val="0000FF"/>
              </w:rPr>
              <w:t>监测频次</w:t>
            </w:r>
          </w:p>
        </w:tc>
        <w:tc>
          <w:tcPr>
            <w:tcW w:w="1161" w:type="dxa"/>
            <w:tcBorders>
              <w:tl2br w:val="nil"/>
              <w:tr2bl w:val="nil"/>
            </w:tcBorders>
            <w:vAlign w:val="center"/>
          </w:tcPr>
          <w:p>
            <w:pPr>
              <w:pStyle w:val="22"/>
              <w:bidi w:val="0"/>
              <w:jc w:val="center"/>
              <w:rPr>
                <w:color w:val="0000FF"/>
              </w:rPr>
            </w:pPr>
            <w:r>
              <w:rPr>
                <w:color w:val="0000FF"/>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73" w:type="dxa"/>
            <w:tcBorders>
              <w:tl2br w:val="nil"/>
              <w:tr2bl w:val="nil"/>
            </w:tcBorders>
            <w:vAlign w:val="center"/>
          </w:tcPr>
          <w:p>
            <w:pPr>
              <w:pStyle w:val="22"/>
              <w:bidi w:val="0"/>
              <w:jc w:val="center"/>
              <w:rPr>
                <w:color w:val="0000FF"/>
              </w:rPr>
            </w:pPr>
            <w:r>
              <w:rPr>
                <w:color w:val="0000FF"/>
              </w:rPr>
              <w:t>噪声</w:t>
            </w:r>
          </w:p>
        </w:tc>
        <w:tc>
          <w:tcPr>
            <w:tcW w:w="2227" w:type="dxa"/>
            <w:tcBorders>
              <w:tl2br w:val="nil"/>
              <w:tr2bl w:val="nil"/>
            </w:tcBorders>
            <w:vAlign w:val="center"/>
          </w:tcPr>
          <w:p>
            <w:pPr>
              <w:pStyle w:val="22"/>
              <w:bidi w:val="0"/>
              <w:jc w:val="center"/>
              <w:rPr>
                <w:color w:val="0000FF"/>
              </w:rPr>
            </w:pPr>
            <w:r>
              <w:rPr>
                <w:color w:val="0000FF"/>
              </w:rPr>
              <w:t>疾控中心厂界四周</w:t>
            </w:r>
          </w:p>
        </w:tc>
        <w:tc>
          <w:tcPr>
            <w:tcW w:w="2930" w:type="dxa"/>
            <w:tcBorders>
              <w:tl2br w:val="nil"/>
              <w:tr2bl w:val="nil"/>
            </w:tcBorders>
            <w:vAlign w:val="center"/>
          </w:tcPr>
          <w:p>
            <w:pPr>
              <w:pStyle w:val="22"/>
              <w:bidi w:val="0"/>
              <w:jc w:val="center"/>
              <w:rPr>
                <w:color w:val="0000FF"/>
              </w:rPr>
            </w:pPr>
            <w:r>
              <w:rPr>
                <w:color w:val="0000FF"/>
              </w:rPr>
              <w:t>等效连续A声级</w:t>
            </w:r>
          </w:p>
        </w:tc>
        <w:tc>
          <w:tcPr>
            <w:tcW w:w="1325" w:type="dxa"/>
            <w:tcBorders>
              <w:tl2br w:val="nil"/>
              <w:tr2bl w:val="nil"/>
            </w:tcBorders>
            <w:vAlign w:val="center"/>
          </w:tcPr>
          <w:p>
            <w:pPr>
              <w:pStyle w:val="22"/>
              <w:bidi w:val="0"/>
              <w:jc w:val="center"/>
              <w:rPr>
                <w:color w:val="0000FF"/>
              </w:rPr>
            </w:pPr>
            <w:r>
              <w:rPr>
                <w:color w:val="0000FF"/>
              </w:rPr>
              <w:t>1次/半年</w:t>
            </w:r>
          </w:p>
        </w:tc>
        <w:tc>
          <w:tcPr>
            <w:tcW w:w="1161" w:type="dxa"/>
            <w:tcBorders>
              <w:tl2br w:val="nil"/>
              <w:tr2bl w:val="nil"/>
            </w:tcBorders>
            <w:vAlign w:val="center"/>
          </w:tcPr>
          <w:p>
            <w:pPr>
              <w:pStyle w:val="22"/>
              <w:bidi w:val="0"/>
              <w:jc w:val="center"/>
              <w:rPr>
                <w:color w:val="0000FF"/>
              </w:rPr>
            </w:pPr>
            <w:r>
              <w:rPr>
                <w:color w:val="0000FF"/>
              </w:rPr>
              <w:t>疾控中心厂界四周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73" w:type="dxa"/>
            <w:tcBorders>
              <w:tl2br w:val="nil"/>
              <w:tr2bl w:val="nil"/>
            </w:tcBorders>
            <w:vAlign w:val="center"/>
          </w:tcPr>
          <w:p>
            <w:pPr>
              <w:pStyle w:val="22"/>
              <w:bidi w:val="0"/>
              <w:jc w:val="center"/>
              <w:rPr>
                <w:color w:val="0000FF"/>
              </w:rPr>
            </w:pPr>
            <w:r>
              <w:rPr>
                <w:color w:val="0000FF"/>
              </w:rPr>
              <w:t>大气</w:t>
            </w:r>
          </w:p>
        </w:tc>
        <w:tc>
          <w:tcPr>
            <w:tcW w:w="2227" w:type="dxa"/>
            <w:tcBorders>
              <w:tl2br w:val="nil"/>
              <w:tr2bl w:val="nil"/>
            </w:tcBorders>
            <w:vAlign w:val="center"/>
          </w:tcPr>
          <w:p>
            <w:pPr>
              <w:pStyle w:val="22"/>
              <w:bidi w:val="0"/>
              <w:jc w:val="center"/>
              <w:rPr>
                <w:color w:val="0000FF"/>
              </w:rPr>
            </w:pPr>
            <w:r>
              <w:rPr>
                <w:color w:val="0000FF"/>
              </w:rPr>
              <w:t>厂界下风向</w:t>
            </w:r>
          </w:p>
        </w:tc>
        <w:tc>
          <w:tcPr>
            <w:tcW w:w="2930" w:type="dxa"/>
            <w:tcBorders>
              <w:tl2br w:val="nil"/>
              <w:tr2bl w:val="nil"/>
            </w:tcBorders>
            <w:vAlign w:val="center"/>
          </w:tcPr>
          <w:p>
            <w:pPr>
              <w:pStyle w:val="22"/>
              <w:bidi w:val="0"/>
              <w:jc w:val="center"/>
              <w:rPr>
                <w:rFonts w:hint="default" w:eastAsia="宋体"/>
                <w:color w:val="0000FF"/>
                <w:lang w:val="en-US" w:eastAsia="zh-CN"/>
              </w:rPr>
            </w:pPr>
            <w:r>
              <w:rPr>
                <w:color w:val="0000FF"/>
              </w:rPr>
              <w:t>氨、硫化氢、臭气浓度</w:t>
            </w:r>
            <w:r>
              <w:rPr>
                <w:rFonts w:hint="eastAsia"/>
                <w:color w:val="0000FF"/>
                <w:lang w:eastAsia="zh-CN"/>
              </w:rPr>
              <w:t>、</w:t>
            </w:r>
            <w:r>
              <w:rPr>
                <w:rFonts w:hint="eastAsia"/>
                <w:color w:val="0000FF"/>
                <w:lang w:val="en-US" w:eastAsia="zh-CN"/>
              </w:rPr>
              <w:t>非甲烷总烃</w:t>
            </w:r>
          </w:p>
        </w:tc>
        <w:tc>
          <w:tcPr>
            <w:tcW w:w="1325" w:type="dxa"/>
            <w:tcBorders>
              <w:tl2br w:val="nil"/>
              <w:tr2bl w:val="nil"/>
            </w:tcBorders>
            <w:vAlign w:val="center"/>
          </w:tcPr>
          <w:p>
            <w:pPr>
              <w:pStyle w:val="22"/>
              <w:bidi w:val="0"/>
              <w:jc w:val="center"/>
              <w:rPr>
                <w:color w:val="0000FF"/>
              </w:rPr>
            </w:pPr>
            <w:r>
              <w:rPr>
                <w:color w:val="0000FF"/>
              </w:rPr>
              <w:t>1次/年</w:t>
            </w:r>
          </w:p>
        </w:tc>
        <w:tc>
          <w:tcPr>
            <w:tcW w:w="1161" w:type="dxa"/>
            <w:tcBorders>
              <w:tl2br w:val="nil"/>
              <w:tr2bl w:val="nil"/>
            </w:tcBorders>
            <w:vAlign w:val="center"/>
          </w:tcPr>
          <w:p>
            <w:pPr>
              <w:pStyle w:val="22"/>
              <w:bidi w:val="0"/>
              <w:jc w:val="center"/>
              <w:rPr>
                <w:color w:val="0000FF"/>
              </w:rPr>
            </w:pPr>
            <w:r>
              <w:rPr>
                <w:color w:val="0000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73" w:type="dxa"/>
            <w:tcBorders>
              <w:tl2br w:val="nil"/>
              <w:tr2bl w:val="nil"/>
            </w:tcBorders>
            <w:vAlign w:val="center"/>
          </w:tcPr>
          <w:p>
            <w:pPr>
              <w:pStyle w:val="22"/>
              <w:bidi w:val="0"/>
              <w:jc w:val="center"/>
              <w:rPr>
                <w:color w:val="0000FF"/>
              </w:rPr>
            </w:pPr>
            <w:r>
              <w:rPr>
                <w:color w:val="0000FF"/>
              </w:rPr>
              <w:t>废水</w:t>
            </w:r>
          </w:p>
        </w:tc>
        <w:tc>
          <w:tcPr>
            <w:tcW w:w="2227" w:type="dxa"/>
            <w:tcBorders>
              <w:tl2br w:val="nil"/>
              <w:tr2bl w:val="nil"/>
            </w:tcBorders>
            <w:vAlign w:val="center"/>
          </w:tcPr>
          <w:p>
            <w:pPr>
              <w:pStyle w:val="22"/>
              <w:bidi w:val="0"/>
              <w:jc w:val="center"/>
              <w:rPr>
                <w:color w:val="0000FF"/>
              </w:rPr>
            </w:pPr>
            <w:r>
              <w:rPr>
                <w:color w:val="0000FF"/>
              </w:rPr>
              <w:t>污水处理设备排放口</w:t>
            </w:r>
          </w:p>
        </w:tc>
        <w:tc>
          <w:tcPr>
            <w:tcW w:w="2930" w:type="dxa"/>
            <w:tcBorders>
              <w:tl2br w:val="nil"/>
              <w:tr2bl w:val="nil"/>
            </w:tcBorders>
            <w:vAlign w:val="center"/>
          </w:tcPr>
          <w:p>
            <w:pPr>
              <w:pStyle w:val="22"/>
              <w:bidi w:val="0"/>
              <w:jc w:val="center"/>
              <w:rPr>
                <w:color w:val="0000FF"/>
              </w:rPr>
            </w:pPr>
            <w:r>
              <w:rPr>
                <w:color w:val="0000FF"/>
              </w:rPr>
              <w:t>CODcr、BOD5、SS、氨氮、粪大肠菌群</w:t>
            </w:r>
          </w:p>
        </w:tc>
        <w:tc>
          <w:tcPr>
            <w:tcW w:w="1325" w:type="dxa"/>
            <w:tcBorders>
              <w:tl2br w:val="nil"/>
              <w:tr2bl w:val="nil"/>
            </w:tcBorders>
            <w:vAlign w:val="center"/>
          </w:tcPr>
          <w:p>
            <w:pPr>
              <w:pStyle w:val="22"/>
              <w:bidi w:val="0"/>
              <w:jc w:val="center"/>
              <w:rPr>
                <w:color w:val="0000FF"/>
              </w:rPr>
            </w:pPr>
            <w:r>
              <w:rPr>
                <w:color w:val="0000FF"/>
              </w:rPr>
              <w:t>1次/年</w:t>
            </w:r>
          </w:p>
        </w:tc>
        <w:tc>
          <w:tcPr>
            <w:tcW w:w="1161" w:type="dxa"/>
            <w:tcBorders>
              <w:tl2br w:val="nil"/>
              <w:tr2bl w:val="nil"/>
            </w:tcBorders>
            <w:vAlign w:val="center"/>
          </w:tcPr>
          <w:p>
            <w:pPr>
              <w:pStyle w:val="22"/>
              <w:bidi w:val="0"/>
              <w:jc w:val="center"/>
              <w:rPr>
                <w:color w:val="0000FF"/>
              </w:rPr>
            </w:pPr>
            <w:r>
              <w:rPr>
                <w:color w:val="0000FF"/>
              </w:rPr>
              <w:t>/</w:t>
            </w:r>
          </w:p>
        </w:tc>
      </w:tr>
    </w:tbl>
    <w:p>
      <w:pPr>
        <w:pStyle w:val="5"/>
        <w:bidi w:val="0"/>
        <w:rPr>
          <w:color w:val="0000FF"/>
        </w:rPr>
      </w:pPr>
      <w:bookmarkStart w:id="135" w:name="_Toc10707"/>
      <w:r>
        <w:rPr>
          <w:color w:val="0000FF"/>
        </w:rPr>
        <w:t>8.3排污口规范化管理</w:t>
      </w:r>
      <w:bookmarkEnd w:id="135"/>
    </w:p>
    <w:p>
      <w:pPr>
        <w:bidi w:val="0"/>
        <w:rPr>
          <w:color w:val="0000FF"/>
        </w:rPr>
      </w:pPr>
      <w:r>
        <w:rPr>
          <w:color w:val="0000FF"/>
        </w:rPr>
        <w:t>为了公众监督管理</w:t>
      </w:r>
      <w:r>
        <w:rPr>
          <w:rFonts w:hint="eastAsia"/>
          <w:color w:val="0000FF"/>
          <w:lang w:eastAsia="zh-CN"/>
        </w:rPr>
        <w:t>，</w:t>
      </w:r>
      <w:r>
        <w:rPr>
          <w:color w:val="0000FF"/>
        </w:rPr>
        <w:t>按照国家环境保护总局制定的《〈环境保护图形标志〉实施细则</w:t>
      </w:r>
      <w:r>
        <w:rPr>
          <w:rFonts w:hint="eastAsia"/>
          <w:color w:val="0000FF"/>
          <w:lang w:eastAsia="zh-CN"/>
        </w:rPr>
        <w:t>（</w:t>
      </w:r>
      <w:r>
        <w:rPr>
          <w:color w:val="0000FF"/>
        </w:rPr>
        <w:t>试行</w:t>
      </w:r>
      <w:r>
        <w:rPr>
          <w:rFonts w:hint="eastAsia"/>
          <w:color w:val="0000FF"/>
          <w:lang w:eastAsia="zh-CN"/>
        </w:rPr>
        <w:t>）</w:t>
      </w:r>
      <w:r>
        <w:rPr>
          <w:color w:val="0000FF"/>
        </w:rPr>
        <w:t>》</w:t>
      </w:r>
      <w:r>
        <w:rPr>
          <w:rFonts w:hint="eastAsia"/>
          <w:color w:val="0000FF"/>
          <w:lang w:eastAsia="zh-CN"/>
        </w:rPr>
        <w:t>（</w:t>
      </w:r>
      <w:r>
        <w:rPr>
          <w:color w:val="0000FF"/>
        </w:rPr>
        <w:t>环监[1996]463号</w:t>
      </w:r>
      <w:r>
        <w:rPr>
          <w:rFonts w:hint="eastAsia"/>
          <w:color w:val="0000FF"/>
          <w:lang w:eastAsia="zh-CN"/>
        </w:rPr>
        <w:t>）</w:t>
      </w:r>
      <w:r>
        <w:rPr>
          <w:color w:val="0000FF"/>
        </w:rPr>
        <w:t>的规定，在各排污口设立相应的环境保护图形标志牌。具体要求见表8.2-1。</w:t>
      </w:r>
    </w:p>
    <w:p>
      <w:pPr>
        <w:pStyle w:val="22"/>
        <w:bidi w:val="0"/>
        <w:rPr>
          <w:b/>
          <w:bCs/>
          <w:color w:val="0000FF"/>
        </w:rPr>
      </w:pPr>
      <w:r>
        <w:rPr>
          <w:b/>
          <w:bCs/>
          <w:color w:val="0000FF"/>
        </w:rPr>
        <w:t>表8.2-1各排污口环境保护图形标志</w:t>
      </w:r>
    </w:p>
    <w:p>
      <w:pPr>
        <w:spacing w:line="72" w:lineRule="exact"/>
        <w:rPr>
          <w:color w:val="0000FF"/>
        </w:rPr>
      </w:pPr>
    </w:p>
    <w:tbl>
      <w:tblPr>
        <w:tblStyle w:val="2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2285"/>
        <w:gridCol w:w="2016"/>
        <w:gridCol w:w="2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8" w:hRule="atLeast"/>
        </w:trPr>
        <w:tc>
          <w:tcPr>
            <w:tcW w:w="1956" w:type="dxa"/>
            <w:tcBorders>
              <w:tl2br w:val="nil"/>
              <w:tr2bl w:val="nil"/>
            </w:tcBorders>
            <w:vAlign w:val="center"/>
          </w:tcPr>
          <w:p>
            <w:pPr>
              <w:pStyle w:val="22"/>
              <w:bidi w:val="0"/>
              <w:jc w:val="center"/>
              <w:rPr>
                <w:color w:val="0000FF"/>
              </w:rPr>
            </w:pPr>
            <w:r>
              <w:rPr>
                <w:color w:val="0000FF"/>
              </w:rPr>
              <w:drawing>
                <wp:inline distT="0" distB="0" distL="0" distR="0">
                  <wp:extent cx="972185" cy="970915"/>
                  <wp:effectExtent l="0" t="0" r="18415" b="63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8"/>
                          <a:stretch>
                            <a:fillRect/>
                          </a:stretch>
                        </pic:blipFill>
                        <pic:spPr>
                          <a:xfrm>
                            <a:off x="0" y="0"/>
                            <a:ext cx="972311" cy="971422"/>
                          </a:xfrm>
                          <a:prstGeom prst="rect">
                            <a:avLst/>
                          </a:prstGeom>
                        </pic:spPr>
                      </pic:pic>
                    </a:graphicData>
                  </a:graphic>
                </wp:inline>
              </w:drawing>
            </w:r>
          </w:p>
        </w:tc>
        <w:tc>
          <w:tcPr>
            <w:tcW w:w="2285" w:type="dxa"/>
            <w:tcBorders>
              <w:tl2br w:val="nil"/>
              <w:tr2bl w:val="nil"/>
            </w:tcBorders>
            <w:vAlign w:val="center"/>
          </w:tcPr>
          <w:p>
            <w:pPr>
              <w:pStyle w:val="22"/>
              <w:bidi w:val="0"/>
              <w:jc w:val="center"/>
              <w:rPr>
                <w:color w:val="0000FF"/>
              </w:rPr>
            </w:pPr>
            <w:r>
              <w:rPr>
                <w:color w:val="0000FF"/>
              </w:rPr>
              <w:t>简介：污水排放口</w:t>
            </w:r>
          </w:p>
          <w:p>
            <w:pPr>
              <w:pStyle w:val="22"/>
              <w:bidi w:val="0"/>
              <w:jc w:val="center"/>
              <w:rPr>
                <w:color w:val="0000FF"/>
              </w:rPr>
            </w:pPr>
            <w:r>
              <w:rPr>
                <w:color w:val="0000FF"/>
              </w:rPr>
              <w:t>污水排放口提示图形符</w:t>
            </w:r>
          </w:p>
          <w:p>
            <w:pPr>
              <w:pStyle w:val="22"/>
              <w:bidi w:val="0"/>
              <w:jc w:val="center"/>
              <w:rPr>
                <w:color w:val="0000FF"/>
              </w:rPr>
            </w:pPr>
            <w:r>
              <w:rPr>
                <w:color w:val="0000FF"/>
              </w:rPr>
              <w:t>号污水排放口</w:t>
            </w:r>
          </w:p>
          <w:p>
            <w:pPr>
              <w:pStyle w:val="22"/>
              <w:bidi w:val="0"/>
              <w:jc w:val="center"/>
              <w:rPr>
                <w:color w:val="0000FF"/>
              </w:rPr>
            </w:pPr>
            <w:r>
              <w:rPr>
                <w:color w:val="0000FF"/>
              </w:rPr>
              <w:t>表示污水向水体排放</w:t>
            </w:r>
          </w:p>
        </w:tc>
        <w:tc>
          <w:tcPr>
            <w:tcW w:w="2016" w:type="dxa"/>
            <w:tcBorders>
              <w:tl2br w:val="nil"/>
              <w:tr2bl w:val="nil"/>
            </w:tcBorders>
            <w:vAlign w:val="center"/>
          </w:tcPr>
          <w:p>
            <w:pPr>
              <w:pStyle w:val="22"/>
              <w:bidi w:val="0"/>
              <w:jc w:val="center"/>
              <w:rPr>
                <w:color w:val="0000FF"/>
              </w:rPr>
            </w:pPr>
            <w:r>
              <w:rPr>
                <w:color w:val="0000FF"/>
              </w:rPr>
              <w:drawing>
                <wp:inline distT="0" distB="0" distL="0" distR="0">
                  <wp:extent cx="972185" cy="838200"/>
                  <wp:effectExtent l="0" t="0" r="18415"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39"/>
                          <a:stretch>
                            <a:fillRect/>
                          </a:stretch>
                        </pic:blipFill>
                        <pic:spPr>
                          <a:xfrm>
                            <a:off x="0" y="0"/>
                            <a:ext cx="972311" cy="838200"/>
                          </a:xfrm>
                          <a:prstGeom prst="rect">
                            <a:avLst/>
                          </a:prstGeom>
                        </pic:spPr>
                      </pic:pic>
                    </a:graphicData>
                  </a:graphic>
                </wp:inline>
              </w:drawing>
            </w:r>
          </w:p>
        </w:tc>
        <w:tc>
          <w:tcPr>
            <w:tcW w:w="2265" w:type="dxa"/>
            <w:tcBorders>
              <w:tl2br w:val="nil"/>
              <w:tr2bl w:val="nil"/>
            </w:tcBorders>
            <w:vAlign w:val="center"/>
          </w:tcPr>
          <w:p>
            <w:pPr>
              <w:pStyle w:val="22"/>
              <w:bidi w:val="0"/>
              <w:jc w:val="center"/>
              <w:rPr>
                <w:color w:val="0000FF"/>
              </w:rPr>
            </w:pPr>
            <w:r>
              <w:rPr>
                <w:color w:val="0000FF"/>
              </w:rPr>
              <w:t>简介：污水排放口警告图形符号污水排放口</w:t>
            </w:r>
          </w:p>
          <w:p>
            <w:pPr>
              <w:pStyle w:val="22"/>
              <w:bidi w:val="0"/>
              <w:jc w:val="center"/>
              <w:rPr>
                <w:color w:val="0000FF"/>
              </w:rPr>
            </w:pPr>
            <w:r>
              <w:rPr>
                <w:color w:val="0000FF"/>
              </w:rPr>
              <w:t>表示污水向水体排放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4" w:hRule="atLeast"/>
        </w:trPr>
        <w:tc>
          <w:tcPr>
            <w:tcW w:w="1956" w:type="dxa"/>
            <w:tcBorders>
              <w:tl2br w:val="nil"/>
              <w:tr2bl w:val="nil"/>
            </w:tcBorders>
            <w:vAlign w:val="center"/>
          </w:tcPr>
          <w:p>
            <w:pPr>
              <w:pStyle w:val="22"/>
              <w:bidi w:val="0"/>
              <w:jc w:val="center"/>
              <w:rPr>
                <w:color w:val="0000FF"/>
              </w:rPr>
            </w:pPr>
            <w:r>
              <w:rPr>
                <w:color w:val="0000FF"/>
              </w:rPr>
              <w:drawing>
                <wp:inline distT="0" distB="0" distL="0" distR="0">
                  <wp:extent cx="972185" cy="970280"/>
                  <wp:effectExtent l="0" t="0" r="18415" b="127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0"/>
                          <a:stretch>
                            <a:fillRect/>
                          </a:stretch>
                        </pic:blipFill>
                        <pic:spPr>
                          <a:xfrm>
                            <a:off x="0" y="0"/>
                            <a:ext cx="972311" cy="970914"/>
                          </a:xfrm>
                          <a:prstGeom prst="rect">
                            <a:avLst/>
                          </a:prstGeom>
                        </pic:spPr>
                      </pic:pic>
                    </a:graphicData>
                  </a:graphic>
                </wp:inline>
              </w:drawing>
            </w:r>
          </w:p>
        </w:tc>
        <w:tc>
          <w:tcPr>
            <w:tcW w:w="2285" w:type="dxa"/>
            <w:tcBorders>
              <w:tl2br w:val="nil"/>
              <w:tr2bl w:val="nil"/>
            </w:tcBorders>
            <w:vAlign w:val="center"/>
          </w:tcPr>
          <w:p>
            <w:pPr>
              <w:pStyle w:val="22"/>
              <w:bidi w:val="0"/>
              <w:jc w:val="center"/>
              <w:rPr>
                <w:color w:val="0000FF"/>
              </w:rPr>
            </w:pPr>
            <w:r>
              <w:rPr>
                <w:color w:val="0000FF"/>
              </w:rPr>
              <w:t>简介：废气排放口提示图形符号废气排放口</w:t>
            </w:r>
          </w:p>
          <w:p>
            <w:pPr>
              <w:pStyle w:val="22"/>
              <w:bidi w:val="0"/>
              <w:jc w:val="center"/>
              <w:rPr>
                <w:color w:val="0000FF"/>
              </w:rPr>
            </w:pPr>
            <w:r>
              <w:rPr>
                <w:color w:val="0000FF"/>
              </w:rPr>
              <w:t>表示废气向大气环境排放</w:t>
            </w:r>
          </w:p>
        </w:tc>
        <w:tc>
          <w:tcPr>
            <w:tcW w:w="2016" w:type="dxa"/>
            <w:tcBorders>
              <w:tl2br w:val="nil"/>
              <w:tr2bl w:val="nil"/>
            </w:tcBorders>
            <w:vAlign w:val="center"/>
          </w:tcPr>
          <w:p>
            <w:pPr>
              <w:pStyle w:val="22"/>
              <w:bidi w:val="0"/>
              <w:jc w:val="center"/>
              <w:rPr>
                <w:color w:val="0000FF"/>
              </w:rPr>
            </w:pPr>
            <w:r>
              <w:rPr>
                <w:color w:val="0000FF"/>
              </w:rPr>
              <w:drawing>
                <wp:inline distT="0" distB="0" distL="0" distR="0">
                  <wp:extent cx="972185" cy="838200"/>
                  <wp:effectExtent l="0" t="0" r="18415"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41"/>
                          <a:stretch>
                            <a:fillRect/>
                          </a:stretch>
                        </pic:blipFill>
                        <pic:spPr>
                          <a:xfrm>
                            <a:off x="0" y="0"/>
                            <a:ext cx="972311" cy="838200"/>
                          </a:xfrm>
                          <a:prstGeom prst="rect">
                            <a:avLst/>
                          </a:prstGeom>
                        </pic:spPr>
                      </pic:pic>
                    </a:graphicData>
                  </a:graphic>
                </wp:inline>
              </w:drawing>
            </w:r>
          </w:p>
        </w:tc>
        <w:tc>
          <w:tcPr>
            <w:tcW w:w="2265" w:type="dxa"/>
            <w:tcBorders>
              <w:tl2br w:val="nil"/>
              <w:tr2bl w:val="nil"/>
            </w:tcBorders>
            <w:vAlign w:val="center"/>
          </w:tcPr>
          <w:p>
            <w:pPr>
              <w:pStyle w:val="22"/>
              <w:bidi w:val="0"/>
              <w:jc w:val="center"/>
              <w:rPr>
                <w:color w:val="0000FF"/>
              </w:rPr>
            </w:pPr>
            <w:r>
              <w:rPr>
                <w:color w:val="0000FF"/>
              </w:rPr>
              <w:t>简介：废气排放口警告图形符号废气排放口</w:t>
            </w:r>
          </w:p>
          <w:p>
            <w:pPr>
              <w:pStyle w:val="22"/>
              <w:bidi w:val="0"/>
              <w:jc w:val="center"/>
              <w:rPr>
                <w:color w:val="0000FF"/>
              </w:rPr>
            </w:pPr>
            <w:r>
              <w:rPr>
                <w:color w:val="0000FF"/>
              </w:rPr>
              <w:t>表示废气向大气环境排</w:t>
            </w:r>
          </w:p>
          <w:p>
            <w:pPr>
              <w:pStyle w:val="22"/>
              <w:bidi w:val="0"/>
              <w:jc w:val="center"/>
              <w:rPr>
                <w:color w:val="0000FF"/>
              </w:rPr>
            </w:pPr>
            <w:r>
              <w:rPr>
                <w:color w:val="0000FF"/>
              </w:rPr>
              <w:t>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4" w:hRule="atLeast"/>
        </w:trPr>
        <w:tc>
          <w:tcPr>
            <w:tcW w:w="1956" w:type="dxa"/>
            <w:tcBorders>
              <w:tl2br w:val="nil"/>
              <w:tr2bl w:val="nil"/>
            </w:tcBorders>
            <w:vAlign w:val="center"/>
          </w:tcPr>
          <w:p>
            <w:pPr>
              <w:pStyle w:val="22"/>
              <w:bidi w:val="0"/>
              <w:jc w:val="center"/>
              <w:rPr>
                <w:color w:val="0000FF"/>
              </w:rPr>
            </w:pPr>
            <w:r>
              <w:rPr>
                <w:color w:val="0000FF"/>
              </w:rPr>
              <w:drawing>
                <wp:inline distT="0" distB="0" distL="0" distR="0">
                  <wp:extent cx="972185" cy="971550"/>
                  <wp:effectExtent l="0" t="0" r="18415"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2"/>
                          <a:stretch>
                            <a:fillRect/>
                          </a:stretch>
                        </pic:blipFill>
                        <pic:spPr>
                          <a:xfrm>
                            <a:off x="0" y="0"/>
                            <a:ext cx="972311" cy="971930"/>
                          </a:xfrm>
                          <a:prstGeom prst="rect">
                            <a:avLst/>
                          </a:prstGeom>
                        </pic:spPr>
                      </pic:pic>
                    </a:graphicData>
                  </a:graphic>
                </wp:inline>
              </w:drawing>
            </w:r>
          </w:p>
        </w:tc>
        <w:tc>
          <w:tcPr>
            <w:tcW w:w="2285" w:type="dxa"/>
            <w:tcBorders>
              <w:tl2br w:val="nil"/>
              <w:tr2bl w:val="nil"/>
            </w:tcBorders>
            <w:vAlign w:val="center"/>
          </w:tcPr>
          <w:p>
            <w:pPr>
              <w:pStyle w:val="22"/>
              <w:bidi w:val="0"/>
              <w:jc w:val="center"/>
              <w:rPr>
                <w:color w:val="0000FF"/>
              </w:rPr>
            </w:pPr>
            <w:r>
              <w:rPr>
                <w:color w:val="0000FF"/>
              </w:rPr>
              <w:t>简介：噪声排放源提示图形符号噪声排放源</w:t>
            </w:r>
          </w:p>
          <w:p>
            <w:pPr>
              <w:pStyle w:val="22"/>
              <w:bidi w:val="0"/>
              <w:jc w:val="center"/>
              <w:rPr>
                <w:color w:val="0000FF"/>
              </w:rPr>
            </w:pPr>
            <w:r>
              <w:rPr>
                <w:color w:val="0000FF"/>
              </w:rPr>
              <w:t>表示噪声向外环境排放</w:t>
            </w:r>
          </w:p>
        </w:tc>
        <w:tc>
          <w:tcPr>
            <w:tcW w:w="2016" w:type="dxa"/>
            <w:tcBorders>
              <w:tl2br w:val="nil"/>
              <w:tr2bl w:val="nil"/>
            </w:tcBorders>
            <w:vAlign w:val="center"/>
          </w:tcPr>
          <w:p>
            <w:pPr>
              <w:pStyle w:val="22"/>
              <w:bidi w:val="0"/>
              <w:jc w:val="center"/>
              <w:rPr>
                <w:color w:val="0000FF"/>
              </w:rPr>
            </w:pPr>
            <w:r>
              <w:rPr>
                <w:color w:val="0000FF"/>
              </w:rPr>
              <w:drawing>
                <wp:inline distT="0" distB="0" distL="0" distR="0">
                  <wp:extent cx="972185" cy="838200"/>
                  <wp:effectExtent l="0" t="0" r="18415"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43"/>
                          <a:stretch>
                            <a:fillRect/>
                          </a:stretch>
                        </pic:blipFill>
                        <pic:spPr>
                          <a:xfrm>
                            <a:off x="0" y="0"/>
                            <a:ext cx="972311" cy="838200"/>
                          </a:xfrm>
                          <a:prstGeom prst="rect">
                            <a:avLst/>
                          </a:prstGeom>
                        </pic:spPr>
                      </pic:pic>
                    </a:graphicData>
                  </a:graphic>
                </wp:inline>
              </w:drawing>
            </w:r>
          </w:p>
        </w:tc>
        <w:tc>
          <w:tcPr>
            <w:tcW w:w="2265" w:type="dxa"/>
            <w:tcBorders>
              <w:tl2br w:val="nil"/>
              <w:tr2bl w:val="nil"/>
            </w:tcBorders>
            <w:vAlign w:val="center"/>
          </w:tcPr>
          <w:p>
            <w:pPr>
              <w:pStyle w:val="22"/>
              <w:bidi w:val="0"/>
              <w:jc w:val="center"/>
              <w:rPr>
                <w:color w:val="0000FF"/>
              </w:rPr>
            </w:pPr>
            <w:r>
              <w:rPr>
                <w:color w:val="0000FF"/>
              </w:rPr>
              <w:t>简介：噪声排放源警告图形符号噪声排放源</w:t>
            </w:r>
          </w:p>
          <w:p>
            <w:pPr>
              <w:pStyle w:val="22"/>
              <w:bidi w:val="0"/>
              <w:jc w:val="center"/>
              <w:rPr>
                <w:color w:val="0000FF"/>
              </w:rPr>
            </w:pPr>
            <w:r>
              <w:rPr>
                <w:color w:val="0000FF"/>
              </w:rPr>
              <w:t>表示噪声向外环境排放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1956" w:type="dxa"/>
            <w:tcBorders>
              <w:tl2br w:val="nil"/>
              <w:tr2bl w:val="nil"/>
            </w:tcBorders>
            <w:vAlign w:val="center"/>
          </w:tcPr>
          <w:p>
            <w:pPr>
              <w:pStyle w:val="22"/>
              <w:bidi w:val="0"/>
              <w:jc w:val="center"/>
              <w:rPr>
                <w:color w:val="0000FF"/>
              </w:rPr>
            </w:pPr>
            <w:r>
              <w:rPr>
                <w:color w:val="0000FF"/>
              </w:rPr>
              <w:drawing>
                <wp:inline distT="0" distB="0" distL="0" distR="0">
                  <wp:extent cx="1095375" cy="999490"/>
                  <wp:effectExtent l="0" t="0" r="9525" b="1016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4"/>
                          <a:stretch>
                            <a:fillRect/>
                          </a:stretch>
                        </pic:blipFill>
                        <pic:spPr>
                          <a:xfrm>
                            <a:off x="0" y="0"/>
                            <a:ext cx="1095755" cy="999744"/>
                          </a:xfrm>
                          <a:prstGeom prst="rect">
                            <a:avLst/>
                          </a:prstGeom>
                        </pic:spPr>
                      </pic:pic>
                    </a:graphicData>
                  </a:graphic>
                </wp:inline>
              </w:drawing>
            </w:r>
          </w:p>
        </w:tc>
        <w:tc>
          <w:tcPr>
            <w:tcW w:w="2285" w:type="dxa"/>
            <w:tcBorders>
              <w:tl2br w:val="nil"/>
              <w:tr2bl w:val="nil"/>
            </w:tcBorders>
            <w:vAlign w:val="center"/>
          </w:tcPr>
          <w:p>
            <w:pPr>
              <w:pStyle w:val="22"/>
              <w:bidi w:val="0"/>
              <w:jc w:val="center"/>
              <w:rPr>
                <w:color w:val="0000FF"/>
              </w:rPr>
            </w:pPr>
            <w:r>
              <w:rPr>
                <w:color w:val="0000FF"/>
              </w:rPr>
              <w:t>简介：危废</w:t>
            </w:r>
          </w:p>
          <w:p>
            <w:pPr>
              <w:pStyle w:val="22"/>
              <w:bidi w:val="0"/>
              <w:jc w:val="center"/>
              <w:rPr>
                <w:color w:val="0000FF"/>
              </w:rPr>
            </w:pPr>
            <w:r>
              <w:rPr>
                <w:color w:val="0000FF"/>
              </w:rPr>
              <w:t>提示图形符号</w:t>
            </w:r>
          </w:p>
        </w:tc>
        <w:tc>
          <w:tcPr>
            <w:tcW w:w="2016" w:type="dxa"/>
            <w:tcBorders>
              <w:tl2br w:val="nil"/>
              <w:tr2bl w:val="nil"/>
            </w:tcBorders>
            <w:vAlign w:val="center"/>
          </w:tcPr>
          <w:p>
            <w:pPr>
              <w:pStyle w:val="22"/>
              <w:bidi w:val="0"/>
              <w:jc w:val="center"/>
              <w:rPr>
                <w:color w:val="0000FF"/>
              </w:rPr>
            </w:pPr>
          </w:p>
          <w:p>
            <w:pPr>
              <w:pStyle w:val="22"/>
              <w:bidi w:val="0"/>
              <w:jc w:val="center"/>
              <w:rPr>
                <w:color w:val="0000FF"/>
              </w:rPr>
            </w:pPr>
            <w:r>
              <w:rPr>
                <w:color w:val="0000FF"/>
              </w:rPr>
              <w:drawing>
                <wp:inline distT="0" distB="0" distL="0" distR="0">
                  <wp:extent cx="1133475" cy="618490"/>
                  <wp:effectExtent l="0" t="0" r="9525" b="1016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45"/>
                          <a:stretch>
                            <a:fillRect/>
                          </a:stretch>
                        </pic:blipFill>
                        <pic:spPr>
                          <a:xfrm>
                            <a:off x="0" y="0"/>
                            <a:ext cx="1133855" cy="618744"/>
                          </a:xfrm>
                          <a:prstGeom prst="rect">
                            <a:avLst/>
                          </a:prstGeom>
                        </pic:spPr>
                      </pic:pic>
                    </a:graphicData>
                  </a:graphic>
                </wp:inline>
              </w:drawing>
            </w:r>
          </w:p>
        </w:tc>
        <w:tc>
          <w:tcPr>
            <w:tcW w:w="2265" w:type="dxa"/>
            <w:tcBorders>
              <w:tl2br w:val="nil"/>
              <w:tr2bl w:val="nil"/>
            </w:tcBorders>
            <w:vAlign w:val="center"/>
          </w:tcPr>
          <w:p>
            <w:pPr>
              <w:pStyle w:val="22"/>
              <w:bidi w:val="0"/>
              <w:jc w:val="center"/>
              <w:rPr>
                <w:color w:val="0000FF"/>
              </w:rPr>
            </w:pPr>
            <w:r>
              <w:rPr>
                <w:color w:val="0000FF"/>
              </w:rPr>
              <w:t>危险废物贮存识别标签及标志</w:t>
            </w:r>
          </w:p>
        </w:tc>
      </w:tr>
    </w:tbl>
    <w:p>
      <w:pPr>
        <w:pStyle w:val="5"/>
        <w:bidi w:val="0"/>
        <w:rPr>
          <w:color w:val="0000FF"/>
        </w:rPr>
      </w:pPr>
      <w:bookmarkStart w:id="136" w:name="_Toc17293"/>
      <w:r>
        <w:rPr>
          <w:color w:val="0000FF"/>
        </w:rPr>
        <w:t>8.4环境管理制度</w:t>
      </w:r>
      <w:bookmarkEnd w:id="136"/>
    </w:p>
    <w:p>
      <w:pPr>
        <w:bidi w:val="0"/>
        <w:rPr>
          <w:color w:val="0000FF"/>
        </w:rPr>
      </w:pPr>
      <w:r>
        <w:rPr>
          <w:color w:val="0000FF"/>
        </w:rPr>
        <w:t>疾控中心应制定一系列规章制度以促进环境保护工作，使环境保护工作规范化和程序化，并通过经济杠杆来保证环境保护管理制度的认真执行。根据需</w:t>
      </w:r>
    </w:p>
    <w:p>
      <w:pPr>
        <w:bidi w:val="0"/>
        <w:rPr>
          <w:color w:val="0000FF"/>
        </w:rPr>
      </w:pPr>
      <w:r>
        <w:rPr>
          <w:color w:val="0000FF"/>
        </w:rPr>
        <w:t>要，建议制定的环境保护工作条例有：</w:t>
      </w:r>
    </w:p>
    <w:p>
      <w:pPr>
        <w:bidi w:val="0"/>
        <w:rPr>
          <w:color w:val="0000FF"/>
        </w:rPr>
      </w:pPr>
      <w:r>
        <w:rPr>
          <w:color w:val="0000FF"/>
        </w:rPr>
        <w:t>（1）环境保护职责管理条例；</w:t>
      </w:r>
    </w:p>
    <w:p>
      <w:pPr>
        <w:bidi w:val="0"/>
        <w:rPr>
          <w:color w:val="0000FF"/>
        </w:rPr>
      </w:pPr>
      <w:r>
        <w:rPr>
          <w:color w:val="0000FF"/>
        </w:rPr>
        <w:t>（2）废气、污水、固体废物排放管理制度；</w:t>
      </w:r>
    </w:p>
    <w:p>
      <w:pPr>
        <w:bidi w:val="0"/>
        <w:rPr>
          <w:color w:val="0000FF"/>
        </w:rPr>
      </w:pPr>
      <w:r>
        <w:rPr>
          <w:color w:val="0000FF"/>
        </w:rPr>
        <w:t>（3）处理装置日常运行管理制度；</w:t>
      </w:r>
    </w:p>
    <w:p>
      <w:pPr>
        <w:bidi w:val="0"/>
        <w:rPr>
          <w:color w:val="0000FF"/>
        </w:rPr>
      </w:pPr>
      <w:r>
        <w:rPr>
          <w:color w:val="0000FF"/>
        </w:rPr>
        <w:t>（4）排污情况报告制度；</w:t>
      </w:r>
    </w:p>
    <w:p>
      <w:pPr>
        <w:bidi w:val="0"/>
        <w:rPr>
          <w:color w:val="0000FF"/>
        </w:rPr>
      </w:pPr>
      <w:r>
        <w:rPr>
          <w:color w:val="0000FF"/>
        </w:rPr>
        <w:t>（5）污染事故处理制度；</w:t>
      </w:r>
    </w:p>
    <w:p>
      <w:pPr>
        <w:bidi w:val="0"/>
        <w:rPr>
          <w:color w:val="0000FF"/>
        </w:rPr>
      </w:pPr>
      <w:r>
        <w:rPr>
          <w:color w:val="0000FF"/>
        </w:rPr>
        <w:t>（6）环保教育制度。</w:t>
      </w:r>
    </w:p>
    <w:p>
      <w:pPr>
        <w:pStyle w:val="5"/>
        <w:bidi w:val="0"/>
        <w:rPr>
          <w:color w:val="0000FF"/>
        </w:rPr>
      </w:pPr>
      <w:bookmarkStart w:id="137" w:name="_bookmark36"/>
      <w:bookmarkEnd w:id="137"/>
      <w:bookmarkStart w:id="138" w:name="_Toc15824"/>
      <w:r>
        <w:rPr>
          <w:color w:val="0000FF"/>
        </w:rPr>
        <w:t>8.5“三同时”竣工验收一览表</w:t>
      </w:r>
      <w:bookmarkEnd w:id="138"/>
    </w:p>
    <w:p>
      <w:pPr>
        <w:bidi w:val="0"/>
        <w:rPr>
          <w:color w:val="0000FF"/>
        </w:rPr>
      </w:pPr>
      <w:r>
        <w:rPr>
          <w:color w:val="0000FF"/>
        </w:rPr>
        <w:t>本工程完成后，根据《国务院关于修改〈建设项目环境保护管理条例〉的决定》（国务院令第682号，2017年10月1日）和《建设项目环境保护事中事后监督管理办法》的要求，由企业自行进行验收调查。其验收的主要内容见表8.5-1。</w:t>
      </w:r>
    </w:p>
    <w:p>
      <w:pPr>
        <w:pStyle w:val="22"/>
        <w:bidi w:val="0"/>
        <w:rPr>
          <w:b/>
          <w:bCs/>
          <w:color w:val="0000FF"/>
        </w:rPr>
      </w:pPr>
      <w:r>
        <w:rPr>
          <w:b/>
          <w:bCs/>
          <w:color w:val="0000FF"/>
        </w:rPr>
        <w:t>表8.5-1环保“三同时”竣工验收一览表</w:t>
      </w:r>
    </w:p>
    <w:tbl>
      <w:tblPr>
        <w:tblStyle w:val="23"/>
        <w:tblW w:w="871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968"/>
        <w:gridCol w:w="1636"/>
        <w:gridCol w:w="2346"/>
        <w:gridCol w:w="2100"/>
        <w:gridCol w:w="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32" w:type="dxa"/>
            <w:tcBorders>
              <w:tl2br w:val="nil"/>
              <w:tr2bl w:val="nil"/>
            </w:tcBorders>
            <w:vAlign w:val="center"/>
          </w:tcPr>
          <w:p>
            <w:pPr>
              <w:pStyle w:val="22"/>
              <w:bidi w:val="0"/>
              <w:rPr>
                <w:color w:val="0000FF"/>
              </w:rPr>
            </w:pPr>
            <w:r>
              <w:rPr>
                <w:color w:val="0000FF"/>
              </w:rPr>
              <w:t>项目</w:t>
            </w:r>
          </w:p>
        </w:tc>
        <w:tc>
          <w:tcPr>
            <w:tcW w:w="968" w:type="dxa"/>
            <w:tcBorders>
              <w:tl2br w:val="nil"/>
              <w:tr2bl w:val="nil"/>
            </w:tcBorders>
            <w:vAlign w:val="center"/>
          </w:tcPr>
          <w:p>
            <w:pPr>
              <w:pStyle w:val="22"/>
              <w:bidi w:val="0"/>
              <w:rPr>
                <w:color w:val="0000FF"/>
              </w:rPr>
            </w:pPr>
            <w:r>
              <w:rPr>
                <w:color w:val="0000FF"/>
              </w:rPr>
              <w:t>污染源</w:t>
            </w:r>
          </w:p>
        </w:tc>
        <w:tc>
          <w:tcPr>
            <w:tcW w:w="1636" w:type="dxa"/>
            <w:tcBorders>
              <w:tl2br w:val="nil"/>
              <w:tr2bl w:val="nil"/>
            </w:tcBorders>
            <w:vAlign w:val="center"/>
          </w:tcPr>
          <w:p>
            <w:pPr>
              <w:pStyle w:val="22"/>
              <w:bidi w:val="0"/>
              <w:rPr>
                <w:color w:val="0000FF"/>
              </w:rPr>
            </w:pPr>
            <w:r>
              <w:rPr>
                <w:color w:val="0000FF"/>
              </w:rPr>
              <w:t>污染物</w:t>
            </w:r>
          </w:p>
        </w:tc>
        <w:tc>
          <w:tcPr>
            <w:tcW w:w="2346" w:type="dxa"/>
            <w:tcBorders>
              <w:tl2br w:val="nil"/>
              <w:tr2bl w:val="nil"/>
            </w:tcBorders>
            <w:vAlign w:val="center"/>
          </w:tcPr>
          <w:p>
            <w:pPr>
              <w:pStyle w:val="22"/>
              <w:bidi w:val="0"/>
              <w:rPr>
                <w:color w:val="0000FF"/>
              </w:rPr>
            </w:pPr>
            <w:r>
              <w:rPr>
                <w:color w:val="0000FF"/>
              </w:rPr>
              <w:t>治理措施</w:t>
            </w:r>
          </w:p>
        </w:tc>
        <w:tc>
          <w:tcPr>
            <w:tcW w:w="2100" w:type="dxa"/>
            <w:tcBorders>
              <w:tl2br w:val="nil"/>
              <w:tr2bl w:val="nil"/>
            </w:tcBorders>
            <w:vAlign w:val="center"/>
          </w:tcPr>
          <w:p>
            <w:pPr>
              <w:pStyle w:val="22"/>
              <w:bidi w:val="0"/>
              <w:rPr>
                <w:color w:val="0000FF"/>
              </w:rPr>
            </w:pPr>
            <w:r>
              <w:rPr>
                <w:color w:val="0000FF"/>
              </w:rPr>
              <w:t>验收标准</w:t>
            </w:r>
          </w:p>
        </w:tc>
        <w:tc>
          <w:tcPr>
            <w:tcW w:w="733" w:type="dxa"/>
            <w:tcBorders>
              <w:tl2br w:val="nil"/>
              <w:tr2bl w:val="nil"/>
            </w:tcBorders>
            <w:vAlign w:val="center"/>
          </w:tcPr>
          <w:p>
            <w:pPr>
              <w:pStyle w:val="22"/>
              <w:bidi w:val="0"/>
              <w:rPr>
                <w:color w:val="0000FF"/>
              </w:rPr>
            </w:pPr>
            <w:r>
              <w:rPr>
                <w:color w:val="0000FF"/>
              </w:rPr>
              <w:t>检测</w:t>
            </w:r>
          </w:p>
          <w:p>
            <w:pPr>
              <w:pStyle w:val="22"/>
              <w:bidi w:val="0"/>
              <w:rPr>
                <w:color w:val="0000FF"/>
              </w:rPr>
            </w:pPr>
            <w:r>
              <w:rPr>
                <w:color w:val="0000FF"/>
              </w:rPr>
              <w:t>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32" w:type="dxa"/>
            <w:vMerge w:val="restart"/>
            <w:tcBorders>
              <w:tl2br w:val="nil"/>
              <w:tr2bl w:val="nil"/>
            </w:tcBorders>
            <w:vAlign w:val="center"/>
          </w:tcPr>
          <w:p>
            <w:pPr>
              <w:pStyle w:val="22"/>
              <w:bidi w:val="0"/>
              <w:rPr>
                <w:color w:val="0000FF"/>
              </w:rPr>
            </w:pPr>
            <w:r>
              <w:rPr>
                <w:color w:val="0000FF"/>
              </w:rPr>
              <w:t>废气</w:t>
            </w:r>
          </w:p>
        </w:tc>
        <w:tc>
          <w:tcPr>
            <w:tcW w:w="968" w:type="dxa"/>
            <w:vMerge w:val="restart"/>
            <w:tcBorders>
              <w:tl2br w:val="nil"/>
              <w:tr2bl w:val="nil"/>
            </w:tcBorders>
            <w:vAlign w:val="center"/>
          </w:tcPr>
          <w:p>
            <w:pPr>
              <w:pStyle w:val="22"/>
              <w:bidi w:val="0"/>
              <w:rPr>
                <w:color w:val="0000FF"/>
              </w:rPr>
            </w:pPr>
            <w:r>
              <w:rPr>
                <w:color w:val="0000FF"/>
              </w:rPr>
              <w:t>实验</w:t>
            </w:r>
          </w:p>
          <w:p>
            <w:pPr>
              <w:pStyle w:val="22"/>
              <w:bidi w:val="0"/>
              <w:rPr>
                <w:color w:val="0000FF"/>
              </w:rPr>
            </w:pPr>
            <w:r>
              <w:rPr>
                <w:color w:val="0000FF"/>
              </w:rPr>
              <w:t>废气</w:t>
            </w:r>
          </w:p>
        </w:tc>
        <w:tc>
          <w:tcPr>
            <w:tcW w:w="1636" w:type="dxa"/>
            <w:tcBorders>
              <w:tl2br w:val="nil"/>
              <w:tr2bl w:val="nil"/>
            </w:tcBorders>
            <w:vAlign w:val="center"/>
          </w:tcPr>
          <w:p>
            <w:pPr>
              <w:pStyle w:val="22"/>
              <w:bidi w:val="0"/>
              <w:rPr>
                <w:color w:val="0000FF"/>
              </w:rPr>
            </w:pPr>
            <w:r>
              <w:rPr>
                <w:color w:val="0000FF"/>
              </w:rPr>
              <w:t>实验废气</w:t>
            </w:r>
          </w:p>
        </w:tc>
        <w:tc>
          <w:tcPr>
            <w:tcW w:w="2346" w:type="dxa"/>
            <w:tcBorders>
              <w:tl2br w:val="nil"/>
              <w:tr2bl w:val="nil"/>
            </w:tcBorders>
            <w:vAlign w:val="center"/>
          </w:tcPr>
          <w:p>
            <w:pPr>
              <w:pStyle w:val="22"/>
              <w:bidi w:val="0"/>
              <w:rPr>
                <w:color w:val="0000FF"/>
              </w:rPr>
            </w:pPr>
            <w:r>
              <w:rPr>
                <w:rFonts w:hint="eastAsia"/>
                <w:color w:val="0000FF"/>
                <w:lang w:val="en-US" w:eastAsia="zh-CN"/>
              </w:rPr>
              <w:t>集气罩</w:t>
            </w:r>
            <w:r>
              <w:rPr>
                <w:color w:val="0000FF"/>
              </w:rPr>
              <w:t>+活性炭吸附+专用风道排放至楼顶</w:t>
            </w:r>
          </w:p>
        </w:tc>
        <w:tc>
          <w:tcPr>
            <w:tcW w:w="2100" w:type="dxa"/>
            <w:vMerge w:val="restart"/>
            <w:tcBorders>
              <w:tl2br w:val="nil"/>
              <w:tr2bl w:val="nil"/>
            </w:tcBorders>
            <w:vAlign w:val="center"/>
          </w:tcPr>
          <w:p>
            <w:pPr>
              <w:pStyle w:val="22"/>
              <w:bidi w:val="0"/>
              <w:rPr>
                <w:color w:val="0000FF"/>
              </w:rPr>
            </w:pPr>
            <w:r>
              <w:rPr>
                <w:color w:val="0000FF"/>
              </w:rPr>
              <w:t>《大气污染物综合排放标准》（GB16297-1996）有组织标准</w:t>
            </w:r>
          </w:p>
        </w:tc>
        <w:tc>
          <w:tcPr>
            <w:tcW w:w="733" w:type="dxa"/>
            <w:vMerge w:val="restart"/>
            <w:tcBorders>
              <w:tl2br w:val="nil"/>
              <w:tr2bl w:val="nil"/>
            </w:tcBorders>
            <w:vAlign w:val="center"/>
          </w:tcPr>
          <w:p>
            <w:pPr>
              <w:pStyle w:val="22"/>
              <w:bidi w:val="0"/>
              <w:rPr>
                <w:color w:val="0000FF"/>
              </w:rPr>
            </w:pPr>
            <w:r>
              <w:rPr>
                <w:color w:val="0000FF"/>
              </w:rPr>
              <w:t>验收监测因子与表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932" w:type="dxa"/>
            <w:vMerge w:val="continue"/>
            <w:tcBorders>
              <w:tl2br w:val="nil"/>
              <w:tr2bl w:val="nil"/>
            </w:tcBorders>
            <w:vAlign w:val="center"/>
          </w:tcPr>
          <w:p>
            <w:pPr>
              <w:pStyle w:val="22"/>
              <w:bidi w:val="0"/>
              <w:rPr>
                <w:color w:val="0000FF"/>
              </w:rPr>
            </w:pPr>
          </w:p>
        </w:tc>
        <w:tc>
          <w:tcPr>
            <w:tcW w:w="968" w:type="dxa"/>
            <w:vMerge w:val="continue"/>
            <w:tcBorders>
              <w:tl2br w:val="nil"/>
              <w:tr2bl w:val="nil"/>
            </w:tcBorders>
            <w:vAlign w:val="center"/>
          </w:tcPr>
          <w:p>
            <w:pPr>
              <w:pStyle w:val="22"/>
              <w:bidi w:val="0"/>
              <w:rPr>
                <w:color w:val="0000FF"/>
              </w:rPr>
            </w:pPr>
          </w:p>
        </w:tc>
        <w:tc>
          <w:tcPr>
            <w:tcW w:w="1636" w:type="dxa"/>
            <w:tcBorders>
              <w:tl2br w:val="nil"/>
              <w:tr2bl w:val="nil"/>
            </w:tcBorders>
            <w:vAlign w:val="center"/>
          </w:tcPr>
          <w:p>
            <w:pPr>
              <w:pStyle w:val="22"/>
              <w:bidi w:val="0"/>
              <w:rPr>
                <w:color w:val="0000FF"/>
              </w:rPr>
            </w:pPr>
            <w:r>
              <w:rPr>
                <w:color w:val="0000FF"/>
              </w:rPr>
              <w:t>带菌空气</w:t>
            </w:r>
          </w:p>
        </w:tc>
        <w:tc>
          <w:tcPr>
            <w:tcW w:w="2346" w:type="dxa"/>
            <w:tcBorders>
              <w:tl2br w:val="nil"/>
              <w:tr2bl w:val="nil"/>
            </w:tcBorders>
            <w:vAlign w:val="center"/>
          </w:tcPr>
          <w:p>
            <w:pPr>
              <w:pStyle w:val="22"/>
              <w:bidi w:val="0"/>
              <w:rPr>
                <w:rFonts w:hint="eastAsia"/>
                <w:color w:val="0000FF"/>
                <w:lang w:val="en-US" w:eastAsia="zh-CN"/>
              </w:rPr>
            </w:pPr>
            <w:r>
              <w:rPr>
                <w:color w:val="0000FF"/>
              </w:rPr>
              <w:t>实验在生物安全柜内操作</w:t>
            </w:r>
            <w:r>
              <w:rPr>
                <w:rFonts w:hint="eastAsia"/>
                <w:color w:val="0000FF"/>
                <w:lang w:val="en-US" w:eastAsia="zh-CN"/>
              </w:rPr>
              <w:t>+</w:t>
            </w:r>
            <w:r>
              <w:rPr>
                <w:color w:val="0000FF"/>
              </w:rPr>
              <w:t>高效过滤器</w:t>
            </w:r>
            <w:r>
              <w:rPr>
                <w:rFonts w:hint="eastAsia"/>
                <w:color w:val="0000FF"/>
                <w:lang w:val="en-US" w:eastAsia="zh-CN"/>
              </w:rPr>
              <w:t>+</w:t>
            </w:r>
            <w:r>
              <w:rPr>
                <w:color w:val="0000FF"/>
              </w:rPr>
              <w:t>专用风道排放至楼顶</w:t>
            </w:r>
          </w:p>
        </w:tc>
        <w:tc>
          <w:tcPr>
            <w:tcW w:w="2100" w:type="dxa"/>
            <w:vMerge w:val="continue"/>
            <w:tcBorders>
              <w:tl2br w:val="nil"/>
              <w:tr2bl w:val="nil"/>
            </w:tcBorders>
            <w:vAlign w:val="center"/>
          </w:tcPr>
          <w:p>
            <w:pPr>
              <w:pStyle w:val="22"/>
              <w:bidi w:val="0"/>
              <w:rPr>
                <w:color w:val="0000FF"/>
              </w:rPr>
            </w:pPr>
          </w:p>
        </w:tc>
        <w:tc>
          <w:tcPr>
            <w:tcW w:w="733" w:type="dxa"/>
            <w:vMerge w:val="continue"/>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932" w:type="dxa"/>
            <w:vMerge w:val="continue"/>
            <w:tcBorders>
              <w:tl2br w:val="nil"/>
              <w:tr2bl w:val="nil"/>
            </w:tcBorders>
            <w:vAlign w:val="center"/>
          </w:tcPr>
          <w:p>
            <w:pPr>
              <w:pStyle w:val="22"/>
              <w:bidi w:val="0"/>
              <w:rPr>
                <w:color w:val="0000FF"/>
              </w:rPr>
            </w:pPr>
          </w:p>
        </w:tc>
        <w:tc>
          <w:tcPr>
            <w:tcW w:w="968" w:type="dxa"/>
            <w:tcBorders>
              <w:tl2br w:val="nil"/>
              <w:tr2bl w:val="nil"/>
            </w:tcBorders>
            <w:vAlign w:val="center"/>
          </w:tcPr>
          <w:p>
            <w:pPr>
              <w:pStyle w:val="22"/>
              <w:bidi w:val="0"/>
              <w:rPr>
                <w:color w:val="0000FF"/>
              </w:rPr>
            </w:pPr>
            <w:r>
              <w:rPr>
                <w:color w:val="0000FF"/>
              </w:rPr>
              <w:t>污水站恶臭</w:t>
            </w:r>
          </w:p>
        </w:tc>
        <w:tc>
          <w:tcPr>
            <w:tcW w:w="1636" w:type="dxa"/>
            <w:tcBorders>
              <w:tl2br w:val="nil"/>
              <w:tr2bl w:val="nil"/>
            </w:tcBorders>
            <w:vAlign w:val="center"/>
          </w:tcPr>
          <w:p>
            <w:pPr>
              <w:pStyle w:val="22"/>
              <w:bidi w:val="0"/>
              <w:rPr>
                <w:color w:val="0000FF"/>
              </w:rPr>
            </w:pPr>
            <w:r>
              <w:rPr>
                <w:color w:val="0000FF"/>
              </w:rPr>
              <w:t>氨、硫化氢、臭气浓度</w:t>
            </w:r>
          </w:p>
        </w:tc>
        <w:tc>
          <w:tcPr>
            <w:tcW w:w="2346" w:type="dxa"/>
            <w:tcBorders>
              <w:tl2br w:val="nil"/>
              <w:tr2bl w:val="nil"/>
            </w:tcBorders>
            <w:vAlign w:val="center"/>
          </w:tcPr>
          <w:p>
            <w:pPr>
              <w:pStyle w:val="22"/>
              <w:bidi w:val="0"/>
              <w:rPr>
                <w:color w:val="0000FF"/>
              </w:rPr>
            </w:pPr>
            <w:r>
              <w:rPr>
                <w:color w:val="0000FF"/>
              </w:rPr>
              <w:t>密闭空间、活性吸附后通风窗口无组织排放</w:t>
            </w:r>
          </w:p>
        </w:tc>
        <w:tc>
          <w:tcPr>
            <w:tcW w:w="2100" w:type="dxa"/>
            <w:tcBorders>
              <w:tl2br w:val="nil"/>
              <w:tr2bl w:val="nil"/>
            </w:tcBorders>
            <w:vAlign w:val="center"/>
          </w:tcPr>
          <w:p>
            <w:pPr>
              <w:pStyle w:val="22"/>
              <w:bidi w:val="0"/>
              <w:rPr>
                <w:color w:val="0000FF"/>
              </w:rPr>
            </w:pPr>
            <w:r>
              <w:rPr>
                <w:color w:val="0000FF"/>
              </w:rPr>
              <w:t>《医疗机构水污染物排放标准》（GB18466-2005）中表3的排放标准限值</w:t>
            </w:r>
          </w:p>
        </w:tc>
        <w:tc>
          <w:tcPr>
            <w:tcW w:w="733" w:type="dxa"/>
            <w:vMerge w:val="restart"/>
            <w:tcBorders>
              <w:tl2br w:val="nil"/>
              <w:tr2bl w:val="nil"/>
            </w:tcBorders>
            <w:vAlign w:val="center"/>
          </w:tcPr>
          <w:p>
            <w:pPr>
              <w:pStyle w:val="22"/>
              <w:bidi w:val="0"/>
              <w:rPr>
                <w:color w:val="0000FF"/>
              </w:rPr>
            </w:pPr>
            <w:r>
              <w:rPr>
                <w:color w:val="0000FF"/>
              </w:rPr>
              <w:t>8.2-1项目监测计划相同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32" w:type="dxa"/>
            <w:vMerge w:val="restart"/>
            <w:tcBorders>
              <w:tl2br w:val="nil"/>
              <w:tr2bl w:val="nil"/>
            </w:tcBorders>
            <w:vAlign w:val="center"/>
          </w:tcPr>
          <w:p>
            <w:pPr>
              <w:pStyle w:val="22"/>
              <w:bidi w:val="0"/>
              <w:rPr>
                <w:color w:val="0000FF"/>
              </w:rPr>
            </w:pPr>
            <w:r>
              <w:rPr>
                <w:color w:val="0000FF"/>
              </w:rPr>
              <w:t>废水</w:t>
            </w:r>
          </w:p>
        </w:tc>
        <w:tc>
          <w:tcPr>
            <w:tcW w:w="968" w:type="dxa"/>
            <w:vMerge w:val="restart"/>
            <w:tcBorders>
              <w:tl2br w:val="nil"/>
              <w:tr2bl w:val="nil"/>
            </w:tcBorders>
            <w:vAlign w:val="center"/>
          </w:tcPr>
          <w:p>
            <w:pPr>
              <w:pStyle w:val="22"/>
              <w:bidi w:val="0"/>
              <w:rPr>
                <w:color w:val="0000FF"/>
              </w:rPr>
            </w:pPr>
            <w:r>
              <w:rPr>
                <w:color w:val="0000FF"/>
              </w:rPr>
              <w:t>疾控中心</w:t>
            </w:r>
          </w:p>
        </w:tc>
        <w:tc>
          <w:tcPr>
            <w:tcW w:w="1636" w:type="dxa"/>
            <w:tcBorders>
              <w:tl2br w:val="nil"/>
              <w:tr2bl w:val="nil"/>
            </w:tcBorders>
            <w:vAlign w:val="center"/>
          </w:tcPr>
          <w:p>
            <w:pPr>
              <w:pStyle w:val="22"/>
              <w:bidi w:val="0"/>
              <w:rPr>
                <w:color w:val="0000FF"/>
              </w:rPr>
            </w:pPr>
            <w:r>
              <w:rPr>
                <w:color w:val="0000FF"/>
              </w:rPr>
              <w:t>办公楼生活污水</w:t>
            </w:r>
          </w:p>
        </w:tc>
        <w:tc>
          <w:tcPr>
            <w:tcW w:w="2346" w:type="dxa"/>
            <w:tcBorders>
              <w:tl2br w:val="nil"/>
              <w:tr2bl w:val="nil"/>
            </w:tcBorders>
            <w:vAlign w:val="center"/>
          </w:tcPr>
          <w:p>
            <w:pPr>
              <w:pStyle w:val="22"/>
              <w:bidi w:val="0"/>
              <w:rPr>
                <w:color w:val="0000FF"/>
              </w:rPr>
            </w:pPr>
            <w:r>
              <w:rPr>
                <w:color w:val="0000FF"/>
              </w:rPr>
              <w:t>活污水经化粪池处理后</w:t>
            </w:r>
            <w:r>
              <w:rPr>
                <w:rFonts w:hint="eastAsia"/>
                <w:color w:val="0000FF"/>
                <w:lang w:val="en-US" w:eastAsia="zh-CN"/>
              </w:rPr>
              <w:t>经市政管网</w:t>
            </w:r>
            <w:r>
              <w:rPr>
                <w:color w:val="0000FF"/>
              </w:rPr>
              <w:t>进入</w:t>
            </w:r>
            <w:r>
              <w:rPr>
                <w:rFonts w:hint="eastAsia"/>
                <w:color w:val="0000FF"/>
                <w:lang w:val="en-US" w:eastAsia="zh-CN"/>
              </w:rPr>
              <w:t>225团</w:t>
            </w:r>
            <w:r>
              <w:rPr>
                <w:color w:val="0000FF"/>
              </w:rPr>
              <w:t>污水处理厂处理；</w:t>
            </w:r>
          </w:p>
        </w:tc>
        <w:tc>
          <w:tcPr>
            <w:tcW w:w="2100" w:type="dxa"/>
            <w:tcBorders>
              <w:tl2br w:val="nil"/>
              <w:tr2bl w:val="nil"/>
            </w:tcBorders>
            <w:vAlign w:val="center"/>
          </w:tcPr>
          <w:p>
            <w:pPr>
              <w:pStyle w:val="22"/>
              <w:bidi w:val="0"/>
              <w:rPr>
                <w:color w:val="0000FF"/>
              </w:rPr>
            </w:pPr>
            <w:r>
              <w:rPr>
                <w:color w:val="0000FF"/>
              </w:rPr>
              <w:t>《污水综合排放标准》（GB8978-1996）</w:t>
            </w:r>
          </w:p>
          <w:p>
            <w:pPr>
              <w:pStyle w:val="22"/>
              <w:bidi w:val="0"/>
              <w:rPr>
                <w:color w:val="0000FF"/>
              </w:rPr>
            </w:pPr>
            <w:r>
              <w:rPr>
                <w:color w:val="0000FF"/>
              </w:rPr>
              <w:t>中三级标准</w:t>
            </w:r>
          </w:p>
        </w:tc>
        <w:tc>
          <w:tcPr>
            <w:tcW w:w="733" w:type="dxa"/>
            <w:vMerge w:val="continue"/>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32" w:type="dxa"/>
            <w:vMerge w:val="continue"/>
            <w:tcBorders>
              <w:tl2br w:val="nil"/>
              <w:tr2bl w:val="nil"/>
            </w:tcBorders>
            <w:vAlign w:val="center"/>
          </w:tcPr>
          <w:p>
            <w:pPr>
              <w:pStyle w:val="22"/>
              <w:bidi w:val="0"/>
              <w:rPr>
                <w:color w:val="0000FF"/>
              </w:rPr>
            </w:pPr>
          </w:p>
        </w:tc>
        <w:tc>
          <w:tcPr>
            <w:tcW w:w="968" w:type="dxa"/>
            <w:vMerge w:val="continue"/>
            <w:tcBorders>
              <w:tl2br w:val="nil"/>
              <w:tr2bl w:val="nil"/>
            </w:tcBorders>
            <w:vAlign w:val="center"/>
          </w:tcPr>
          <w:p>
            <w:pPr>
              <w:pStyle w:val="22"/>
              <w:bidi w:val="0"/>
              <w:rPr>
                <w:color w:val="0000FF"/>
              </w:rPr>
            </w:pPr>
          </w:p>
        </w:tc>
        <w:tc>
          <w:tcPr>
            <w:tcW w:w="1636" w:type="dxa"/>
            <w:tcBorders>
              <w:tl2br w:val="nil"/>
              <w:tr2bl w:val="nil"/>
            </w:tcBorders>
            <w:vAlign w:val="center"/>
          </w:tcPr>
          <w:p>
            <w:pPr>
              <w:pStyle w:val="22"/>
              <w:bidi w:val="0"/>
              <w:rPr>
                <w:rFonts w:hint="eastAsia"/>
                <w:color w:val="0000FF"/>
                <w:lang w:eastAsia="zh-CN"/>
              </w:rPr>
            </w:pPr>
            <w:r>
              <w:rPr>
                <w:color w:val="0000FF"/>
              </w:rPr>
              <w:t>纯水制备浓水</w:t>
            </w:r>
            <w:r>
              <w:rPr>
                <w:rFonts w:hint="eastAsia"/>
                <w:color w:val="0000FF"/>
                <w:lang w:eastAsia="zh-CN"/>
              </w:rPr>
              <w:t>、</w:t>
            </w:r>
          </w:p>
          <w:p>
            <w:pPr>
              <w:pStyle w:val="22"/>
              <w:bidi w:val="0"/>
              <w:rPr>
                <w:color w:val="0000FF"/>
              </w:rPr>
            </w:pPr>
            <w:r>
              <w:rPr>
                <w:color w:val="0000FF"/>
              </w:rPr>
              <w:t>微生物实验室废</w:t>
            </w:r>
          </w:p>
          <w:p>
            <w:pPr>
              <w:pStyle w:val="22"/>
              <w:bidi w:val="0"/>
              <w:rPr>
                <w:color w:val="0000FF"/>
              </w:rPr>
            </w:pPr>
            <w:r>
              <w:rPr>
                <w:color w:val="0000FF"/>
              </w:rPr>
              <w:t>水</w:t>
            </w:r>
            <w:r>
              <w:rPr>
                <w:rFonts w:hint="eastAsia"/>
                <w:color w:val="0000FF"/>
                <w:lang w:eastAsia="zh-CN"/>
              </w:rPr>
              <w:t>、</w:t>
            </w:r>
            <w:r>
              <w:rPr>
                <w:color w:val="0000FF"/>
              </w:rPr>
              <w:t>理化实验室废水</w:t>
            </w:r>
          </w:p>
        </w:tc>
        <w:tc>
          <w:tcPr>
            <w:tcW w:w="2346" w:type="dxa"/>
            <w:tcBorders>
              <w:tl2br w:val="nil"/>
              <w:tr2bl w:val="nil"/>
            </w:tcBorders>
            <w:vAlign w:val="center"/>
          </w:tcPr>
          <w:p>
            <w:pPr>
              <w:pStyle w:val="22"/>
              <w:bidi w:val="0"/>
              <w:rPr>
                <w:color w:val="0000FF"/>
              </w:rPr>
            </w:pPr>
            <w:r>
              <w:rPr>
                <w:color w:val="0000FF"/>
              </w:rPr>
              <w:t>实验室废水进入自建污水处理站处理后，</w:t>
            </w:r>
            <w:r>
              <w:rPr>
                <w:rFonts w:hint="eastAsia"/>
                <w:color w:val="0000FF"/>
                <w:lang w:val="en-US" w:eastAsia="zh-CN"/>
              </w:rPr>
              <w:t>经市政污水管网进入225团</w:t>
            </w:r>
            <w:r>
              <w:rPr>
                <w:color w:val="0000FF"/>
              </w:rPr>
              <w:t>污水处理厂处理</w:t>
            </w:r>
          </w:p>
        </w:tc>
        <w:tc>
          <w:tcPr>
            <w:tcW w:w="2100" w:type="dxa"/>
            <w:tcBorders>
              <w:tl2br w:val="nil"/>
              <w:tr2bl w:val="nil"/>
            </w:tcBorders>
            <w:vAlign w:val="center"/>
          </w:tcPr>
          <w:p>
            <w:pPr>
              <w:pStyle w:val="22"/>
              <w:bidi w:val="0"/>
              <w:rPr>
                <w:color w:val="0000FF"/>
              </w:rPr>
            </w:pPr>
            <w:r>
              <w:rPr>
                <w:color w:val="0000FF"/>
              </w:rPr>
              <w:t>病原微生物不得检出，《医疗机构水污染物排放标准》（GB18466-2005）中表2预处理排放标准</w:t>
            </w:r>
          </w:p>
        </w:tc>
        <w:tc>
          <w:tcPr>
            <w:tcW w:w="733" w:type="dxa"/>
            <w:vMerge w:val="continue"/>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932" w:type="dxa"/>
            <w:vMerge w:val="restart"/>
            <w:tcBorders>
              <w:tl2br w:val="nil"/>
              <w:tr2bl w:val="nil"/>
            </w:tcBorders>
            <w:vAlign w:val="center"/>
          </w:tcPr>
          <w:p>
            <w:pPr>
              <w:pStyle w:val="22"/>
              <w:bidi w:val="0"/>
              <w:rPr>
                <w:color w:val="0000FF"/>
              </w:rPr>
            </w:pPr>
            <w:r>
              <w:rPr>
                <w:color w:val="0000FF"/>
              </w:rPr>
              <w:t>噪声</w:t>
            </w:r>
          </w:p>
        </w:tc>
        <w:tc>
          <w:tcPr>
            <w:tcW w:w="968" w:type="dxa"/>
            <w:tcBorders>
              <w:tl2br w:val="nil"/>
              <w:tr2bl w:val="nil"/>
            </w:tcBorders>
            <w:vAlign w:val="center"/>
          </w:tcPr>
          <w:p>
            <w:pPr>
              <w:pStyle w:val="22"/>
              <w:bidi w:val="0"/>
              <w:rPr>
                <w:color w:val="0000FF"/>
              </w:rPr>
            </w:pPr>
            <w:r>
              <w:rPr>
                <w:color w:val="0000FF"/>
              </w:rPr>
              <w:t>实验室</w:t>
            </w:r>
          </w:p>
        </w:tc>
        <w:tc>
          <w:tcPr>
            <w:tcW w:w="1636" w:type="dxa"/>
            <w:tcBorders>
              <w:tl2br w:val="nil"/>
              <w:tr2bl w:val="nil"/>
            </w:tcBorders>
            <w:vAlign w:val="center"/>
          </w:tcPr>
          <w:p>
            <w:pPr>
              <w:pStyle w:val="22"/>
              <w:bidi w:val="0"/>
              <w:rPr>
                <w:color w:val="0000FF"/>
              </w:rPr>
            </w:pPr>
            <w:r>
              <w:rPr>
                <w:color w:val="0000FF"/>
              </w:rPr>
              <w:t>风机等</w:t>
            </w:r>
          </w:p>
        </w:tc>
        <w:tc>
          <w:tcPr>
            <w:tcW w:w="2346" w:type="dxa"/>
            <w:tcBorders>
              <w:tl2br w:val="nil"/>
              <w:tr2bl w:val="nil"/>
            </w:tcBorders>
            <w:vAlign w:val="center"/>
          </w:tcPr>
          <w:p>
            <w:pPr>
              <w:pStyle w:val="22"/>
              <w:bidi w:val="0"/>
              <w:rPr>
                <w:color w:val="0000FF"/>
              </w:rPr>
            </w:pPr>
            <w:r>
              <w:rPr>
                <w:color w:val="0000FF"/>
              </w:rPr>
              <w:t>隔声减震</w:t>
            </w:r>
          </w:p>
        </w:tc>
        <w:tc>
          <w:tcPr>
            <w:tcW w:w="2100" w:type="dxa"/>
            <w:vMerge w:val="restart"/>
            <w:tcBorders>
              <w:tl2br w:val="nil"/>
              <w:tr2bl w:val="nil"/>
            </w:tcBorders>
            <w:vAlign w:val="center"/>
          </w:tcPr>
          <w:p>
            <w:pPr>
              <w:pStyle w:val="22"/>
              <w:bidi w:val="0"/>
              <w:rPr>
                <w:color w:val="0000FF"/>
              </w:rPr>
            </w:pPr>
            <w:r>
              <w:rPr>
                <w:color w:val="0000FF"/>
              </w:rPr>
              <w:t>符合《工业企业厂界环境噪声排放标准》（GB12348-2008）中的</w:t>
            </w:r>
            <w:r>
              <w:rPr>
                <w:rFonts w:hint="eastAsia"/>
                <w:color w:val="0000FF"/>
                <w:lang w:val="en-US" w:eastAsia="zh-CN"/>
              </w:rPr>
              <w:t>1</w:t>
            </w:r>
            <w:r>
              <w:rPr>
                <w:color w:val="0000FF"/>
              </w:rPr>
              <w:t>类标准排放限值</w:t>
            </w:r>
          </w:p>
        </w:tc>
        <w:tc>
          <w:tcPr>
            <w:tcW w:w="733" w:type="dxa"/>
            <w:vMerge w:val="continue"/>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32" w:type="dxa"/>
            <w:vMerge w:val="continue"/>
            <w:tcBorders>
              <w:tl2br w:val="nil"/>
              <w:tr2bl w:val="nil"/>
            </w:tcBorders>
            <w:vAlign w:val="center"/>
          </w:tcPr>
          <w:p>
            <w:pPr>
              <w:pStyle w:val="22"/>
              <w:bidi w:val="0"/>
              <w:rPr>
                <w:color w:val="0000FF"/>
              </w:rPr>
            </w:pPr>
          </w:p>
        </w:tc>
        <w:tc>
          <w:tcPr>
            <w:tcW w:w="968" w:type="dxa"/>
            <w:tcBorders>
              <w:tl2br w:val="nil"/>
              <w:tr2bl w:val="nil"/>
            </w:tcBorders>
            <w:vAlign w:val="center"/>
          </w:tcPr>
          <w:p>
            <w:pPr>
              <w:pStyle w:val="22"/>
              <w:bidi w:val="0"/>
              <w:rPr>
                <w:color w:val="0000FF"/>
              </w:rPr>
            </w:pPr>
            <w:r>
              <w:rPr>
                <w:color w:val="0000FF"/>
              </w:rPr>
              <w:t>疾控中心</w:t>
            </w:r>
          </w:p>
        </w:tc>
        <w:tc>
          <w:tcPr>
            <w:tcW w:w="1636" w:type="dxa"/>
            <w:tcBorders>
              <w:tl2br w:val="nil"/>
              <w:tr2bl w:val="nil"/>
            </w:tcBorders>
            <w:vAlign w:val="center"/>
          </w:tcPr>
          <w:p>
            <w:pPr>
              <w:pStyle w:val="22"/>
              <w:bidi w:val="0"/>
              <w:rPr>
                <w:color w:val="0000FF"/>
              </w:rPr>
            </w:pPr>
            <w:r>
              <w:rPr>
                <w:color w:val="0000FF"/>
              </w:rPr>
              <w:t>社会活动噪声</w:t>
            </w:r>
          </w:p>
        </w:tc>
        <w:tc>
          <w:tcPr>
            <w:tcW w:w="2346" w:type="dxa"/>
            <w:tcBorders>
              <w:tl2br w:val="nil"/>
              <w:tr2bl w:val="nil"/>
            </w:tcBorders>
            <w:vAlign w:val="center"/>
          </w:tcPr>
          <w:p>
            <w:pPr>
              <w:pStyle w:val="22"/>
              <w:bidi w:val="0"/>
              <w:rPr>
                <w:color w:val="0000FF"/>
              </w:rPr>
            </w:pPr>
            <w:r>
              <w:rPr>
                <w:color w:val="0000FF"/>
              </w:rPr>
              <w:t>禁止大声喧哗、吵闹</w:t>
            </w:r>
          </w:p>
        </w:tc>
        <w:tc>
          <w:tcPr>
            <w:tcW w:w="2100" w:type="dxa"/>
            <w:vMerge w:val="continue"/>
            <w:tcBorders>
              <w:tl2br w:val="nil"/>
              <w:tr2bl w:val="nil"/>
            </w:tcBorders>
            <w:vAlign w:val="center"/>
          </w:tcPr>
          <w:p>
            <w:pPr>
              <w:pStyle w:val="22"/>
              <w:bidi w:val="0"/>
              <w:rPr>
                <w:color w:val="0000FF"/>
              </w:rPr>
            </w:pPr>
          </w:p>
        </w:tc>
        <w:tc>
          <w:tcPr>
            <w:tcW w:w="733" w:type="dxa"/>
            <w:vMerge w:val="continue"/>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32" w:type="dxa"/>
            <w:vMerge w:val="restart"/>
            <w:tcBorders>
              <w:tl2br w:val="nil"/>
              <w:tr2bl w:val="nil"/>
            </w:tcBorders>
            <w:vAlign w:val="center"/>
          </w:tcPr>
          <w:p>
            <w:pPr>
              <w:pStyle w:val="22"/>
              <w:bidi w:val="0"/>
              <w:rPr>
                <w:color w:val="0000FF"/>
              </w:rPr>
            </w:pPr>
            <w:r>
              <w:rPr>
                <w:color w:val="0000FF"/>
              </w:rPr>
              <w:t>固废</w:t>
            </w:r>
          </w:p>
        </w:tc>
        <w:tc>
          <w:tcPr>
            <w:tcW w:w="968" w:type="dxa"/>
            <w:vMerge w:val="restart"/>
            <w:tcBorders>
              <w:tl2br w:val="nil"/>
              <w:tr2bl w:val="nil"/>
            </w:tcBorders>
            <w:vAlign w:val="center"/>
          </w:tcPr>
          <w:p>
            <w:pPr>
              <w:pStyle w:val="22"/>
              <w:bidi w:val="0"/>
              <w:rPr>
                <w:color w:val="0000FF"/>
              </w:rPr>
            </w:pPr>
            <w:r>
              <w:rPr>
                <w:color w:val="0000FF"/>
              </w:rPr>
              <w:t>一般固废</w:t>
            </w:r>
          </w:p>
        </w:tc>
        <w:tc>
          <w:tcPr>
            <w:tcW w:w="1636" w:type="dxa"/>
            <w:tcBorders>
              <w:tl2br w:val="nil"/>
              <w:tr2bl w:val="nil"/>
            </w:tcBorders>
            <w:vAlign w:val="center"/>
          </w:tcPr>
          <w:p>
            <w:pPr>
              <w:pStyle w:val="22"/>
              <w:bidi w:val="0"/>
              <w:rPr>
                <w:color w:val="0000FF"/>
              </w:rPr>
            </w:pPr>
            <w:r>
              <w:rPr>
                <w:color w:val="0000FF"/>
              </w:rPr>
              <w:t>生活垃圾</w:t>
            </w:r>
          </w:p>
        </w:tc>
        <w:tc>
          <w:tcPr>
            <w:tcW w:w="2346" w:type="dxa"/>
            <w:tcBorders>
              <w:tl2br w:val="nil"/>
              <w:tr2bl w:val="nil"/>
            </w:tcBorders>
            <w:vAlign w:val="center"/>
          </w:tcPr>
          <w:p>
            <w:pPr>
              <w:pStyle w:val="22"/>
              <w:bidi w:val="0"/>
              <w:rPr>
                <w:color w:val="0000FF"/>
              </w:rPr>
            </w:pPr>
            <w:r>
              <w:rPr>
                <w:color w:val="0000FF"/>
              </w:rPr>
              <w:t>设置密闭式的垃圾桶、生活垃圾收集点，由环</w:t>
            </w:r>
          </w:p>
          <w:p>
            <w:pPr>
              <w:pStyle w:val="22"/>
              <w:bidi w:val="0"/>
              <w:rPr>
                <w:color w:val="0000FF"/>
              </w:rPr>
            </w:pPr>
            <w:r>
              <w:rPr>
                <w:color w:val="0000FF"/>
              </w:rPr>
              <w:t>卫部门定期清理</w:t>
            </w:r>
          </w:p>
        </w:tc>
        <w:tc>
          <w:tcPr>
            <w:tcW w:w="2100" w:type="dxa"/>
            <w:tcBorders>
              <w:tl2br w:val="nil"/>
              <w:tr2bl w:val="nil"/>
            </w:tcBorders>
            <w:vAlign w:val="center"/>
          </w:tcPr>
          <w:p>
            <w:pPr>
              <w:pStyle w:val="22"/>
              <w:bidi w:val="0"/>
              <w:rPr>
                <w:color w:val="0000FF"/>
              </w:rPr>
            </w:pPr>
            <w:r>
              <w:rPr>
                <w:color w:val="0000FF"/>
              </w:rPr>
              <w:t>合理处置</w:t>
            </w:r>
          </w:p>
        </w:tc>
        <w:tc>
          <w:tcPr>
            <w:tcW w:w="733" w:type="dxa"/>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32" w:type="dxa"/>
            <w:vMerge w:val="continue"/>
            <w:tcBorders>
              <w:tl2br w:val="nil"/>
              <w:tr2bl w:val="nil"/>
            </w:tcBorders>
            <w:vAlign w:val="center"/>
          </w:tcPr>
          <w:p>
            <w:pPr>
              <w:pStyle w:val="22"/>
              <w:bidi w:val="0"/>
              <w:rPr>
                <w:color w:val="0000FF"/>
              </w:rPr>
            </w:pPr>
          </w:p>
        </w:tc>
        <w:tc>
          <w:tcPr>
            <w:tcW w:w="968" w:type="dxa"/>
            <w:vMerge w:val="continue"/>
            <w:tcBorders>
              <w:tl2br w:val="nil"/>
              <w:tr2bl w:val="nil"/>
            </w:tcBorders>
            <w:vAlign w:val="center"/>
          </w:tcPr>
          <w:p>
            <w:pPr>
              <w:pStyle w:val="22"/>
              <w:bidi w:val="0"/>
              <w:rPr>
                <w:color w:val="0000FF"/>
              </w:rPr>
            </w:pPr>
          </w:p>
        </w:tc>
        <w:tc>
          <w:tcPr>
            <w:tcW w:w="1636" w:type="dxa"/>
            <w:tcBorders>
              <w:tl2br w:val="nil"/>
              <w:tr2bl w:val="nil"/>
            </w:tcBorders>
            <w:vAlign w:val="center"/>
          </w:tcPr>
          <w:p>
            <w:pPr>
              <w:pStyle w:val="22"/>
              <w:bidi w:val="0"/>
              <w:rPr>
                <w:color w:val="0000FF"/>
              </w:rPr>
            </w:pPr>
            <w:r>
              <w:rPr>
                <w:color w:val="0000FF"/>
              </w:rPr>
              <w:t>废离子交换树脂</w:t>
            </w:r>
          </w:p>
        </w:tc>
        <w:tc>
          <w:tcPr>
            <w:tcW w:w="2346" w:type="dxa"/>
            <w:tcBorders>
              <w:tl2br w:val="nil"/>
              <w:tr2bl w:val="nil"/>
            </w:tcBorders>
            <w:vAlign w:val="center"/>
          </w:tcPr>
          <w:p>
            <w:pPr>
              <w:pStyle w:val="22"/>
              <w:bidi w:val="0"/>
              <w:rPr>
                <w:color w:val="0000FF"/>
              </w:rPr>
            </w:pPr>
            <w:r>
              <w:rPr>
                <w:color w:val="0000FF"/>
              </w:rPr>
              <mc:AlternateContent>
                <mc:Choice Requires="wps">
                  <w:drawing>
                    <wp:anchor distT="0" distB="0" distL="114300" distR="114300" simplePos="0" relativeHeight="251665408" behindDoc="0" locked="0" layoutInCell="1" allowOverlap="1">
                      <wp:simplePos x="0" y="0"/>
                      <wp:positionH relativeFrom="rightMargin">
                        <wp:posOffset>-884555</wp:posOffset>
                      </wp:positionH>
                      <wp:positionV relativeFrom="topMargin">
                        <wp:posOffset>423545</wp:posOffset>
                      </wp:positionV>
                      <wp:extent cx="154305" cy="1593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54305" cy="159385"/>
                              </a:xfrm>
                              <a:prstGeom prst="rect">
                                <a:avLst/>
                              </a:prstGeom>
                              <a:noFill/>
                              <a:ln>
                                <a:noFill/>
                              </a:ln>
                            </wps:spPr>
                            <wps:txbx>
                              <w:txbxContent>
                                <w:p>
                                  <w:pPr>
                                    <w:spacing w:before="20" w:line="185" w:lineRule="auto"/>
                                    <w:ind w:firstLine="20"/>
                                    <w:rPr>
                                      <w:rFonts w:ascii="宋体" w:hAnsi="宋体" w:eastAsia="宋体" w:cs="宋体"/>
                                      <w:sz w:val="21"/>
                                      <w:szCs w:val="21"/>
                                    </w:rPr>
                                  </w:pPr>
                                  <w:r>
                                    <w:rPr>
                                      <w:rFonts w:ascii="宋体" w:hAnsi="宋体" w:eastAsia="宋体" w:cs="宋体"/>
                                      <w:sz w:val="21"/>
                                      <w:szCs w:val="21"/>
                                    </w:rPr>
                                    <w:t>置</w:t>
                                  </w:r>
                                </w:p>
                              </w:txbxContent>
                            </wps:txbx>
                            <wps:bodyPr lIns="0" tIns="0" rIns="0" bIns="0" upright="1"/>
                          </wps:wsp>
                        </a:graphicData>
                      </a:graphic>
                    </wp:anchor>
                  </w:drawing>
                </mc:Choice>
                <mc:Fallback>
                  <w:pict>
                    <v:shape id="_x0000_s1026" o:spid="_x0000_s1026" o:spt="202" type="#_x0000_t202" style="position:absolute;left:0pt;margin-left:47.55pt;margin-top:33.6pt;height:12.55pt;width:12.15pt;mso-position-horizontal-relative:page;mso-position-vertical-relative:page;z-index:251665408;mso-width-relative:page;mso-height-relative:page;" filled="f" stroked="f" coordsize="21600,21600" o:gfxdata="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gQ2NdoAAAALAQAADwAAAAAAAAABACAAAAAiAAAAZHJzL2Rvd25yZXYueG1sUEsB&#10;AhQAFAAAAAgAh07iQNFfQCC6AQAAcQMAAA4AAAAAAAAAAQAgAAAAKQEAAGRycy9lMm9Eb2MueG1s&#10;UEsFBgAAAAAGAAYAWQEAAFUFAAAAAA==&#10;">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z w:val="21"/>
                                <w:szCs w:val="21"/>
                              </w:rPr>
                              <w:t>置</w:t>
                            </w:r>
                          </w:p>
                        </w:txbxContent>
                      </v:textbox>
                    </v:shape>
                  </w:pict>
                </mc:Fallback>
              </mc:AlternateContent>
            </w:r>
            <w:r>
              <w:rPr>
                <w:color w:val="0000FF"/>
              </w:rPr>
              <w:t>专用容器收集后运至工业固废垃圾填埋场处。</w:t>
            </w:r>
          </w:p>
        </w:tc>
        <w:tc>
          <w:tcPr>
            <w:tcW w:w="2100" w:type="dxa"/>
            <w:tcBorders>
              <w:tl2br w:val="nil"/>
              <w:tr2bl w:val="nil"/>
            </w:tcBorders>
            <w:vAlign w:val="center"/>
          </w:tcPr>
          <w:p>
            <w:pPr>
              <w:pStyle w:val="22"/>
              <w:bidi w:val="0"/>
              <w:rPr>
                <w:color w:val="0000FF"/>
              </w:rPr>
            </w:pPr>
            <w:r>
              <w:rPr>
                <w:color w:val="0000FF"/>
              </w:rPr>
              <w:t>合理处置</w:t>
            </w:r>
          </w:p>
        </w:tc>
        <w:tc>
          <w:tcPr>
            <w:tcW w:w="733" w:type="dxa"/>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932" w:type="dxa"/>
            <w:vMerge w:val="continue"/>
            <w:tcBorders>
              <w:tl2br w:val="nil"/>
              <w:tr2bl w:val="nil"/>
            </w:tcBorders>
            <w:vAlign w:val="center"/>
          </w:tcPr>
          <w:p>
            <w:pPr>
              <w:pStyle w:val="22"/>
              <w:bidi w:val="0"/>
              <w:rPr>
                <w:color w:val="0000FF"/>
              </w:rPr>
            </w:pPr>
          </w:p>
        </w:tc>
        <w:tc>
          <w:tcPr>
            <w:tcW w:w="968" w:type="dxa"/>
            <w:vMerge w:val="restart"/>
            <w:tcBorders>
              <w:tl2br w:val="nil"/>
              <w:tr2bl w:val="nil"/>
            </w:tcBorders>
            <w:vAlign w:val="center"/>
          </w:tcPr>
          <w:p>
            <w:pPr>
              <w:pStyle w:val="22"/>
              <w:bidi w:val="0"/>
              <w:rPr>
                <w:color w:val="0000FF"/>
              </w:rPr>
            </w:pPr>
            <w:r>
              <w:rPr>
                <w:color w:val="0000FF"/>
              </w:rPr>
              <w:t>危废</w:t>
            </w:r>
          </w:p>
        </w:tc>
        <w:tc>
          <w:tcPr>
            <w:tcW w:w="1636" w:type="dxa"/>
            <w:tcBorders>
              <w:tl2br w:val="nil"/>
              <w:tr2bl w:val="nil"/>
            </w:tcBorders>
            <w:vAlign w:val="center"/>
          </w:tcPr>
          <w:p>
            <w:pPr>
              <w:pStyle w:val="22"/>
              <w:bidi w:val="0"/>
              <w:rPr>
                <w:rFonts w:hint="eastAsia"/>
                <w:color w:val="0000FF"/>
                <w:lang w:eastAsia="zh-CN"/>
              </w:rPr>
            </w:pPr>
            <w:r>
              <w:rPr>
                <w:color w:val="0000FF"/>
              </w:rPr>
              <w:t>医疗</w:t>
            </w:r>
            <w:r>
              <w:rPr>
                <w:rFonts w:hint="eastAsia"/>
                <w:color w:val="0000FF"/>
                <w:lang w:val="en-US" w:eastAsia="zh-CN"/>
              </w:rPr>
              <w:t>废物</w:t>
            </w:r>
          </w:p>
        </w:tc>
        <w:tc>
          <w:tcPr>
            <w:tcW w:w="2346" w:type="dxa"/>
            <w:tcBorders>
              <w:tl2br w:val="nil"/>
              <w:tr2bl w:val="nil"/>
            </w:tcBorders>
            <w:vAlign w:val="center"/>
          </w:tcPr>
          <w:p>
            <w:pPr>
              <w:pStyle w:val="22"/>
              <w:bidi w:val="0"/>
              <w:rPr>
                <w:color w:val="0000FF"/>
              </w:rPr>
            </w:pPr>
            <w:r>
              <w:rPr>
                <w:color w:val="0000FF"/>
              </w:rPr>
              <w:t>密闭容器收集，暂存于医疗废物暂存间，定期交由有资质的单位进行处置；</w:t>
            </w:r>
          </w:p>
        </w:tc>
        <w:tc>
          <w:tcPr>
            <w:tcW w:w="2100" w:type="dxa"/>
            <w:vMerge w:val="restart"/>
            <w:tcBorders>
              <w:tl2br w:val="nil"/>
              <w:tr2bl w:val="nil"/>
            </w:tcBorders>
            <w:vAlign w:val="center"/>
          </w:tcPr>
          <w:p>
            <w:pPr>
              <w:pStyle w:val="22"/>
              <w:bidi w:val="0"/>
              <w:rPr>
                <w:color w:val="0000FF"/>
              </w:rPr>
            </w:pPr>
            <w:r>
              <w:rPr>
                <w:color w:val="0000FF"/>
              </w:rPr>
              <w:t>满足《危险废物贮存</w:t>
            </w:r>
          </w:p>
          <w:p>
            <w:pPr>
              <w:pStyle w:val="22"/>
              <w:bidi w:val="0"/>
              <w:rPr>
                <w:color w:val="0000FF"/>
              </w:rPr>
            </w:pPr>
            <w:r>
              <w:rPr>
                <w:color w:val="0000FF"/>
              </w:rPr>
              <w:t>污染控制标准》（GB18597-2001）中危险废物贮存要求</w:t>
            </w:r>
          </w:p>
        </w:tc>
        <w:tc>
          <w:tcPr>
            <w:tcW w:w="733" w:type="dxa"/>
            <w:tcBorders>
              <w:tl2br w:val="nil"/>
              <w:tr2bl w:val="nil"/>
            </w:tcBorders>
            <w:vAlign w:val="center"/>
          </w:tcPr>
          <w:p>
            <w:pPr>
              <w:pStyle w:val="22"/>
              <w:bidi w:val="0"/>
              <w:rPr>
                <w:color w:val="0000FF"/>
              </w:rPr>
            </w:pPr>
          </w:p>
          <w:p>
            <w:pPr>
              <w:pStyle w:val="22"/>
              <w:bidi w:val="0"/>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932" w:type="dxa"/>
            <w:vMerge w:val="continue"/>
            <w:tcBorders>
              <w:tl2br w:val="nil"/>
              <w:tr2bl w:val="nil"/>
            </w:tcBorders>
            <w:vAlign w:val="center"/>
          </w:tcPr>
          <w:p>
            <w:pPr>
              <w:pStyle w:val="22"/>
              <w:bidi w:val="0"/>
              <w:rPr>
                <w:color w:val="0000FF"/>
              </w:rPr>
            </w:pPr>
          </w:p>
        </w:tc>
        <w:tc>
          <w:tcPr>
            <w:tcW w:w="968" w:type="dxa"/>
            <w:vMerge w:val="continue"/>
            <w:tcBorders>
              <w:tl2br w:val="nil"/>
              <w:tr2bl w:val="nil"/>
            </w:tcBorders>
            <w:vAlign w:val="center"/>
          </w:tcPr>
          <w:p>
            <w:pPr>
              <w:pStyle w:val="22"/>
              <w:bidi w:val="0"/>
              <w:rPr>
                <w:color w:val="0000FF"/>
              </w:rPr>
            </w:pPr>
          </w:p>
        </w:tc>
        <w:tc>
          <w:tcPr>
            <w:tcW w:w="1636" w:type="dxa"/>
            <w:tcBorders>
              <w:tl2br w:val="nil"/>
              <w:tr2bl w:val="nil"/>
            </w:tcBorders>
            <w:vAlign w:val="center"/>
          </w:tcPr>
          <w:p>
            <w:pPr>
              <w:pStyle w:val="22"/>
              <w:bidi w:val="0"/>
              <w:rPr>
                <w:color w:val="0000FF"/>
              </w:rPr>
            </w:pPr>
            <w:r>
              <w:rPr>
                <w:color w:val="0000FF"/>
              </w:rPr>
              <w:t>废活性炭</w:t>
            </w:r>
          </w:p>
        </w:tc>
        <w:tc>
          <w:tcPr>
            <w:tcW w:w="2346" w:type="dxa"/>
            <w:tcBorders>
              <w:tl2br w:val="nil"/>
              <w:tr2bl w:val="nil"/>
            </w:tcBorders>
            <w:vAlign w:val="center"/>
          </w:tcPr>
          <w:p>
            <w:pPr>
              <w:pStyle w:val="22"/>
              <w:bidi w:val="0"/>
              <w:rPr>
                <w:color w:val="0000FF"/>
              </w:rPr>
            </w:pPr>
          </w:p>
          <w:p>
            <w:pPr>
              <w:pStyle w:val="22"/>
              <w:bidi w:val="0"/>
              <w:rPr>
                <w:rFonts w:hint="eastAsia"/>
                <w:color w:val="0000FF"/>
                <w:lang w:val="en-US" w:eastAsia="zh-CN"/>
              </w:rPr>
            </w:pPr>
            <w:r>
              <w:rPr>
                <w:color w:val="0000FF"/>
              </w:rPr>
              <w:t>专用容器收集，委托当地有危废资质单位处</w:t>
            </w:r>
            <w:r>
              <w:rPr>
                <w:rFonts w:hint="eastAsia"/>
                <w:color w:val="0000FF"/>
                <w:lang w:val="en-US" w:eastAsia="zh-CN"/>
              </w:rPr>
              <w:t>置</w:t>
            </w:r>
          </w:p>
          <w:p>
            <w:pPr>
              <w:pStyle w:val="22"/>
              <w:bidi w:val="0"/>
              <w:rPr>
                <w:color w:val="0000FF"/>
              </w:rPr>
            </w:pPr>
          </w:p>
        </w:tc>
        <w:tc>
          <w:tcPr>
            <w:tcW w:w="2100" w:type="dxa"/>
            <w:vMerge w:val="continue"/>
            <w:tcBorders>
              <w:tl2br w:val="nil"/>
              <w:tr2bl w:val="nil"/>
            </w:tcBorders>
            <w:vAlign w:val="center"/>
          </w:tcPr>
          <w:p>
            <w:pPr>
              <w:pStyle w:val="22"/>
              <w:bidi w:val="0"/>
              <w:rPr>
                <w:color w:val="0000FF"/>
              </w:rPr>
            </w:pPr>
          </w:p>
        </w:tc>
        <w:tc>
          <w:tcPr>
            <w:tcW w:w="733" w:type="dxa"/>
            <w:tcBorders>
              <w:tl2br w:val="nil"/>
              <w:tr2bl w:val="nil"/>
            </w:tcBorders>
            <w:vAlign w:val="center"/>
          </w:tcPr>
          <w:p>
            <w:pPr>
              <w:pStyle w:val="22"/>
              <w:bidi w:val="0"/>
              <w:rPr>
                <w:color w:val="0000FF"/>
              </w:rPr>
            </w:pPr>
          </w:p>
          <w:p>
            <w:pPr>
              <w:pStyle w:val="22"/>
              <w:bidi w:val="0"/>
              <w:rPr>
                <w:color w:val="0000FF"/>
              </w:rPr>
            </w:pPr>
          </w:p>
          <w:p>
            <w:pPr>
              <w:pStyle w:val="22"/>
              <w:bidi w:val="0"/>
              <w:rPr>
                <w:color w:val="0000FF"/>
              </w:rPr>
            </w:pPr>
            <w:r>
              <w:rPr>
                <w:color w:val="0000FF"/>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932" w:type="dxa"/>
            <w:vMerge w:val="continue"/>
            <w:tcBorders>
              <w:tl2br w:val="nil"/>
              <w:tr2bl w:val="nil"/>
            </w:tcBorders>
            <w:vAlign w:val="center"/>
          </w:tcPr>
          <w:p>
            <w:pPr>
              <w:pStyle w:val="22"/>
              <w:bidi w:val="0"/>
              <w:rPr>
                <w:color w:val="0000FF"/>
              </w:rPr>
            </w:pPr>
          </w:p>
        </w:tc>
        <w:tc>
          <w:tcPr>
            <w:tcW w:w="968" w:type="dxa"/>
            <w:vMerge w:val="continue"/>
            <w:tcBorders>
              <w:tl2br w:val="nil"/>
              <w:tr2bl w:val="nil"/>
            </w:tcBorders>
            <w:vAlign w:val="center"/>
          </w:tcPr>
          <w:p>
            <w:pPr>
              <w:pStyle w:val="22"/>
              <w:bidi w:val="0"/>
              <w:rPr>
                <w:color w:val="0000FF"/>
              </w:rPr>
            </w:pPr>
          </w:p>
        </w:tc>
        <w:tc>
          <w:tcPr>
            <w:tcW w:w="1636" w:type="dxa"/>
            <w:tcBorders>
              <w:tl2br w:val="nil"/>
              <w:tr2bl w:val="nil"/>
            </w:tcBorders>
            <w:vAlign w:val="center"/>
          </w:tcPr>
          <w:p>
            <w:pPr>
              <w:pStyle w:val="22"/>
              <w:bidi w:val="0"/>
              <w:rPr>
                <w:color w:val="0000FF"/>
              </w:rPr>
            </w:pPr>
            <w:r>
              <w:rPr>
                <w:color w:val="0000FF"/>
              </w:rPr>
              <w:t>污水站污泥</w:t>
            </w:r>
          </w:p>
        </w:tc>
        <w:tc>
          <w:tcPr>
            <w:tcW w:w="2346" w:type="dxa"/>
            <w:tcBorders>
              <w:tl2br w:val="nil"/>
              <w:tr2bl w:val="nil"/>
            </w:tcBorders>
            <w:vAlign w:val="center"/>
          </w:tcPr>
          <w:p>
            <w:pPr>
              <w:pStyle w:val="22"/>
              <w:bidi w:val="0"/>
              <w:rPr>
                <w:color w:val="0000FF"/>
              </w:rPr>
            </w:pPr>
            <w:r>
              <w:rPr>
                <w:color w:val="0000FF"/>
              </w:rPr>
              <w:t>污泥委托专业单位清</w:t>
            </w:r>
          </w:p>
          <w:p>
            <w:pPr>
              <w:pStyle w:val="22"/>
              <w:bidi w:val="0"/>
              <w:rPr>
                <w:color w:val="0000FF"/>
              </w:rPr>
            </w:pPr>
            <w:r>
              <w:rPr>
                <w:color w:val="0000FF"/>
              </w:rPr>
              <w:t>淤，委托当地有危废资</w:t>
            </w:r>
          </w:p>
          <w:p>
            <w:pPr>
              <w:pStyle w:val="22"/>
              <w:bidi w:val="0"/>
              <w:rPr>
                <w:color w:val="0000FF"/>
              </w:rPr>
            </w:pPr>
            <w:r>
              <w:rPr>
                <w:color w:val="0000FF"/>
              </w:rPr>
              <w:t>质单位处置</w:t>
            </w:r>
          </w:p>
        </w:tc>
        <w:tc>
          <w:tcPr>
            <w:tcW w:w="2100" w:type="dxa"/>
            <w:tcBorders>
              <w:tl2br w:val="nil"/>
              <w:tr2bl w:val="nil"/>
            </w:tcBorders>
            <w:vAlign w:val="center"/>
          </w:tcPr>
          <w:p>
            <w:pPr>
              <w:pStyle w:val="22"/>
              <w:bidi w:val="0"/>
              <w:rPr>
                <w:color w:val="0000FF"/>
              </w:rPr>
            </w:pPr>
            <w:r>
              <w:rPr>
                <w:color w:val="0000FF"/>
              </w:rPr>
              <w:t>满足《医疗机构水污染排放标准》</w:t>
            </w:r>
          </w:p>
          <w:p>
            <w:pPr>
              <w:pStyle w:val="22"/>
              <w:bidi w:val="0"/>
              <w:rPr>
                <w:color w:val="0000FF"/>
              </w:rPr>
            </w:pPr>
            <w:r>
              <w:rPr>
                <w:color w:val="0000FF"/>
              </w:rPr>
              <w:t>（GB18466-2005）中</w:t>
            </w:r>
          </w:p>
          <w:p>
            <w:pPr>
              <w:pStyle w:val="22"/>
              <w:bidi w:val="0"/>
              <w:rPr>
                <w:color w:val="0000FF"/>
              </w:rPr>
            </w:pPr>
            <w:r>
              <w:rPr>
                <w:color w:val="0000FF"/>
              </w:rPr>
              <w:t>医疗机构污泥控制标准</w:t>
            </w:r>
          </w:p>
        </w:tc>
        <w:tc>
          <w:tcPr>
            <w:tcW w:w="733" w:type="dxa"/>
            <w:tcBorders>
              <w:tl2br w:val="nil"/>
              <w:tr2bl w:val="nil"/>
            </w:tcBorders>
            <w:vAlign w:val="center"/>
          </w:tcPr>
          <w:p>
            <w:pPr>
              <w:pStyle w:val="22"/>
              <w:bidi w:val="0"/>
              <w:rPr>
                <w:color w:val="0000FF"/>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932" w:type="dxa"/>
            <w:tcBorders>
              <w:tl2br w:val="nil"/>
              <w:tr2bl w:val="nil"/>
            </w:tcBorders>
            <w:vAlign w:val="center"/>
          </w:tcPr>
          <w:p>
            <w:pPr>
              <w:pStyle w:val="22"/>
              <w:bidi w:val="0"/>
              <w:rPr>
                <w:color w:val="0000FF"/>
              </w:rPr>
            </w:pPr>
            <w:r>
              <w:rPr>
                <w:color w:val="0000FF"/>
              </w:rPr>
              <w:t>绿化</w:t>
            </w:r>
          </w:p>
        </w:tc>
        <w:tc>
          <w:tcPr>
            <w:tcW w:w="4950" w:type="dxa"/>
            <w:gridSpan w:val="3"/>
            <w:tcBorders>
              <w:tl2br w:val="nil"/>
              <w:tr2bl w:val="nil"/>
            </w:tcBorders>
            <w:vAlign w:val="center"/>
          </w:tcPr>
          <w:p>
            <w:pPr>
              <w:pStyle w:val="22"/>
              <w:bidi w:val="0"/>
              <w:rPr>
                <w:color w:val="0000FF"/>
              </w:rPr>
            </w:pPr>
            <w:r>
              <w:rPr>
                <w:color w:val="0000FF"/>
              </w:rPr>
              <w:t>疾控中心四周绿化带等</w:t>
            </w:r>
          </w:p>
        </w:tc>
        <w:tc>
          <w:tcPr>
            <w:tcW w:w="2100" w:type="dxa"/>
            <w:tcBorders>
              <w:tl2br w:val="nil"/>
              <w:tr2bl w:val="nil"/>
            </w:tcBorders>
            <w:vAlign w:val="center"/>
          </w:tcPr>
          <w:p>
            <w:pPr>
              <w:pStyle w:val="22"/>
              <w:bidi w:val="0"/>
              <w:rPr>
                <w:color w:val="0000FF"/>
              </w:rPr>
            </w:pPr>
            <w:r>
              <w:rPr>
                <w:color w:val="0000FF"/>
              </w:rPr>
              <w:t>/</w:t>
            </w:r>
          </w:p>
        </w:tc>
        <w:tc>
          <w:tcPr>
            <w:tcW w:w="733" w:type="dxa"/>
            <w:tcBorders>
              <w:tl2br w:val="nil"/>
              <w:tr2bl w:val="nil"/>
            </w:tcBorders>
            <w:vAlign w:val="center"/>
          </w:tcPr>
          <w:p>
            <w:pPr>
              <w:pStyle w:val="22"/>
              <w:bidi w:val="0"/>
              <w:rPr>
                <w:color w:val="0000FF"/>
              </w:rPr>
            </w:pPr>
            <w:r>
              <w:rPr>
                <w:color w:val="0000FF"/>
              </w:rPr>
              <w:t>/</w:t>
            </w:r>
          </w:p>
        </w:tc>
      </w:tr>
    </w:tbl>
    <w:p>
      <w:pPr>
        <w:rPr>
          <w:rFonts w:hint="eastAsia"/>
          <w:b/>
          <w:bCs/>
          <w:color w:val="0000FF"/>
          <w:lang w:val="en-US" w:eastAsia="zh-CN"/>
        </w:rPr>
      </w:pPr>
      <w:r>
        <w:rPr>
          <w:rFonts w:hint="eastAsia"/>
          <w:b/>
          <w:bCs/>
          <w:color w:val="0000FF"/>
          <w:lang w:val="en-US" w:eastAsia="zh-CN"/>
        </w:rPr>
        <w:br w:type="page"/>
      </w:r>
    </w:p>
    <w:p>
      <w:pPr>
        <w:pStyle w:val="4"/>
        <w:bidi w:val="0"/>
        <w:rPr>
          <w:color w:val="0000FF"/>
        </w:rPr>
      </w:pPr>
      <w:bookmarkStart w:id="139" w:name="_Toc12517"/>
      <w:r>
        <w:rPr>
          <w:color w:val="0000FF"/>
        </w:rPr>
        <w:t>9环境影响评价结论</w:t>
      </w:r>
      <w:bookmarkEnd w:id="139"/>
    </w:p>
    <w:p>
      <w:pPr>
        <w:pStyle w:val="5"/>
        <w:bidi w:val="0"/>
        <w:rPr>
          <w:color w:val="0000FF"/>
        </w:rPr>
      </w:pPr>
      <w:bookmarkStart w:id="140" w:name="_bookmark38"/>
      <w:bookmarkEnd w:id="140"/>
      <w:bookmarkStart w:id="141" w:name="_Toc18808"/>
      <w:r>
        <w:rPr>
          <w:color w:val="0000FF"/>
        </w:rPr>
        <w:t>9.1工程概况</w:t>
      </w:r>
      <w:bookmarkEnd w:id="141"/>
    </w:p>
    <w:p>
      <w:pPr>
        <w:bidi w:val="0"/>
        <w:rPr>
          <w:color w:val="0000FF"/>
        </w:rPr>
      </w:pPr>
      <w:r>
        <w:rPr>
          <w:rFonts w:hint="eastAsia"/>
          <w:color w:val="0000FF"/>
          <w:lang w:val="en-US" w:eastAsia="zh-CN"/>
        </w:rPr>
        <w:t>第十四师225团疾控中心</w:t>
      </w:r>
      <w:r>
        <w:rPr>
          <w:color w:val="0000FF"/>
        </w:rPr>
        <w:t>位于</w:t>
      </w:r>
      <w:r>
        <w:rPr>
          <w:rFonts w:hint="eastAsia"/>
          <w:color w:val="0000FF"/>
          <w:lang w:val="en-US" w:eastAsia="zh-CN"/>
        </w:rPr>
        <w:t>第十四师225团规划医疗保健用地</w:t>
      </w:r>
      <w:r>
        <w:rPr>
          <w:color w:val="0000FF"/>
        </w:rPr>
        <w:t>，中心地理坐标：</w:t>
      </w:r>
      <w:r>
        <w:rPr>
          <w:rFonts w:hint="default"/>
          <w:color w:val="0000FF"/>
          <w:lang w:val="en-US" w:eastAsia="zh-CN"/>
        </w:rPr>
        <w:t>E</w:t>
      </w:r>
      <w:r>
        <w:rPr>
          <w:rFonts w:hint="eastAsia"/>
          <w:color w:val="0000FF"/>
          <w:lang w:val="en-US" w:eastAsia="zh-CN"/>
        </w:rPr>
        <w:t>：81</w:t>
      </w:r>
      <w:r>
        <w:rPr>
          <w:rFonts w:hint="default"/>
          <w:color w:val="0000FF"/>
          <w:lang w:val="en-US" w:eastAsia="zh-CN"/>
        </w:rPr>
        <w:t>°</w:t>
      </w:r>
      <w:r>
        <w:rPr>
          <w:rFonts w:hint="eastAsia"/>
          <w:color w:val="0000FF"/>
          <w:lang w:val="en-US" w:eastAsia="zh-CN"/>
        </w:rPr>
        <w:t>18</w:t>
      </w:r>
      <w:r>
        <w:rPr>
          <w:rFonts w:hint="default"/>
          <w:color w:val="0000FF"/>
          <w:lang w:val="en-US" w:eastAsia="zh-CN"/>
        </w:rPr>
        <w:t>′</w:t>
      </w:r>
      <w:r>
        <w:rPr>
          <w:rFonts w:hint="eastAsia"/>
          <w:color w:val="0000FF"/>
          <w:lang w:val="en-US" w:eastAsia="zh-CN"/>
        </w:rPr>
        <w:t>6.912</w:t>
      </w:r>
      <w:r>
        <w:rPr>
          <w:rFonts w:hint="default"/>
          <w:color w:val="0000FF"/>
          <w:lang w:val="en-US" w:eastAsia="zh-CN"/>
        </w:rPr>
        <w:t>″</w:t>
      </w:r>
      <w:r>
        <w:rPr>
          <w:rFonts w:hint="eastAsia"/>
          <w:color w:val="0000FF"/>
          <w:lang w:val="en-US" w:eastAsia="zh-CN"/>
        </w:rPr>
        <w:t>，</w:t>
      </w:r>
      <w:r>
        <w:rPr>
          <w:rFonts w:hint="default"/>
          <w:color w:val="0000FF"/>
          <w:lang w:val="en-US" w:eastAsia="zh-CN"/>
        </w:rPr>
        <w:t>N</w:t>
      </w:r>
      <w:r>
        <w:rPr>
          <w:rFonts w:hint="eastAsia"/>
          <w:color w:val="0000FF"/>
          <w:lang w:val="en-US" w:eastAsia="zh-CN"/>
        </w:rPr>
        <w:t>：36</w:t>
      </w:r>
      <w:r>
        <w:rPr>
          <w:rFonts w:hint="default"/>
          <w:color w:val="0000FF"/>
          <w:lang w:val="en-US" w:eastAsia="zh-CN"/>
        </w:rPr>
        <w:t>°</w:t>
      </w:r>
      <w:r>
        <w:rPr>
          <w:rFonts w:hint="eastAsia"/>
          <w:color w:val="0000FF"/>
          <w:lang w:val="en-US" w:eastAsia="zh-CN"/>
        </w:rPr>
        <w:t>53</w:t>
      </w:r>
      <w:r>
        <w:rPr>
          <w:rFonts w:hint="default"/>
          <w:color w:val="0000FF"/>
          <w:lang w:val="en-US" w:eastAsia="zh-CN"/>
        </w:rPr>
        <w:t>′</w:t>
      </w:r>
      <w:r>
        <w:rPr>
          <w:rFonts w:hint="eastAsia"/>
          <w:color w:val="0000FF"/>
          <w:lang w:val="en-US" w:eastAsia="zh-CN"/>
        </w:rPr>
        <w:t>46.365</w:t>
      </w:r>
      <w:r>
        <w:rPr>
          <w:rFonts w:hint="default"/>
          <w:color w:val="0000FF"/>
          <w:lang w:val="en-US" w:eastAsia="zh-CN"/>
        </w:rPr>
        <w:t>″</w:t>
      </w:r>
      <w:r>
        <w:rPr>
          <w:color w:val="0000FF"/>
        </w:rPr>
        <w:t>。</w:t>
      </w:r>
    </w:p>
    <w:p>
      <w:pPr>
        <w:keepNext w:val="0"/>
        <w:keepLines w:val="0"/>
        <w:widowControl/>
        <w:suppressLineNumbers w:val="0"/>
        <w:jc w:val="left"/>
        <w:rPr>
          <w:color w:val="0000FF"/>
        </w:rPr>
      </w:pPr>
      <w:r>
        <w:rPr>
          <w:rFonts w:hint="eastAsia" w:ascii="宋体" w:hAnsi="宋体" w:eastAsia="宋体" w:cs="宋体"/>
          <w:color w:val="0000FF"/>
          <w:kern w:val="0"/>
          <w:sz w:val="24"/>
          <w:szCs w:val="24"/>
          <w:lang w:val="en-US" w:eastAsia="zh-CN" w:bidi="ar"/>
        </w:rPr>
        <w:t>项目总建筑面积800平方米，新建公共卫生监测检验区260平方米，业务用房</w:t>
      </w:r>
      <w:r>
        <w:rPr>
          <w:rFonts w:hint="eastAsia" w:ascii="Times New Roman" w:hAnsi="Times New Roman" w:eastAsia="宋体" w:cs="Times New Roman"/>
          <w:color w:val="0000FF"/>
          <w:kern w:val="0"/>
          <w:sz w:val="24"/>
          <w:szCs w:val="24"/>
          <w:lang w:val="en-US" w:eastAsia="zh-CN" w:bidi="ar"/>
        </w:rPr>
        <w:t>200</w:t>
      </w:r>
      <w:r>
        <w:rPr>
          <w:rFonts w:hint="eastAsia" w:ascii="宋体" w:hAnsi="宋体" w:eastAsia="宋体" w:cs="宋体"/>
          <w:color w:val="0000FF"/>
          <w:kern w:val="0"/>
          <w:sz w:val="24"/>
          <w:szCs w:val="24"/>
          <w:lang w:val="en-US" w:eastAsia="zh-CN" w:bidi="ar"/>
        </w:rPr>
        <w:t>平方米，应急指挥中心及应急演练中心</w:t>
      </w:r>
      <w:r>
        <w:rPr>
          <w:rFonts w:hint="eastAsia" w:ascii="Times New Roman" w:hAnsi="Times New Roman" w:eastAsia="宋体" w:cs="Times New Roman"/>
          <w:color w:val="0000FF"/>
          <w:kern w:val="0"/>
          <w:sz w:val="24"/>
          <w:szCs w:val="24"/>
          <w:lang w:val="en-US" w:eastAsia="zh-CN" w:bidi="ar"/>
        </w:rPr>
        <w:t>100</w:t>
      </w:r>
      <w:r>
        <w:rPr>
          <w:rFonts w:hint="eastAsia" w:ascii="宋体" w:hAnsi="宋体" w:eastAsia="宋体" w:cs="宋体"/>
          <w:color w:val="0000FF"/>
          <w:kern w:val="0"/>
          <w:sz w:val="24"/>
          <w:szCs w:val="24"/>
          <w:lang w:val="en-US" w:eastAsia="zh-CN" w:bidi="ar"/>
        </w:rPr>
        <w:t>平方米，预防和体检中心240平方米。</w:t>
      </w:r>
      <w:r>
        <w:rPr>
          <w:color w:val="0000FF"/>
        </w:rPr>
        <w:t>总投资金额为</w:t>
      </w:r>
      <w:r>
        <w:rPr>
          <w:rFonts w:hint="eastAsia"/>
          <w:color w:val="0000FF"/>
          <w:lang w:val="en-US" w:eastAsia="zh-CN"/>
        </w:rPr>
        <w:t>176</w:t>
      </w:r>
      <w:r>
        <w:rPr>
          <w:color w:val="0000FF"/>
        </w:rPr>
        <w:t>万元。</w:t>
      </w:r>
    </w:p>
    <w:p>
      <w:pPr>
        <w:keepNext w:val="0"/>
        <w:keepLines w:val="0"/>
        <w:widowControl/>
        <w:suppressLineNumbers w:val="0"/>
        <w:jc w:val="left"/>
        <w:rPr>
          <w:color w:val="0000FF"/>
        </w:rPr>
      </w:pPr>
      <w:r>
        <w:rPr>
          <w:color w:val="0000FF"/>
        </w:rPr>
        <w:t>项目劳动定员</w:t>
      </w:r>
      <w:r>
        <w:rPr>
          <w:rFonts w:hint="eastAsia"/>
          <w:color w:val="0000FF"/>
          <w:lang w:val="en-US" w:eastAsia="zh-CN"/>
        </w:rPr>
        <w:t>20</w:t>
      </w:r>
      <w:r>
        <w:rPr>
          <w:color w:val="0000FF"/>
        </w:rPr>
        <w:t>人，</w:t>
      </w:r>
      <w:r>
        <w:rPr>
          <w:rFonts w:hint="eastAsia" w:ascii="宋体" w:hAnsi="宋体" w:eastAsia="宋体" w:cs="宋体"/>
          <w:color w:val="0000FF"/>
          <w:kern w:val="0"/>
          <w:sz w:val="24"/>
          <w:szCs w:val="24"/>
          <w:lang w:val="en-US" w:eastAsia="zh-CN" w:bidi="ar"/>
        </w:rPr>
        <w:t>中心全年工作</w:t>
      </w:r>
      <w:r>
        <w:rPr>
          <w:rFonts w:hint="default" w:ascii="Times New Roman" w:hAnsi="Times New Roman" w:eastAsia="宋体" w:cs="Times New Roman"/>
          <w:color w:val="0000FF"/>
          <w:kern w:val="0"/>
          <w:sz w:val="24"/>
          <w:szCs w:val="24"/>
          <w:lang w:val="en-US" w:eastAsia="zh-CN" w:bidi="ar"/>
        </w:rPr>
        <w:t>365</w:t>
      </w:r>
      <w:r>
        <w:rPr>
          <w:rFonts w:hint="eastAsia" w:ascii="宋体" w:hAnsi="宋体" w:eastAsia="宋体" w:cs="宋体"/>
          <w:color w:val="0000FF"/>
          <w:kern w:val="0"/>
          <w:sz w:val="24"/>
          <w:szCs w:val="24"/>
          <w:lang w:val="en-US" w:eastAsia="zh-CN" w:bidi="ar"/>
        </w:rPr>
        <w:t>天。医务人员、行政人员和后勤人员工作制度为</w:t>
      </w:r>
      <w:r>
        <w:rPr>
          <w:rFonts w:hint="default" w:ascii="Times New Roman" w:hAnsi="Times New Roman" w:eastAsia="宋体" w:cs="Times New Roman"/>
          <w:color w:val="0000FF"/>
          <w:kern w:val="0"/>
          <w:sz w:val="24"/>
          <w:szCs w:val="24"/>
          <w:lang w:val="en-US" w:eastAsia="zh-CN" w:bidi="ar"/>
        </w:rPr>
        <w:t>8</w:t>
      </w:r>
      <w:r>
        <w:rPr>
          <w:rFonts w:hint="eastAsia" w:ascii="宋体" w:hAnsi="宋体" w:eastAsia="宋体" w:cs="宋体"/>
          <w:color w:val="0000FF"/>
          <w:kern w:val="0"/>
          <w:sz w:val="24"/>
          <w:szCs w:val="24"/>
          <w:lang w:val="en-US" w:eastAsia="zh-CN" w:bidi="ar"/>
        </w:rPr>
        <w:t>小时单班制，年工作时间</w:t>
      </w:r>
      <w:r>
        <w:rPr>
          <w:rFonts w:hint="eastAsia" w:ascii="Times New Roman" w:hAnsi="Times New Roman" w:eastAsia="宋体" w:cs="Times New Roman"/>
          <w:color w:val="0000FF"/>
          <w:kern w:val="0"/>
          <w:sz w:val="24"/>
          <w:szCs w:val="24"/>
          <w:lang w:val="en-US" w:eastAsia="zh-CN" w:bidi="ar"/>
        </w:rPr>
        <w:t>300</w:t>
      </w:r>
      <w:r>
        <w:rPr>
          <w:rFonts w:hint="eastAsia" w:ascii="宋体" w:hAnsi="宋体" w:eastAsia="宋体" w:cs="宋体"/>
          <w:color w:val="0000FF"/>
          <w:kern w:val="0"/>
          <w:sz w:val="24"/>
          <w:szCs w:val="24"/>
          <w:lang w:val="en-US" w:eastAsia="zh-CN" w:bidi="ar"/>
        </w:rPr>
        <w:t>天。</w:t>
      </w:r>
    </w:p>
    <w:p>
      <w:pPr>
        <w:pStyle w:val="5"/>
        <w:bidi w:val="0"/>
        <w:rPr>
          <w:color w:val="0000FF"/>
        </w:rPr>
      </w:pPr>
      <w:bookmarkStart w:id="142" w:name="_bookmark39"/>
      <w:bookmarkEnd w:id="142"/>
      <w:bookmarkStart w:id="143" w:name="_Toc9206"/>
      <w:r>
        <w:rPr>
          <w:color w:val="0000FF"/>
        </w:rPr>
        <w:t>9.2环境质量现状评价结论</w:t>
      </w:r>
      <w:bookmarkEnd w:id="143"/>
    </w:p>
    <w:p>
      <w:pPr>
        <w:bidi w:val="0"/>
        <w:rPr>
          <w:color w:val="0000FF"/>
        </w:rPr>
      </w:pPr>
      <w:r>
        <w:rPr>
          <w:color w:val="0000FF"/>
        </w:rPr>
        <w:t>（1）大气环境质量</w:t>
      </w:r>
    </w:p>
    <w:p>
      <w:pPr>
        <w:bidi w:val="0"/>
        <w:rPr>
          <w:color w:val="0000FF"/>
        </w:rPr>
      </w:pPr>
      <w:r>
        <w:rPr>
          <w:color w:val="0000FF"/>
        </w:rPr>
        <w:t>工程所在区域SO</w:t>
      </w:r>
      <w:r>
        <w:rPr>
          <w:color w:val="0000FF"/>
          <w:vertAlign w:val="subscript"/>
        </w:rPr>
        <w:t>2</w:t>
      </w:r>
      <w:r>
        <w:rPr>
          <w:color w:val="0000FF"/>
        </w:rPr>
        <w:t>、NO</w:t>
      </w:r>
      <w:r>
        <w:rPr>
          <w:color w:val="0000FF"/>
          <w:vertAlign w:val="subscript"/>
        </w:rPr>
        <w:t>2</w:t>
      </w:r>
      <w:r>
        <w:rPr>
          <w:color w:val="0000FF"/>
        </w:rPr>
        <w:t>、PM</w:t>
      </w:r>
      <w:r>
        <w:rPr>
          <w:color w:val="0000FF"/>
          <w:vertAlign w:val="subscript"/>
        </w:rPr>
        <w:t>10</w:t>
      </w:r>
      <w:r>
        <w:rPr>
          <w:color w:val="0000FF"/>
        </w:rPr>
        <w:t>、PM</w:t>
      </w:r>
      <w:r>
        <w:rPr>
          <w:color w:val="0000FF"/>
          <w:vertAlign w:val="subscript"/>
        </w:rPr>
        <w:t>2.5</w:t>
      </w:r>
      <w:r>
        <w:rPr>
          <w:color w:val="0000FF"/>
        </w:rPr>
        <w:t>、CO和O</w:t>
      </w:r>
      <w:r>
        <w:rPr>
          <w:color w:val="0000FF"/>
          <w:vertAlign w:val="subscript"/>
        </w:rPr>
        <w:t>3</w:t>
      </w:r>
      <w:r>
        <w:rPr>
          <w:color w:val="0000FF"/>
        </w:rPr>
        <w:t>等六项污染物全部达标即为城市环境空气质量达标，由统计可知，</w:t>
      </w:r>
      <w:r>
        <w:rPr>
          <w:rFonts w:hint="eastAsia"/>
          <w:color w:val="0000FF"/>
          <w:lang w:val="en-US" w:eastAsia="zh-CN"/>
        </w:rPr>
        <w:t>本项目所在地</w:t>
      </w:r>
      <w:r>
        <w:rPr>
          <w:color w:val="0000FF"/>
        </w:rPr>
        <w:t>属非达标区。</w:t>
      </w:r>
    </w:p>
    <w:p>
      <w:pPr>
        <w:bidi w:val="0"/>
        <w:rPr>
          <w:color w:val="0000FF"/>
        </w:rPr>
      </w:pPr>
      <w:r>
        <w:rPr>
          <w:color w:val="0000FF"/>
        </w:rPr>
        <w:t>NH</w:t>
      </w:r>
      <w:r>
        <w:rPr>
          <w:color w:val="0000FF"/>
          <w:vertAlign w:val="subscript"/>
        </w:rPr>
        <w:t>3</w:t>
      </w:r>
      <w:r>
        <w:rPr>
          <w:color w:val="0000FF"/>
        </w:rPr>
        <w:t>、H</w:t>
      </w:r>
      <w:r>
        <w:rPr>
          <w:color w:val="0000FF"/>
          <w:vertAlign w:val="subscript"/>
        </w:rPr>
        <w:t>2</w:t>
      </w:r>
      <w:r>
        <w:rPr>
          <w:color w:val="0000FF"/>
        </w:rPr>
        <w:t>S均能满足《环境影响评价技术导则</w:t>
      </w:r>
      <w:r>
        <w:rPr>
          <w:rFonts w:hint="eastAsia"/>
          <w:color w:val="0000FF"/>
          <w:lang w:val="en-US" w:eastAsia="zh-CN"/>
        </w:rPr>
        <w:t xml:space="preserve"> </w:t>
      </w:r>
      <w:r>
        <w:rPr>
          <w:color w:val="0000FF"/>
        </w:rPr>
        <w:t>大气环境》（H.J2.2-2018）附D的相关标准。</w:t>
      </w:r>
    </w:p>
    <w:p>
      <w:pPr>
        <w:bidi w:val="0"/>
        <w:rPr>
          <w:color w:val="0000FF"/>
        </w:rPr>
      </w:pPr>
      <w:r>
        <w:rPr>
          <w:color w:val="0000FF"/>
        </w:rPr>
        <w:t>臭气浓度符合《医疗机构水污染物排放标准》（GB18466-2005）中表3的排放标准限要求。</w:t>
      </w:r>
    </w:p>
    <w:p>
      <w:pPr>
        <w:pStyle w:val="2"/>
        <w:rPr>
          <w:rFonts w:hint="default" w:eastAsia="宋体"/>
          <w:color w:val="0000FF"/>
          <w:lang w:val="en-US" w:eastAsia="zh-CN"/>
        </w:rPr>
      </w:pPr>
      <w:r>
        <w:rPr>
          <w:color w:val="0000FF"/>
        </w:rPr>
        <w:t>非甲烷总烃</w:t>
      </w:r>
      <w:r>
        <w:rPr>
          <w:rFonts w:hint="eastAsia"/>
          <w:color w:val="0000FF"/>
          <w:lang w:val="en-US" w:eastAsia="zh-CN"/>
        </w:rPr>
        <w:t>符合</w:t>
      </w:r>
      <w:r>
        <w:rPr>
          <w:color w:val="0000FF"/>
        </w:rPr>
        <w:t>《大气污染物综合排放标准》</w:t>
      </w:r>
      <w:r>
        <w:rPr>
          <w:rFonts w:hint="eastAsia"/>
          <w:color w:val="0000FF"/>
          <w:lang w:eastAsia="zh-CN"/>
        </w:rPr>
        <w:t>（</w:t>
      </w:r>
      <w:r>
        <w:rPr>
          <w:color w:val="0000FF"/>
        </w:rPr>
        <w:t>GB16297-1996</w:t>
      </w:r>
      <w:r>
        <w:rPr>
          <w:rFonts w:hint="eastAsia"/>
          <w:color w:val="0000FF"/>
          <w:lang w:eastAsia="zh-CN"/>
        </w:rPr>
        <w:t>）</w:t>
      </w:r>
      <w:r>
        <w:rPr>
          <w:color w:val="0000FF"/>
        </w:rPr>
        <w:t>详解中的标准</w:t>
      </w:r>
      <w:r>
        <w:rPr>
          <w:rFonts w:hint="eastAsia"/>
          <w:color w:val="0000FF"/>
          <w:lang w:val="en-US" w:eastAsia="zh-CN"/>
        </w:rPr>
        <w:t>限值。</w:t>
      </w:r>
    </w:p>
    <w:p>
      <w:pPr>
        <w:bidi w:val="0"/>
        <w:rPr>
          <w:color w:val="0000FF"/>
        </w:rPr>
      </w:pPr>
      <w:r>
        <w:rPr>
          <w:color w:val="0000FF"/>
        </w:rPr>
        <w:t>（2）地表水环境质量</w:t>
      </w:r>
    </w:p>
    <w:p>
      <w:pPr>
        <w:bidi w:val="0"/>
        <w:rPr>
          <w:color w:val="0000FF"/>
        </w:rPr>
      </w:pPr>
      <w:r>
        <w:rPr>
          <w:color w:val="0000FF"/>
        </w:rPr>
        <w:t>评价区域内地表水各项监测因子均满足《地表水环境质量标准》（GB3838-2002）中Ⅲ类标准，说明该河流水质较好。</w:t>
      </w:r>
    </w:p>
    <w:p>
      <w:pPr>
        <w:bidi w:val="0"/>
        <w:rPr>
          <w:color w:val="0000FF"/>
        </w:rPr>
      </w:pPr>
      <w:r>
        <w:rPr>
          <w:color w:val="0000FF"/>
        </w:rPr>
        <w:t>（3）声环境质量</w:t>
      </w:r>
    </w:p>
    <w:p>
      <w:pPr>
        <w:bidi w:val="0"/>
        <w:rPr>
          <w:rFonts w:ascii="宋体" w:hAnsi="宋体" w:eastAsia="宋体" w:cs="宋体"/>
          <w:color w:val="0000FF"/>
          <w:szCs w:val="24"/>
        </w:rPr>
      </w:pPr>
      <w:r>
        <w:rPr>
          <w:color w:val="0000FF"/>
        </w:rPr>
        <w:t>项目区的东侧、西侧、南侧及北侧噪声值低于《声环境质量标准》（GB3096-2008）中</w:t>
      </w:r>
      <w:r>
        <w:rPr>
          <w:rFonts w:hint="eastAsia"/>
          <w:color w:val="0000FF"/>
          <w:lang w:val="en-US" w:eastAsia="zh-CN"/>
        </w:rPr>
        <w:t>1</w:t>
      </w:r>
      <w:r>
        <w:rPr>
          <w:color w:val="0000FF"/>
        </w:rPr>
        <w:t>类标准，说明疾控中心的声环境质量良好。</w:t>
      </w:r>
    </w:p>
    <w:p>
      <w:pPr>
        <w:pStyle w:val="5"/>
        <w:bidi w:val="0"/>
        <w:rPr>
          <w:color w:val="0000FF"/>
        </w:rPr>
      </w:pPr>
      <w:bookmarkStart w:id="144" w:name="_bookmark40"/>
      <w:bookmarkEnd w:id="144"/>
      <w:bookmarkStart w:id="145" w:name="_Toc31429"/>
      <w:r>
        <w:rPr>
          <w:color w:val="0000FF"/>
        </w:rPr>
        <w:t>9.3产业政策结论</w:t>
      </w:r>
      <w:bookmarkEnd w:id="145"/>
    </w:p>
    <w:p>
      <w:pPr>
        <w:bidi w:val="0"/>
        <w:rPr>
          <w:color w:val="0000FF"/>
        </w:rPr>
      </w:pPr>
      <w:r>
        <w:rPr>
          <w:color w:val="0000FF"/>
        </w:rPr>
        <w:t>根据《产业结构调整指导目录》（2019年本）中规定，本项目属于鼓励类项目，项目建设符合国家产业政策要求。</w:t>
      </w:r>
    </w:p>
    <w:p>
      <w:pPr>
        <w:pStyle w:val="5"/>
        <w:bidi w:val="0"/>
        <w:rPr>
          <w:color w:val="0000FF"/>
        </w:rPr>
      </w:pPr>
      <w:bookmarkStart w:id="146" w:name="_bookmark41"/>
      <w:bookmarkEnd w:id="146"/>
      <w:bookmarkStart w:id="147" w:name="_Toc2738"/>
      <w:r>
        <w:rPr>
          <w:color w:val="0000FF"/>
        </w:rPr>
        <w:t>9.4环境影响分析</w:t>
      </w:r>
      <w:bookmarkEnd w:id="147"/>
    </w:p>
    <w:p>
      <w:pPr>
        <w:pStyle w:val="6"/>
        <w:bidi w:val="0"/>
        <w:rPr>
          <w:color w:val="0000FF"/>
        </w:rPr>
      </w:pPr>
      <w:bookmarkStart w:id="148" w:name="_Toc2130"/>
      <w:r>
        <w:rPr>
          <w:color w:val="0000FF"/>
        </w:rPr>
        <w:t>9.4.1大气环境影响评价</w:t>
      </w:r>
      <w:bookmarkEnd w:id="148"/>
    </w:p>
    <w:p>
      <w:pPr>
        <w:bidi w:val="0"/>
        <w:rPr>
          <w:color w:val="0000FF"/>
        </w:rPr>
      </w:pPr>
      <w:r>
        <w:rPr>
          <w:color w:val="0000FF"/>
        </w:rPr>
        <w:t>（1）消毒异味</w:t>
      </w:r>
    </w:p>
    <w:p>
      <w:pPr>
        <w:bidi w:val="0"/>
        <w:rPr>
          <w:color w:val="0000FF"/>
        </w:rPr>
      </w:pPr>
      <w:r>
        <w:rPr>
          <w:color w:val="0000FF"/>
        </w:rPr>
        <w:t>为降低空气中的含菌量，疾控中心经常使用</w:t>
      </w:r>
      <w:r>
        <w:rPr>
          <w:rFonts w:hint="eastAsia"/>
          <w:color w:val="0000FF"/>
          <w:lang w:val="en-US" w:eastAsia="zh-CN"/>
        </w:rPr>
        <w:t>二氧化氯</w:t>
      </w:r>
      <w:r>
        <w:rPr>
          <w:color w:val="0000FF"/>
        </w:rPr>
        <w:t>等消毒剂对楼道、卫生间等进行消毒处理，在此过程中会有少量异味产生。项目的消毒异味主要为消毒剂挥发物，产生量不大，且主要产生在室内，为无组织排放。实验室检验设施消毒所用蒸汽为微生物实验室有专用电热高压蒸汽灭菌器进行消毒，热源为电。</w:t>
      </w:r>
    </w:p>
    <w:p>
      <w:pPr>
        <w:bidi w:val="0"/>
        <w:rPr>
          <w:color w:val="0000FF"/>
        </w:rPr>
      </w:pPr>
      <w:r>
        <w:rPr>
          <w:color w:val="0000FF"/>
        </w:rPr>
        <w:t>（2）实验废气</w:t>
      </w:r>
    </w:p>
    <w:p>
      <w:pPr>
        <w:bidi w:val="0"/>
        <w:rPr>
          <w:color w:val="0000FF"/>
        </w:rPr>
      </w:pPr>
      <w:r>
        <w:rPr>
          <w:color w:val="0000FF"/>
        </w:rPr>
        <w:t>微生物实验室，与病原微生物有关的实验在生物安全柜内操作，其废气中病菌经生物安全柜内消毒措施处理后通过专用电控风道外排。</w:t>
      </w:r>
    </w:p>
    <w:p>
      <w:pPr>
        <w:bidi w:val="0"/>
        <w:rPr>
          <w:color w:val="0000FF"/>
        </w:rPr>
      </w:pPr>
      <w:r>
        <w:rPr>
          <w:color w:val="0000FF"/>
        </w:rPr>
        <w:t>理化</w:t>
      </w:r>
      <w:r>
        <w:rPr>
          <w:rFonts w:hint="eastAsia"/>
          <w:color w:val="0000FF"/>
          <w:lang w:eastAsia="zh-CN"/>
        </w:rPr>
        <w:t>实验室</w:t>
      </w:r>
      <w:r>
        <w:rPr>
          <w:color w:val="0000FF"/>
        </w:rPr>
        <w:t>废气集气罩收集+末端活性炭吸附，通过专用电控风道外排。满足《大气污染物综合排放标准》（GB16297-1996）中要求。对环境影响大。</w:t>
      </w:r>
    </w:p>
    <w:p>
      <w:pPr>
        <w:bidi w:val="0"/>
        <w:rPr>
          <w:color w:val="0000FF"/>
        </w:rPr>
      </w:pPr>
      <w:r>
        <w:rPr>
          <w:color w:val="0000FF"/>
        </w:rPr>
        <w:t>（3）污水站恶臭</w:t>
      </w:r>
    </w:p>
    <w:p>
      <w:pPr>
        <w:bidi w:val="0"/>
        <w:rPr>
          <w:color w:val="0000FF"/>
        </w:rPr>
      </w:pPr>
      <w:r>
        <w:rPr>
          <w:color w:val="0000FF"/>
        </w:rPr>
        <w:t>污水处理设备置于密闭房间内，安装活性炭吸附装置，由通风窗口排放。产生的废气无组织排放，厂界氨、硫化氢满足《医疗机构水污染物排放标准》（GB18466-2005）中表3的排放标准限值，对环境影响不大。</w:t>
      </w:r>
    </w:p>
    <w:p>
      <w:pPr>
        <w:bidi w:val="0"/>
        <w:rPr>
          <w:color w:val="0000FF"/>
        </w:rPr>
      </w:pPr>
      <w:r>
        <w:rPr>
          <w:rFonts w:hint="eastAsia"/>
          <w:color w:val="0000FF"/>
          <w:lang w:eastAsia="zh-CN"/>
        </w:rPr>
        <w:t>（</w:t>
      </w:r>
      <w:r>
        <w:rPr>
          <w:rFonts w:hint="eastAsia"/>
          <w:color w:val="0000FF"/>
          <w:lang w:val="en-US" w:eastAsia="zh-CN"/>
        </w:rPr>
        <w:t>4</w:t>
      </w:r>
      <w:r>
        <w:rPr>
          <w:rFonts w:hint="eastAsia"/>
          <w:color w:val="0000FF"/>
          <w:lang w:eastAsia="zh-CN"/>
        </w:rPr>
        <w:t>）</w:t>
      </w:r>
      <w:r>
        <w:rPr>
          <w:color w:val="0000FF"/>
        </w:rPr>
        <w:t>医疗废物暂存间废气</w:t>
      </w:r>
    </w:p>
    <w:p>
      <w:pPr>
        <w:bidi w:val="0"/>
        <w:rPr>
          <w:color w:val="0000FF"/>
        </w:rPr>
      </w:pPr>
      <w:r>
        <w:rPr>
          <w:color w:val="0000FF"/>
        </w:rPr>
        <w:t>医疗废物暂存间废气主要由医疗废物散发而来，废气产生量较小，但可能携带有一定量的病菌。本项目医疗废物暂存间严格按照《医疗卫生机构医疗废物管理办法》（中华人民共和国卫生部令第36号）设置，医疗废物的堆放不超过24小时，采取每天喷洒适量84消毒液对地面和墙体等进行消毒处理，暂存间有严密的封闭措施，消毒处理后通过排气扇将暂存间废气排出，加速废气扩散。</w:t>
      </w:r>
    </w:p>
    <w:p>
      <w:pPr>
        <w:pStyle w:val="6"/>
        <w:bidi w:val="0"/>
        <w:rPr>
          <w:color w:val="0000FF"/>
        </w:rPr>
      </w:pPr>
      <w:bookmarkStart w:id="149" w:name="_Toc2025"/>
      <w:r>
        <w:rPr>
          <w:color w:val="0000FF"/>
        </w:rPr>
        <w:t>9.4.2水环境影响评价</w:t>
      </w:r>
      <w:bookmarkEnd w:id="149"/>
    </w:p>
    <w:p>
      <w:pPr>
        <w:bidi w:val="0"/>
        <w:rPr>
          <w:color w:val="0000FF"/>
        </w:rPr>
      </w:pPr>
      <w:r>
        <w:rPr>
          <w:color w:val="0000FF"/>
        </w:rPr>
        <w:t>（1）微生物实验室废水应先对其有感染性的器皿进行灭菌消毒（高压蒸汽灭菌器）后再进行清洗；理化实验室产生的酸性废水应先采用中和法中和至pH6～9后再排入自建污水处理站处理。</w:t>
      </w:r>
    </w:p>
    <w:p>
      <w:pPr>
        <w:bidi w:val="0"/>
        <w:rPr>
          <w:color w:val="0000FF"/>
        </w:rPr>
      </w:pPr>
      <w:r>
        <w:rPr>
          <w:color w:val="0000FF"/>
        </w:rPr>
        <w:t>（2）办公楼与实验楼功能分区明确，因此，办公楼生活污水经其化粪池处理后由总排口进入市政污水管网。</w:t>
      </w:r>
    </w:p>
    <w:p>
      <w:pPr>
        <w:bidi w:val="0"/>
        <w:rPr>
          <w:color w:val="0000FF"/>
        </w:rPr>
      </w:pPr>
      <w:r>
        <w:rPr>
          <w:color w:val="0000FF"/>
        </w:rPr>
        <w:t>（3）实验楼生活污水经其化粪池处理后与实验室废水一同进入自建污水处理站处理后由总排口进入市政污水管网。</w:t>
      </w:r>
    </w:p>
    <w:p>
      <w:pPr>
        <w:pStyle w:val="6"/>
        <w:bidi w:val="0"/>
        <w:rPr>
          <w:color w:val="0000FF"/>
        </w:rPr>
      </w:pPr>
      <w:bookmarkStart w:id="150" w:name="_Toc23983"/>
      <w:r>
        <w:rPr>
          <w:color w:val="0000FF"/>
        </w:rPr>
        <w:t>9.4.3声环境影响评价</w:t>
      </w:r>
      <w:bookmarkEnd w:id="150"/>
    </w:p>
    <w:p>
      <w:pPr>
        <w:bidi w:val="0"/>
        <w:rPr>
          <w:color w:val="0000FF"/>
        </w:rPr>
      </w:pPr>
      <w:r>
        <w:rPr>
          <w:color w:val="0000FF"/>
        </w:rPr>
        <w:t>本项目噪声污染源主要是风机、进出车辆及社会噪声，在采取加强设施保养，对进出车辆实行限速限行、禁止鸣笛，同时在疾控中心周边种植树木等措施后，噪声对本项目及周边环境影响不大。</w:t>
      </w:r>
    </w:p>
    <w:p>
      <w:pPr>
        <w:pStyle w:val="6"/>
        <w:bidi w:val="0"/>
        <w:rPr>
          <w:color w:val="0000FF"/>
        </w:rPr>
      </w:pPr>
      <w:bookmarkStart w:id="151" w:name="_Toc25833"/>
      <w:r>
        <w:rPr>
          <w:color w:val="0000FF"/>
        </w:rPr>
        <w:t>9.4.4固体废物影响评价</w:t>
      </w:r>
      <w:bookmarkEnd w:id="151"/>
    </w:p>
    <w:p>
      <w:pPr>
        <w:bidi w:val="0"/>
        <w:ind w:left="0" w:leftChars="0" w:firstLine="480" w:firstLineChars="200"/>
        <w:rPr>
          <w:color w:val="0000FF"/>
        </w:rPr>
      </w:pPr>
      <w:r>
        <w:rPr>
          <w:color w:val="0000FF"/>
        </w:rPr>
        <w:t>本项目固体废物主要有医疗废物、实验室废液、污水处理站栅渣和污泥、废活性炭、微生物实验室废过滤材料、过期药品、废离子树脂及生活垃圾。其中废离子树脂及生活垃圾属于一般固废，废离子树脂由专门厂家回收，生活垃圾由环卫部门统一拉走处理；其余固废均为危险废物，暂存于危废暂存间内，定期交由有资质的单位进行处置。</w:t>
      </w:r>
    </w:p>
    <w:p>
      <w:pPr>
        <w:bidi w:val="0"/>
        <w:rPr>
          <w:color w:val="0000FF"/>
        </w:rPr>
      </w:pPr>
      <w:r>
        <w:rPr>
          <w:color w:val="0000FF"/>
        </w:rPr>
        <w:t>由上述可知，各类固体废物均得到</w:t>
      </w:r>
      <w:r>
        <w:rPr>
          <w:rFonts w:hint="eastAsia"/>
          <w:color w:val="0000FF"/>
          <w:lang w:eastAsia="zh-CN"/>
        </w:rPr>
        <w:t>妥善地处置</w:t>
      </w:r>
      <w:r>
        <w:rPr>
          <w:color w:val="0000FF"/>
        </w:rPr>
        <w:t>，只要加强管理，本项目固废对周围环境影响较小。</w:t>
      </w:r>
    </w:p>
    <w:p>
      <w:pPr>
        <w:pStyle w:val="6"/>
        <w:bidi w:val="0"/>
        <w:rPr>
          <w:color w:val="0000FF"/>
        </w:rPr>
      </w:pPr>
      <w:bookmarkStart w:id="152" w:name="_Toc25349"/>
      <w:r>
        <w:rPr>
          <w:color w:val="0000FF"/>
        </w:rPr>
        <w:t>9.4.5环境风险评价</w:t>
      </w:r>
      <w:bookmarkEnd w:id="152"/>
    </w:p>
    <w:p>
      <w:pPr>
        <w:bidi w:val="0"/>
        <w:rPr>
          <w:color w:val="0000FF"/>
        </w:rPr>
      </w:pPr>
      <w:r>
        <w:rPr>
          <w:color w:val="0000FF"/>
        </w:rPr>
        <w:t>本项目的疾病传播风险是存在的，一旦发生风险，经判定项目为一般环境风险，在落实相关管理制度，环境评价报告书提出的环境风险管理措施，制定应急预案，加强管理，保证各项措施正常运转等，本项目风险值处于环境可接受水平。</w:t>
      </w:r>
    </w:p>
    <w:p>
      <w:pPr>
        <w:pStyle w:val="5"/>
        <w:bidi w:val="0"/>
        <w:rPr>
          <w:color w:val="0000FF"/>
        </w:rPr>
      </w:pPr>
      <w:bookmarkStart w:id="153" w:name="_bookmark42"/>
      <w:bookmarkEnd w:id="153"/>
      <w:bookmarkStart w:id="154" w:name="_Toc25860"/>
      <w:r>
        <w:rPr>
          <w:color w:val="0000FF"/>
        </w:rPr>
        <w:t>9.5总量控制结论</w:t>
      </w:r>
      <w:bookmarkEnd w:id="154"/>
    </w:p>
    <w:p>
      <w:pPr>
        <w:bidi w:val="0"/>
        <w:rPr>
          <w:color w:val="0000FF"/>
        </w:rPr>
      </w:pPr>
      <w:r>
        <w:rPr>
          <w:color w:val="0000FF"/>
        </w:rPr>
        <w:t>本项目冬季采用集中供暖，污水最终排入市政污水管网。因此，本项目总量控制指标由</w:t>
      </w:r>
      <w:r>
        <w:rPr>
          <w:rFonts w:hint="eastAsia"/>
          <w:color w:val="0000FF"/>
          <w:lang w:val="en-US" w:eastAsia="zh-CN"/>
        </w:rPr>
        <w:t>225团</w:t>
      </w:r>
      <w:r>
        <w:rPr>
          <w:color w:val="0000FF"/>
        </w:rPr>
        <w:t>污水处理厂统一设置，本评价不再建议总量控制指标。</w:t>
      </w:r>
    </w:p>
    <w:p>
      <w:pPr>
        <w:pStyle w:val="5"/>
        <w:bidi w:val="0"/>
        <w:rPr>
          <w:color w:val="0000FF"/>
        </w:rPr>
      </w:pPr>
      <w:bookmarkStart w:id="155" w:name="_bookmark43"/>
      <w:bookmarkEnd w:id="155"/>
      <w:bookmarkStart w:id="156" w:name="_Toc771"/>
      <w:r>
        <w:rPr>
          <w:color w:val="0000FF"/>
        </w:rPr>
        <w:t>9.6环境经济损益分析</w:t>
      </w:r>
      <w:bookmarkEnd w:id="156"/>
    </w:p>
    <w:p>
      <w:pPr>
        <w:bidi w:val="0"/>
        <w:rPr>
          <w:color w:val="0000FF"/>
        </w:rPr>
      </w:pPr>
      <w:r>
        <w:rPr>
          <w:color w:val="0000FF"/>
        </w:rPr>
        <w:t>本项目运营期可给社会带来社会效益，给建设单位带来可观的经济效益，通过运行环保设施，该项目“三废”合理处置，实现了社会效益、经济效益和环境效益的统一。</w:t>
      </w:r>
    </w:p>
    <w:p>
      <w:pPr>
        <w:pStyle w:val="5"/>
        <w:bidi w:val="0"/>
        <w:rPr>
          <w:color w:val="0000FF"/>
        </w:rPr>
      </w:pPr>
      <w:bookmarkStart w:id="157" w:name="_Toc12867"/>
      <w:r>
        <w:rPr>
          <w:color w:val="0000FF"/>
        </w:rPr>
        <w:t>9.7公众参与</w:t>
      </w:r>
      <w:bookmarkEnd w:id="157"/>
    </w:p>
    <w:p>
      <w:pPr>
        <w:bidi w:val="0"/>
        <w:rPr>
          <w:color w:val="0000FF"/>
        </w:rPr>
      </w:pPr>
      <w:r>
        <w:rPr>
          <w:color w:val="0000FF"/>
        </w:rPr>
        <w:t>本项目采用网络公告、报纸发布，张贴公示、发放调查问卷等形式开展了公众参与调查。通过公众参与调查，未收集到反对意见。</w:t>
      </w:r>
    </w:p>
    <w:p>
      <w:pPr>
        <w:bidi w:val="0"/>
        <w:rPr>
          <w:color w:val="0000FF"/>
        </w:rPr>
      </w:pPr>
      <w:r>
        <w:rPr>
          <w:color w:val="0000FF"/>
        </w:rPr>
        <w:t>本项目的建设得到了影响区域大多数公众的支持，绝大部分被调查者对该项目的建设给予了积极的支持态度。</w:t>
      </w:r>
    </w:p>
    <w:p>
      <w:pPr>
        <w:pStyle w:val="5"/>
        <w:bidi w:val="0"/>
        <w:rPr>
          <w:color w:val="0000FF"/>
        </w:rPr>
      </w:pPr>
      <w:bookmarkStart w:id="158" w:name="_bookmark45"/>
      <w:bookmarkEnd w:id="158"/>
      <w:bookmarkStart w:id="159" w:name="_Toc26939"/>
      <w:r>
        <w:rPr>
          <w:color w:val="0000FF"/>
        </w:rPr>
        <w:t>9.8综合评价结论</w:t>
      </w:r>
      <w:bookmarkEnd w:id="159"/>
    </w:p>
    <w:p>
      <w:pPr>
        <w:bidi w:val="0"/>
        <w:rPr>
          <w:color w:val="0000FF"/>
        </w:rPr>
      </w:pPr>
      <w:r>
        <w:rPr>
          <w:color w:val="0000FF"/>
        </w:rPr>
        <w:t>本项目是一个实现社会效益、经济效益和环境效益统一的项目。疾控中心的建设，将更好的完善疾控中心检测能力，检测环境。不断提高疾控中心的整体实资金技术水平等，能更好地为广大群众提供优质的服务，促进卫生事业的发展，并为全面建设小康社会提供可靠的保证。</w:t>
      </w:r>
    </w:p>
    <w:p>
      <w:pPr>
        <w:bidi w:val="0"/>
        <w:rPr>
          <w:color w:val="0000FF"/>
        </w:rPr>
      </w:pPr>
      <w:r>
        <w:rPr>
          <w:color w:val="0000FF"/>
        </w:rPr>
        <w:t>本项目在对医疗废物等“三废”采取严格的污染防治措施后，该项目对周围环境不会造成危害性影响。疾控中心投入使用后在严格执行本报告书提出的污染防治措施及“三同时”原则基础上，从环保角度考虑该建设项目基本可行。</w:t>
      </w:r>
    </w:p>
    <w:p>
      <w:pPr>
        <w:pStyle w:val="5"/>
        <w:bidi w:val="0"/>
        <w:rPr>
          <w:color w:val="0000FF"/>
        </w:rPr>
      </w:pPr>
      <w:bookmarkStart w:id="160" w:name="_bookmark46"/>
      <w:bookmarkEnd w:id="160"/>
      <w:bookmarkStart w:id="161" w:name="_Toc5340"/>
      <w:r>
        <w:rPr>
          <w:color w:val="0000FF"/>
        </w:rPr>
        <w:t>9.9建议和要求</w:t>
      </w:r>
      <w:bookmarkEnd w:id="161"/>
    </w:p>
    <w:p>
      <w:pPr>
        <w:bidi w:val="0"/>
        <w:rPr>
          <w:color w:val="0000FF"/>
        </w:rPr>
      </w:pPr>
      <w:r>
        <w:rPr>
          <w:color w:val="0000FF"/>
        </w:rPr>
        <w:t>（1）建设方应认真落实环保</w:t>
      </w:r>
      <w:r>
        <w:rPr>
          <w:rFonts w:hint="eastAsia"/>
          <w:color w:val="0000FF"/>
          <w:lang w:eastAsia="zh-CN"/>
        </w:rPr>
        <w:t>“</w:t>
      </w:r>
      <w:r>
        <w:rPr>
          <w:color w:val="0000FF"/>
        </w:rPr>
        <w:t>三同时</w:t>
      </w:r>
      <w:r>
        <w:rPr>
          <w:rFonts w:hint="eastAsia"/>
          <w:color w:val="0000FF"/>
          <w:lang w:eastAsia="zh-CN"/>
        </w:rPr>
        <w:t>”</w:t>
      </w:r>
      <w:r>
        <w:rPr>
          <w:color w:val="0000FF"/>
        </w:rPr>
        <w:t>，加强施工期、运营期的环保管理，确保治理设施的正常运转和污染物的达标排放；</w:t>
      </w:r>
    </w:p>
    <w:p>
      <w:pPr>
        <w:bidi w:val="0"/>
        <w:rPr>
          <w:color w:val="0000FF"/>
        </w:rPr>
      </w:pPr>
      <w:r>
        <w:rPr>
          <w:color w:val="0000FF"/>
        </w:rPr>
        <w:t>（2）加强对环保设施的维护和运行管理，对操作人员进行必要的技术培训，使环保设施能正常、稳定的运行；</w:t>
      </w:r>
    </w:p>
    <w:p>
      <w:pPr>
        <w:bidi w:val="0"/>
        <w:rPr>
          <w:color w:val="0000FF"/>
        </w:rPr>
      </w:pPr>
      <w:r>
        <w:rPr>
          <w:color w:val="0000FF"/>
        </w:rPr>
        <w:t>（3）建议建设单位对进出疾控中心机动车辆进行分流控制，并禁止鸣笛，以减少汽车尾气及车辆行驶噪声；</w:t>
      </w:r>
    </w:p>
    <w:p>
      <w:pPr>
        <w:bidi w:val="0"/>
        <w:rPr>
          <w:color w:val="0000FF"/>
        </w:rPr>
      </w:pPr>
      <w:r>
        <w:rPr>
          <w:color w:val="0000FF"/>
        </w:rPr>
        <w:t>（4）建议疾控中心注重污染处理设施设备的维护与保养，使其保持最佳的工作状态和处理效率，防止非正常排放事故的发生。制定主要污染治理设施故障时的应急方案与措施，以便一旦发生时能及时有效地控制污染物产出与排放，确保将对环境的不利影响控制到</w:t>
      </w:r>
      <w:r>
        <w:rPr>
          <w:rFonts w:hint="eastAsia"/>
          <w:color w:val="0000FF"/>
          <w:lang w:eastAsia="zh-CN"/>
        </w:rPr>
        <w:t>最低程度</w:t>
      </w:r>
      <w:r>
        <w:rPr>
          <w:color w:val="0000FF"/>
        </w:rPr>
        <w:t>；</w:t>
      </w:r>
    </w:p>
    <w:p>
      <w:pPr>
        <w:bidi w:val="0"/>
        <w:rPr>
          <w:color w:val="0000FF"/>
        </w:rPr>
      </w:pPr>
      <w:r>
        <w:rPr>
          <w:color w:val="0000FF"/>
        </w:rPr>
        <w:t>（5）建议疾控中心设专人负责环保管理，保证各三废处置措施能正常运转。疾控中心应特别注意防止传染病菌的排放的对环境的污染。</w:t>
      </w:r>
    </w:p>
    <w:p>
      <w:pPr>
        <w:bidi w:val="0"/>
        <w:rPr>
          <w:color w:val="0000FF"/>
        </w:rPr>
      </w:pPr>
      <w:r>
        <w:rPr>
          <w:color w:val="0000FF"/>
        </w:rPr>
        <w:t>（6）严格按照《危险废物贮存污染控制标准》（GB18597-2001）对危废暂存场所和容器进行建设的管理。建立危险废物</w:t>
      </w:r>
      <w:r>
        <w:rPr>
          <w:rFonts w:hint="eastAsia"/>
          <w:color w:val="0000FF"/>
          <w:lang w:eastAsia="zh-CN"/>
        </w:rPr>
        <w:t>管理台账</w:t>
      </w:r>
      <w:r>
        <w:rPr>
          <w:color w:val="0000FF"/>
        </w:rPr>
        <w:t>，严格管理本项目的危废。使其能够得到合理处置。同时危废贮存按照《环境保护图形标志</w:t>
      </w:r>
      <w:r>
        <w:rPr>
          <w:rFonts w:hint="eastAsia"/>
          <w:color w:val="0000FF"/>
          <w:lang w:eastAsia="zh-CN"/>
        </w:rPr>
        <w:t>－</w:t>
      </w:r>
      <w:r>
        <w:rPr>
          <w:color w:val="0000FF"/>
        </w:rPr>
        <w:t>固体废物贮存</w:t>
      </w:r>
      <w:r>
        <w:rPr>
          <w:rFonts w:hint="eastAsia"/>
          <w:color w:val="0000FF"/>
          <w:lang w:eastAsia="zh-CN"/>
        </w:rPr>
        <w:t>（</w:t>
      </w:r>
      <w:r>
        <w:rPr>
          <w:color w:val="0000FF"/>
        </w:rPr>
        <w:t>处置</w:t>
      </w:r>
      <w:r>
        <w:rPr>
          <w:rFonts w:hint="eastAsia"/>
          <w:color w:val="0000FF"/>
          <w:lang w:eastAsia="zh-CN"/>
        </w:rPr>
        <w:t>）</w:t>
      </w:r>
      <w:r>
        <w:rPr>
          <w:color w:val="0000FF"/>
        </w:rPr>
        <w:t>场》（GB15562.2）设置警示标志。</w:t>
      </w:r>
    </w:p>
    <w:p>
      <w:pPr>
        <w:bidi w:val="0"/>
        <w:rPr>
          <w:color w:val="0000FF"/>
        </w:rPr>
      </w:pPr>
      <w:r>
        <w:rPr>
          <w:color w:val="0000FF"/>
        </w:rPr>
        <w:t>（7）项目周边环境较敏感，风险管控要强化，建立相关的风险防控管理制度。</w:t>
      </w:r>
    </w:p>
    <w:p>
      <w:pPr>
        <w:pStyle w:val="3"/>
        <w:rPr>
          <w:rFonts w:hint="eastAsia"/>
          <w:color w:val="0000FF"/>
          <w:lang w:val="en-US" w:eastAsia="zh-CN"/>
        </w:rPr>
      </w:pPr>
    </w:p>
    <w:sectPr>
      <w:footerReference r:id="rId15" w:type="default"/>
      <w:pgSz w:w="11906" w:h="16838"/>
      <w:pgMar w:top="1440" w:right="1800" w:bottom="1440" w:left="1800" w:header="1020"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09" w:lineRule="exact"/>
      <w:ind w:firstLine="4103"/>
      <w:jc w:val="center"/>
      <w:rPr>
        <w:rFonts w:hint="eastAsia"/>
        <w:sz w:val="18"/>
        <w:szCs w:val="18"/>
        <w:lang w:val="en-US" w:eastAsia="zh-CN"/>
      </w:rPr>
    </w:pPr>
    <w:r>
      <w:rPr>
        <w:rFonts w:hint="eastAsia"/>
        <w:sz w:val="18"/>
        <w:szCs w:val="18"/>
        <w:lang w:val="en-US" w:eastAsia="zh-CN"/>
      </w:rPr>
      <w:t>第十四师225团疾控中心建设项目环境影响报告书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0"/>
  <w:bordersDoNotSurroundFooter w:val="0"/>
  <w:documentProtection w:enforcement="0"/>
  <w:autoFormatOverride/>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3E4B45"/>
    <w:rsid w:val="005459DC"/>
    <w:rsid w:val="00840C06"/>
    <w:rsid w:val="0247568A"/>
    <w:rsid w:val="02623D4A"/>
    <w:rsid w:val="02667D96"/>
    <w:rsid w:val="031A2E85"/>
    <w:rsid w:val="05366F0A"/>
    <w:rsid w:val="06892471"/>
    <w:rsid w:val="070F1FD1"/>
    <w:rsid w:val="088E03A6"/>
    <w:rsid w:val="09CF47C3"/>
    <w:rsid w:val="0F61510E"/>
    <w:rsid w:val="106F2310"/>
    <w:rsid w:val="12891EF5"/>
    <w:rsid w:val="145E32FF"/>
    <w:rsid w:val="14885046"/>
    <w:rsid w:val="14A03325"/>
    <w:rsid w:val="175A778F"/>
    <w:rsid w:val="176D705E"/>
    <w:rsid w:val="18537A0B"/>
    <w:rsid w:val="1CCB771F"/>
    <w:rsid w:val="1E1512CB"/>
    <w:rsid w:val="1E447D3A"/>
    <w:rsid w:val="1F9E3C1A"/>
    <w:rsid w:val="1FE946E7"/>
    <w:rsid w:val="2064219F"/>
    <w:rsid w:val="20696921"/>
    <w:rsid w:val="22272212"/>
    <w:rsid w:val="241E2E4D"/>
    <w:rsid w:val="244051D0"/>
    <w:rsid w:val="26444750"/>
    <w:rsid w:val="287A280C"/>
    <w:rsid w:val="2B5D76E3"/>
    <w:rsid w:val="2D31088A"/>
    <w:rsid w:val="2EBF2C2E"/>
    <w:rsid w:val="31061D8B"/>
    <w:rsid w:val="331917E7"/>
    <w:rsid w:val="33B11749"/>
    <w:rsid w:val="353E4B45"/>
    <w:rsid w:val="38140849"/>
    <w:rsid w:val="39F11A43"/>
    <w:rsid w:val="3C414F0B"/>
    <w:rsid w:val="3D0E25E4"/>
    <w:rsid w:val="3D6574C1"/>
    <w:rsid w:val="3EAD6C67"/>
    <w:rsid w:val="3F2D40BA"/>
    <w:rsid w:val="41415114"/>
    <w:rsid w:val="415A4A2F"/>
    <w:rsid w:val="42021D74"/>
    <w:rsid w:val="42416CF7"/>
    <w:rsid w:val="426134E1"/>
    <w:rsid w:val="45410011"/>
    <w:rsid w:val="4AC31E81"/>
    <w:rsid w:val="4B1A40BC"/>
    <w:rsid w:val="4B6C4243"/>
    <w:rsid w:val="4C884CCB"/>
    <w:rsid w:val="4D581E7E"/>
    <w:rsid w:val="4D6E11CA"/>
    <w:rsid w:val="50DA7FBB"/>
    <w:rsid w:val="50ED1830"/>
    <w:rsid w:val="512546FF"/>
    <w:rsid w:val="51565680"/>
    <w:rsid w:val="52536199"/>
    <w:rsid w:val="52DE126B"/>
    <w:rsid w:val="55AA2BE2"/>
    <w:rsid w:val="593C1B3A"/>
    <w:rsid w:val="5DE84B16"/>
    <w:rsid w:val="5FC12063"/>
    <w:rsid w:val="603732E9"/>
    <w:rsid w:val="604371AD"/>
    <w:rsid w:val="667571EA"/>
    <w:rsid w:val="68121630"/>
    <w:rsid w:val="69C62370"/>
    <w:rsid w:val="6C5050C5"/>
    <w:rsid w:val="6D201EAF"/>
    <w:rsid w:val="77CA4248"/>
    <w:rsid w:val="7B0D3664"/>
    <w:rsid w:val="7B2C13C9"/>
    <w:rsid w:val="7FE72CE4"/>
    <w:rsid w:val="7FF23575"/>
    <w:rsid w:val="7FFC1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heme="minorBidi"/>
      <w:kern w:val="2"/>
      <w:sz w:val="24"/>
      <w:szCs w:val="24"/>
      <w:lang w:val="en-US" w:eastAsia="zh-CN" w:bidi="ar-SA"/>
    </w:rPr>
  </w:style>
  <w:style w:type="paragraph" w:styleId="4">
    <w:name w:val="heading 1"/>
    <w:basedOn w:val="1"/>
    <w:next w:val="1"/>
    <w:link w:val="21"/>
    <w:qFormat/>
    <w:uiPriority w:val="0"/>
    <w:pPr>
      <w:keepNext/>
      <w:keepLines/>
      <w:spacing w:beforeLines="0" w:beforeAutospacing="0" w:afterLines="0" w:afterAutospacing="0" w:line="360" w:lineRule="auto"/>
      <w:ind w:firstLine="0" w:firstLineChars="0"/>
      <w:jc w:val="center"/>
      <w:outlineLvl w:val="0"/>
    </w:pPr>
    <w:rPr>
      <w:b/>
      <w:kern w:val="44"/>
      <w:sz w:val="30"/>
      <w:szCs w:val="30"/>
    </w:rPr>
  </w:style>
  <w:style w:type="paragraph" w:styleId="5">
    <w:name w:val="heading 2"/>
    <w:basedOn w:val="1"/>
    <w:next w:val="1"/>
    <w:unhideWhenUsed/>
    <w:qFormat/>
    <w:uiPriority w:val="0"/>
    <w:pPr>
      <w:keepNext/>
      <w:keepLines/>
      <w:spacing w:beforeLines="0" w:beforeAutospacing="0" w:afterLines="0" w:afterAutospacing="0" w:line="360" w:lineRule="auto"/>
      <w:ind w:firstLine="0" w:firstLineChars="0"/>
      <w:outlineLvl w:val="1"/>
    </w:pPr>
    <w:rPr>
      <w:b/>
      <w:sz w:val="28"/>
      <w:szCs w:val="28"/>
    </w:rPr>
  </w:style>
  <w:style w:type="paragraph" w:styleId="6">
    <w:name w:val="heading 3"/>
    <w:basedOn w:val="1"/>
    <w:next w:val="1"/>
    <w:link w:val="36"/>
    <w:unhideWhenUsed/>
    <w:qFormat/>
    <w:uiPriority w:val="0"/>
    <w:pPr>
      <w:keepNext/>
      <w:keepLines/>
      <w:spacing w:beforeLines="0" w:beforeAutospacing="0" w:afterLines="0" w:afterAutospacing="0" w:line="360" w:lineRule="auto"/>
      <w:ind w:firstLine="0" w:firstLineChars="0"/>
      <w:outlineLvl w:val="2"/>
    </w:pPr>
    <w:rPr>
      <w:b/>
    </w:rPr>
  </w:style>
  <w:style w:type="paragraph" w:styleId="7">
    <w:name w:val="heading 4"/>
    <w:basedOn w:val="1"/>
    <w:next w:val="1"/>
    <w:link w:val="41"/>
    <w:unhideWhenUsed/>
    <w:qFormat/>
    <w:uiPriority w:val="0"/>
    <w:pPr>
      <w:keepNext/>
      <w:keepLines/>
      <w:spacing w:beforeLines="0" w:beforeAutospacing="0" w:afterLines="0" w:afterAutospacing="0" w:line="360" w:lineRule="auto"/>
      <w:ind w:firstLine="0" w:firstLineChars="0"/>
      <w:outlineLvl w:val="3"/>
    </w:pPr>
    <w:rPr>
      <w:b/>
    </w:rPr>
  </w:style>
  <w:style w:type="character" w:default="1" w:styleId="19">
    <w:name w:val="Default Paragraph Font"/>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Times New Roman" w:hAnsi="Times New Roman" w:eastAsia="宋体" w:cs="Times New Roman"/>
      <w:sz w:val="24"/>
      <w:lang w:val="zh-CN" w:bidi="zh-CN"/>
    </w:rPr>
  </w:style>
  <w:style w:type="paragraph" w:customStyle="1" w:styleId="3">
    <w:name w:val="Body Text 21"/>
    <w:basedOn w:val="1"/>
    <w:link w:val="35"/>
    <w:qFormat/>
    <w:uiPriority w:val="0"/>
    <w:pPr>
      <w:spacing w:after="120" w:line="480" w:lineRule="auto"/>
    </w:pPr>
  </w:style>
  <w:style w:type="paragraph" w:styleId="8">
    <w:name w:val="Body Text Indent"/>
    <w:basedOn w:val="1"/>
    <w:next w:val="9"/>
    <w:qFormat/>
    <w:uiPriority w:val="0"/>
    <w:pPr>
      <w:spacing w:line="620" w:lineRule="exact"/>
      <w:ind w:firstLine="560" w:firstLineChars="200"/>
    </w:pPr>
    <w:rPr>
      <w:rFonts w:eastAsia="宋体"/>
      <w:sz w:val="28"/>
    </w:rPr>
  </w:style>
  <w:style w:type="paragraph" w:styleId="9">
    <w:name w:val="Body Text First Indent 2"/>
    <w:basedOn w:val="8"/>
    <w:next w:val="8"/>
    <w:qFormat/>
    <w:uiPriority w:val="0"/>
    <w:pPr>
      <w:spacing w:after="120"/>
      <w:ind w:left="420" w:leftChars="200" w:firstLine="420" w:firstLineChars="200"/>
    </w:pPr>
    <w:rPr>
      <w:sz w:val="21"/>
    </w:rPr>
  </w:style>
  <w:style w:type="paragraph" w:styleId="10">
    <w:name w:val="toc 3"/>
    <w:basedOn w:val="1"/>
    <w:next w:val="1"/>
    <w:link w:val="39"/>
    <w:qFormat/>
    <w:uiPriority w:val="0"/>
    <w:pPr>
      <w:ind w:left="840" w:leftChars="400"/>
    </w:pPr>
  </w:style>
  <w:style w:type="paragraph" w:styleId="11">
    <w:name w:val="Body Text Indent 2"/>
    <w:basedOn w:val="1"/>
    <w:qFormat/>
    <w:uiPriority w:val="0"/>
    <w:pPr>
      <w:adjustRightInd w:val="0"/>
      <w:ind w:firstLine="600" w:firstLineChars="200"/>
    </w:pPr>
    <w:rPr>
      <w:rFonts w:ascii="宋体" w:hAnsi="宋体"/>
      <w:sz w:val="30"/>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link w:val="3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link w:val="40"/>
    <w:qFormat/>
    <w:uiPriority w:val="0"/>
    <w:pPr>
      <w:ind w:left="420" w:leftChars="200"/>
    </w:pPr>
  </w:style>
  <w:style w:type="paragraph" w:styleId="16">
    <w:name w:val="Body Text 2"/>
    <w:basedOn w:val="1"/>
    <w:qFormat/>
    <w:uiPriority w:val="0"/>
    <w:pPr>
      <w:spacing w:line="480" w:lineRule="auto"/>
    </w:pPr>
  </w:style>
  <w:style w:type="table" w:styleId="18">
    <w:name w:val="Table Grid"/>
    <w:basedOn w:val="1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
    <w:name w:val="表格内"/>
    <w:basedOn w:val="1"/>
    <w:link w:val="42"/>
    <w:qFormat/>
    <w:uiPriority w:val="0"/>
    <w:pPr>
      <w:spacing w:line="360" w:lineRule="exact"/>
      <w:jc w:val="center"/>
    </w:pPr>
    <w:rPr>
      <w:snapToGrid w:val="0"/>
      <w:szCs w:val="21"/>
    </w:rPr>
  </w:style>
  <w:style w:type="character" w:customStyle="1" w:styleId="21">
    <w:name w:val="标题 1 Char"/>
    <w:link w:val="4"/>
    <w:qFormat/>
    <w:uiPriority w:val="0"/>
    <w:rPr>
      <w:rFonts w:eastAsia="宋体"/>
      <w:b/>
      <w:kern w:val="44"/>
      <w:sz w:val="30"/>
      <w:szCs w:val="30"/>
    </w:rPr>
  </w:style>
  <w:style w:type="paragraph" w:customStyle="1" w:styleId="22">
    <w:name w:val="表内文字"/>
    <w:basedOn w:val="1"/>
    <w:link w:val="32"/>
    <w:qFormat/>
    <w:uiPriority w:val="0"/>
    <w:pPr>
      <w:spacing w:line="240" w:lineRule="auto"/>
      <w:ind w:firstLine="0" w:firstLineChars="0"/>
      <w:jc w:val="center"/>
    </w:pPr>
    <w:rPr>
      <w:sz w:val="21"/>
      <w:szCs w:val="21"/>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7">
    <w:name w:val="Table Paragraph"/>
    <w:basedOn w:val="1"/>
    <w:qFormat/>
    <w:uiPriority w:val="1"/>
    <w:pPr>
      <w:spacing w:before="111"/>
    </w:pPr>
    <w:rPr>
      <w:rFonts w:ascii="宋体" w:hAnsi="宋体" w:eastAsia="宋体" w:cs="宋体"/>
      <w:lang w:val="zh-CN" w:eastAsia="zh-CN" w:bidi="zh-CN"/>
    </w:rPr>
  </w:style>
  <w:style w:type="character" w:customStyle="1" w:styleId="28">
    <w:name w:val="font31"/>
    <w:basedOn w:val="19"/>
    <w:qFormat/>
    <w:uiPriority w:val="0"/>
    <w:rPr>
      <w:rFonts w:hint="default" w:ascii="Times New Roman" w:hAnsi="Times New Roman" w:cs="Times New Roman"/>
      <w:color w:val="000000"/>
      <w:sz w:val="21"/>
      <w:szCs w:val="21"/>
      <w:u w:val="none"/>
    </w:rPr>
  </w:style>
  <w:style w:type="character" w:customStyle="1" w:styleId="29">
    <w:name w:val="font11"/>
    <w:basedOn w:val="19"/>
    <w:qFormat/>
    <w:uiPriority w:val="0"/>
    <w:rPr>
      <w:rFonts w:hint="eastAsia" w:ascii="宋体" w:hAnsi="宋体" w:eastAsia="宋体" w:cs="宋体"/>
      <w:color w:val="000000"/>
      <w:sz w:val="21"/>
      <w:szCs w:val="21"/>
      <w:u w:val="none"/>
    </w:rPr>
  </w:style>
  <w:style w:type="character" w:customStyle="1" w:styleId="30">
    <w:name w:val="font21"/>
    <w:basedOn w:val="19"/>
    <w:qFormat/>
    <w:uiPriority w:val="0"/>
    <w:rPr>
      <w:rFonts w:hint="default" w:ascii="Times New Roman" w:hAnsi="Times New Roman" w:cs="Times New Roman"/>
      <w:color w:val="000000"/>
      <w:sz w:val="13"/>
      <w:szCs w:val="13"/>
      <w:u w:val="none"/>
    </w:rPr>
  </w:style>
  <w:style w:type="paragraph" w:customStyle="1" w:styleId="31">
    <w:name w:val="段"/>
    <w:qFormat/>
    <w:uiPriority w:val="0"/>
    <w:pPr>
      <w:autoSpaceDE w:val="0"/>
      <w:autoSpaceDN w:val="0"/>
      <w:ind w:firstLine="200" w:firstLineChars="200"/>
      <w:jc w:val="both"/>
    </w:pPr>
    <w:rPr>
      <w:rFonts w:ascii="宋体" w:hAnsi="Calibri" w:eastAsia="宋体" w:cs="Times New Roman"/>
      <w:sz w:val="21"/>
      <w:lang w:val="en-US" w:eastAsia="zh-CN"/>
    </w:rPr>
  </w:style>
  <w:style w:type="character" w:customStyle="1" w:styleId="32">
    <w:name w:val="表内文字 Char"/>
    <w:link w:val="22"/>
    <w:qFormat/>
    <w:uiPriority w:val="0"/>
    <w:rPr>
      <w:sz w:val="21"/>
      <w:szCs w:val="21"/>
    </w:rPr>
  </w:style>
  <w:style w:type="paragraph" w:customStyle="1" w:styleId="33">
    <w:name w:val="1"/>
    <w:basedOn w:val="1"/>
    <w:next w:val="16"/>
    <w:qFormat/>
    <w:uiPriority w:val="0"/>
    <w:pPr>
      <w:spacing w:line="300" w:lineRule="auto"/>
      <w:jc w:val="center"/>
    </w:pPr>
    <w:rPr>
      <w:rFonts w:ascii="宋体" w:hAnsi="宋体"/>
      <w:spacing w:val="-20"/>
    </w:rPr>
  </w:style>
  <w:style w:type="paragraph" w:customStyle="1" w:styleId="34">
    <w:name w:val="报告书正文"/>
    <w:basedOn w:val="1"/>
    <w:qFormat/>
    <w:uiPriority w:val="0"/>
    <w:pPr>
      <w:spacing w:line="300" w:lineRule="auto"/>
      <w:ind w:firstLine="200" w:firstLineChars="200"/>
    </w:pPr>
    <w:rPr>
      <w:sz w:val="24"/>
    </w:rPr>
  </w:style>
  <w:style w:type="character" w:customStyle="1" w:styleId="35">
    <w:name w:val="Body Text 21 Char"/>
    <w:link w:val="3"/>
    <w:qFormat/>
    <w:uiPriority w:val="0"/>
  </w:style>
  <w:style w:type="character" w:customStyle="1" w:styleId="36">
    <w:name w:val="标题 3 Char"/>
    <w:link w:val="6"/>
    <w:qFormat/>
    <w:uiPriority w:val="0"/>
    <w:rPr>
      <w:b/>
    </w:rPr>
  </w:style>
  <w:style w:type="paragraph" w:customStyle="1" w:styleId="37">
    <w:name w:val="WPSOffice手动目录 3"/>
    <w:qFormat/>
    <w:uiPriority w:val="0"/>
    <w:pPr>
      <w:ind w:leftChars="400"/>
    </w:pPr>
    <w:rPr>
      <w:rFonts w:ascii="Times New Roman" w:hAnsi="Times New Roman" w:eastAsia="宋体" w:cs="Times New Roman"/>
      <w:sz w:val="20"/>
      <w:szCs w:val="20"/>
    </w:rPr>
  </w:style>
  <w:style w:type="character" w:customStyle="1" w:styleId="38">
    <w:name w:val="页眉 Char"/>
    <w:link w:val="13"/>
    <w:qFormat/>
    <w:uiPriority w:val="0"/>
    <w:rPr>
      <w:sz w:val="18"/>
    </w:rPr>
  </w:style>
  <w:style w:type="character" w:customStyle="1" w:styleId="39">
    <w:name w:val="目录 3 Char"/>
    <w:link w:val="10"/>
    <w:qFormat/>
    <w:uiPriority w:val="0"/>
  </w:style>
  <w:style w:type="character" w:customStyle="1" w:styleId="40">
    <w:name w:val="目录 2 Char"/>
    <w:link w:val="15"/>
    <w:qFormat/>
    <w:uiPriority w:val="0"/>
  </w:style>
  <w:style w:type="character" w:customStyle="1" w:styleId="41">
    <w:name w:val="标题 4 Char"/>
    <w:link w:val="7"/>
    <w:qFormat/>
    <w:uiPriority w:val="0"/>
    <w:rPr>
      <w:b/>
    </w:rPr>
  </w:style>
  <w:style w:type="character" w:customStyle="1" w:styleId="42">
    <w:name w:val="表格内 Char"/>
    <w:link w:val="20"/>
    <w:qFormat/>
    <w:uiPriority w:val="0"/>
    <w:rPr>
      <w:snapToGrid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29.jpeg"/><Relationship Id="rId44" Type="http://schemas.openxmlformats.org/officeDocument/2006/relationships/image" Target="media/image28.png"/><Relationship Id="rId43" Type="http://schemas.openxmlformats.org/officeDocument/2006/relationships/image" Target="media/image27.jpeg"/><Relationship Id="rId42" Type="http://schemas.openxmlformats.org/officeDocument/2006/relationships/image" Target="media/image26.png"/><Relationship Id="rId41" Type="http://schemas.openxmlformats.org/officeDocument/2006/relationships/image" Target="media/image25.jpe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2022-01-17T02:42:00Z</dcterms:created>
  <dc:creator></dc:creator>
  <cp:lastModifiedBy></cp:lastModifiedBy>
  <dcterms:modified xsi:type="dcterms:W3CDTF">2022-03-31T10:11:27Z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701AB3C948C34F3CAE9C1AB8263E6AB8</vt:lpwstr>
  </property>
</Properties>
</file>