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36"/>
        </w:rPr>
      </w:pPr>
      <w:r>
        <w:rPr>
          <w:rFonts w:hint="eastAsia"/>
          <w:b/>
          <w:sz w:val="36"/>
          <w:szCs w:val="36"/>
        </w:rPr>
        <w:t>第十四师皮山农场 2019 年以工代赈渠道改造建设项目</w:t>
      </w:r>
    </w:p>
    <w:p>
      <w:pPr>
        <w:jc w:val="center"/>
        <w:rPr>
          <w:b/>
          <w:sz w:val="36"/>
          <w:szCs w:val="36"/>
        </w:rPr>
      </w:pPr>
      <w:r>
        <w:rPr>
          <w:rFonts w:hint="eastAsia"/>
          <w:b/>
          <w:sz w:val="36"/>
          <w:szCs w:val="36"/>
        </w:rPr>
        <w:t>竣工环境保护自主验收工作组意见</w:t>
      </w:r>
    </w:p>
    <w:p>
      <w:pPr>
        <w:spacing w:line="360" w:lineRule="auto"/>
        <w:ind w:firstLine="640" w:firstLineChars="200"/>
        <w:rPr>
          <w:rFonts w:ascii="仿宋_GB2312" w:hAnsi="仿宋" w:eastAsia="仿宋_GB2312" w:cs="仿宋"/>
          <w:bCs/>
          <w:sz w:val="32"/>
          <w:szCs w:val="32"/>
        </w:rPr>
      </w:pPr>
      <w:r>
        <w:rPr>
          <w:rFonts w:hint="eastAsia" w:ascii="仿宋_GB2312" w:hAnsi="仿宋" w:eastAsia="仿宋_GB2312" w:cs="仿宋"/>
          <w:bCs/>
          <w:sz w:val="32"/>
          <w:szCs w:val="32"/>
        </w:rPr>
        <w:t>2021年1月10日，第十四师水利工程管理服务中心根据《第十四师皮山农场 2019 年以工代赈渠道改造建设项目竣工环境保护验收调查表》并对照《建设项目环境保护管理条例》（国务院令第682号）、《建设项目竣工环境保护验收暂行办法》，严格依照国家有关法律法规、建设项目竣工环境保护验收技术规范、《建设项目竣工环境保护验收技术规范 生态影响类》、本项目环境影响评价报告表和审批部门审批决定等要求对本项目进行验收。</w:t>
      </w:r>
      <w:r>
        <w:rPr>
          <w:rFonts w:hint="eastAsia" w:ascii="仿宋" w:hAnsi="仿宋" w:eastAsia="仿宋" w:cs="仿宋"/>
          <w:kern w:val="2"/>
          <w:sz w:val="32"/>
          <w:szCs w:val="32"/>
        </w:rPr>
        <w:t>验收组由项目建设单位</w:t>
      </w:r>
      <w:r>
        <w:rPr>
          <w:rFonts w:hint="eastAsia" w:ascii="仿宋_GB2312" w:hAnsi="仿宋" w:eastAsia="仿宋_GB2312" w:cs="仿宋"/>
          <w:bCs/>
          <w:sz w:val="32"/>
          <w:szCs w:val="32"/>
        </w:rPr>
        <w:t>第十四师水利工程管理服务中心</w:t>
      </w:r>
      <w:r>
        <w:rPr>
          <w:rFonts w:hint="eastAsia" w:ascii="仿宋" w:hAnsi="仿宋" w:eastAsia="仿宋" w:cs="仿宋"/>
          <w:kern w:val="2"/>
          <w:sz w:val="32"/>
          <w:szCs w:val="32"/>
        </w:rPr>
        <w:t>和专家组成</w:t>
      </w:r>
      <w:r>
        <w:rPr>
          <w:rFonts w:hint="eastAsia" w:ascii="仿宋" w:hAnsi="仿宋" w:eastAsia="仿宋" w:cs="仿宋"/>
          <w:bCs/>
          <w:sz w:val="32"/>
          <w:szCs w:val="32"/>
        </w:rPr>
        <w:t>，</w:t>
      </w:r>
      <w:r>
        <w:rPr>
          <w:rFonts w:hint="eastAsia" w:ascii="仿宋_GB2312" w:hAnsi="仿宋" w:eastAsia="仿宋_GB2312" w:cs="仿宋"/>
          <w:bCs/>
          <w:sz w:val="32"/>
          <w:szCs w:val="32"/>
        </w:rPr>
        <w:t>特邀专家为：特邀专家为：新疆博衍水利水电环境科技有限公司黄骁勇、新疆兵团勘测设计院（集团）有限责任公司陈超群</w:t>
      </w:r>
      <w:r>
        <w:rPr>
          <w:rFonts w:hint="eastAsia" w:ascii="仿宋_GB2312" w:hAnsi="仿宋" w:eastAsia="仿宋_GB2312" w:cs="仿宋"/>
          <w:bCs/>
          <w:sz w:val="32"/>
          <w:szCs w:val="32"/>
          <w:lang w:val="en-US" w:eastAsia="zh-CN"/>
        </w:rPr>
        <w:t>及新疆维吾尔自治区环境保护科学研究陈勇</w:t>
      </w:r>
      <w:r>
        <w:rPr>
          <w:rFonts w:hint="eastAsia" w:ascii="仿宋_GB2312" w:hAnsi="仿宋" w:eastAsia="仿宋_GB2312" w:cs="仿宋"/>
          <w:bCs/>
          <w:sz w:val="32"/>
          <w:szCs w:val="32"/>
        </w:rPr>
        <w:t>（专家名单附后）。与会代表听取了第十四师水利工程管理服务中心环境保护执行情况报告及该项目竣工环境保护验收调查表的通报，查看了项目建设及环保设施的运行情况，审阅了建设单位的有关资料，经充分讨论评议后形成验收意见如下：</w:t>
      </w:r>
    </w:p>
    <w:p>
      <w:pPr>
        <w:spacing w:line="360" w:lineRule="auto"/>
        <w:ind w:firstLine="640" w:firstLineChars="200"/>
        <w:jc w:val="left"/>
        <w:rPr>
          <w:rFonts w:ascii="黑体" w:hAnsi="黑体" w:eastAsia="黑体" w:cs="黑体"/>
          <w:sz w:val="32"/>
          <w:szCs w:val="32"/>
        </w:rPr>
      </w:pPr>
      <w:r>
        <w:rPr>
          <w:rFonts w:hint="eastAsia" w:ascii="黑体" w:hAnsi="黑体" w:eastAsia="黑体" w:cs="黑体"/>
          <w:sz w:val="32"/>
          <w:szCs w:val="32"/>
        </w:rPr>
        <w:t>一、项目建设基本情况</w:t>
      </w:r>
    </w:p>
    <w:p>
      <w:pPr>
        <w:pStyle w:val="9"/>
        <w:spacing w:before="0" w:beforeAutospacing="0" w:after="0" w:afterAutospacing="0" w:line="360" w:lineRule="auto"/>
        <w:ind w:firstLine="640" w:firstLineChars="200"/>
        <w:outlineLvl w:val="0"/>
        <w:rPr>
          <w:rFonts w:ascii="楷体" w:hAnsi="楷体" w:eastAsia="楷体" w:cs="楷体"/>
          <w:sz w:val="32"/>
          <w:szCs w:val="32"/>
        </w:rPr>
      </w:pPr>
      <w:r>
        <w:rPr>
          <w:rFonts w:hint="eastAsia" w:ascii="楷体" w:hAnsi="楷体" w:eastAsia="楷体" w:cs="楷体"/>
          <w:sz w:val="32"/>
          <w:szCs w:val="32"/>
        </w:rPr>
        <w:t>（一）建设地点、规模、主要建设内容</w:t>
      </w:r>
    </w:p>
    <w:p>
      <w:pPr>
        <w:spacing w:line="360" w:lineRule="auto"/>
        <w:ind w:firstLine="640" w:firstLineChars="200"/>
        <w:rPr>
          <w:rFonts w:ascii="仿宋_GB2312" w:hAnsi="仿宋" w:eastAsia="仿宋_GB2312"/>
          <w:bCs/>
          <w:sz w:val="32"/>
          <w:szCs w:val="32"/>
        </w:rPr>
      </w:pPr>
      <w:r>
        <w:rPr>
          <w:rFonts w:hint="eastAsia" w:ascii="仿宋_GB2312" w:eastAsia="仿宋_GB2312"/>
          <w:sz w:val="32"/>
          <w:szCs w:val="32"/>
        </w:rPr>
        <w:t>本项目建设地点位于第十四师皮山农场，项目中心点位置坐标为：东经78°26′22.225″，北纬37°41′34.328″，四周均为乡镇和空地。项目附近无国家、自治区、县级文物古迹及自然景观保护目标，且运营期无污染产生。</w:t>
      </w:r>
    </w:p>
    <w:p>
      <w:pPr>
        <w:spacing w:line="360" w:lineRule="auto"/>
        <w:ind w:firstLine="640" w:firstLineChars="200"/>
        <w:rPr>
          <w:rFonts w:ascii="仿宋_GB2312" w:hAnsi="仿宋" w:eastAsia="仿宋_GB2312"/>
          <w:sz w:val="32"/>
          <w:szCs w:val="32"/>
        </w:rPr>
      </w:pPr>
      <w:r>
        <w:rPr>
          <w:rFonts w:hint="eastAsia" w:ascii="仿宋_GB2312" w:hAnsi="仿宋" w:eastAsia="仿宋_GB2312"/>
          <w:sz w:val="32"/>
          <w:szCs w:val="32"/>
        </w:rPr>
        <w:t>经调查本项目总占地22.16hm</w:t>
      </w:r>
      <w:r>
        <w:rPr>
          <w:rFonts w:hint="eastAsia" w:ascii="仿宋_GB2312" w:hAnsi="仿宋" w:eastAsia="仿宋_GB2312"/>
          <w:sz w:val="32"/>
          <w:szCs w:val="32"/>
          <w:vertAlign w:val="superscript"/>
        </w:rPr>
        <w:t>2</w:t>
      </w:r>
      <w:r>
        <w:rPr>
          <w:rFonts w:hint="eastAsia" w:ascii="仿宋_GB2312" w:hAnsi="仿宋" w:eastAsia="仿宋_GB2312"/>
          <w:sz w:val="32"/>
          <w:szCs w:val="32"/>
        </w:rPr>
        <w:t>,其中渠道永久占地13.8hm</w:t>
      </w:r>
      <w:r>
        <w:rPr>
          <w:rFonts w:hint="eastAsia" w:ascii="仿宋_GB2312" w:hAnsi="仿宋" w:eastAsia="仿宋_GB2312"/>
          <w:sz w:val="32"/>
          <w:szCs w:val="32"/>
          <w:vertAlign w:val="superscript"/>
        </w:rPr>
        <w:t>2</w:t>
      </w:r>
      <w:r>
        <w:rPr>
          <w:rFonts w:hint="eastAsia" w:ascii="仿宋_GB2312" w:hAnsi="仿宋" w:eastAsia="仿宋_GB2312"/>
          <w:sz w:val="32"/>
          <w:szCs w:val="32"/>
        </w:rPr>
        <w:t>，工程临时占地包括主体施工区、临时生产生活区等，主体施工区临时占地8.36hm</w:t>
      </w:r>
      <w:r>
        <w:rPr>
          <w:rFonts w:hint="eastAsia" w:ascii="仿宋_GB2312" w:hAnsi="仿宋" w:eastAsia="仿宋_GB2312"/>
          <w:sz w:val="32"/>
          <w:szCs w:val="32"/>
          <w:vertAlign w:val="superscript"/>
        </w:rPr>
        <w:t>2</w:t>
      </w:r>
      <w:r>
        <w:rPr>
          <w:rFonts w:hint="eastAsia" w:ascii="仿宋_GB2312" w:hAnsi="仿宋" w:eastAsia="仿宋_GB2312"/>
          <w:sz w:val="32"/>
          <w:szCs w:val="32"/>
        </w:rPr>
        <w:t>，临时生产生活区主要包括混凝土拌和站、生活办公区和综合加工厂。本项目不存在新增永久占地，不存在永久占地补偿。</w:t>
      </w:r>
    </w:p>
    <w:p>
      <w:pPr>
        <w:spacing w:line="360" w:lineRule="auto"/>
        <w:ind w:firstLine="643" w:firstLineChars="200"/>
        <w:rPr>
          <w:rFonts w:ascii="仿宋_GB2312" w:hAnsi="仿宋" w:eastAsia="仿宋_GB2312"/>
          <w:spacing w:val="-6"/>
          <w:sz w:val="32"/>
          <w:szCs w:val="32"/>
        </w:rPr>
      </w:pPr>
      <w:r>
        <w:rPr>
          <w:rFonts w:hint="eastAsia" w:ascii="仿宋_GB2312" w:hAnsi="仿宋" w:eastAsia="仿宋_GB2312"/>
          <w:b/>
          <w:bCs/>
          <w:sz w:val="32"/>
          <w:szCs w:val="32"/>
        </w:rPr>
        <w:t>项目设计规模：</w:t>
      </w:r>
      <w:r>
        <w:rPr>
          <w:rFonts w:hint="eastAsia" w:ascii="仿宋_GB2312" w:hAnsi="仿宋" w:eastAsia="仿宋_GB2312"/>
          <w:spacing w:val="-6"/>
          <w:sz w:val="32"/>
          <w:szCs w:val="32"/>
        </w:rPr>
        <w:t>项目区共有17</w:t>
      </w:r>
      <w:bookmarkStart w:id="0" w:name="_bookmark8"/>
      <w:bookmarkEnd w:id="0"/>
      <w:r>
        <w:rPr>
          <w:rFonts w:hint="eastAsia" w:ascii="仿宋_GB2312" w:hAnsi="仿宋" w:eastAsia="仿宋_GB2312"/>
          <w:spacing w:val="-6"/>
          <w:sz w:val="32"/>
          <w:szCs w:val="32"/>
        </w:rPr>
        <w:t>条渠道进行防渗改建，总长度 23.108km，</w:t>
      </w:r>
      <w:r>
        <w:rPr>
          <w:rFonts w:hint="eastAsia" w:ascii="仿宋_GB2312" w:hAnsi="仿宋" w:eastAsia="仿宋_GB2312"/>
          <w:sz w:val="32"/>
          <w:szCs w:val="32"/>
        </w:rPr>
        <w:t>配套水工建筑物281 座，</w:t>
      </w:r>
      <w:r>
        <w:rPr>
          <w:rFonts w:hint="eastAsia" w:ascii="仿宋_GB2312" w:hAnsi="仿宋" w:eastAsia="仿宋_GB2312"/>
          <w:spacing w:val="-6"/>
          <w:sz w:val="32"/>
          <w:szCs w:val="32"/>
        </w:rPr>
        <w:t>改善灌区灌溉面积 9.7 万亩。</w:t>
      </w:r>
    </w:p>
    <w:p>
      <w:pPr>
        <w:spacing w:line="360" w:lineRule="auto"/>
        <w:ind w:firstLine="643" w:firstLineChars="200"/>
        <w:rPr>
          <w:rFonts w:ascii="仿宋_GB2312" w:hAnsi="仿宋" w:eastAsia="仿宋_GB2312"/>
          <w:sz w:val="32"/>
          <w:szCs w:val="32"/>
        </w:rPr>
      </w:pPr>
      <w:r>
        <w:rPr>
          <w:rFonts w:hint="eastAsia" w:ascii="仿宋_GB2312" w:hAnsi="仿宋" w:eastAsia="仿宋_GB2312"/>
          <w:b/>
          <w:bCs/>
          <w:sz w:val="32"/>
          <w:szCs w:val="32"/>
        </w:rPr>
        <w:t>实际建设规模：</w:t>
      </w:r>
      <w:r>
        <w:rPr>
          <w:rFonts w:hint="eastAsia" w:ascii="仿宋_GB2312" w:hAnsi="仿宋" w:eastAsia="仿宋_GB2312"/>
          <w:spacing w:val="-6"/>
          <w:sz w:val="32"/>
          <w:szCs w:val="32"/>
        </w:rPr>
        <w:t>项目区共有17条渠道进行防渗改建，总长度 23.108km，</w:t>
      </w:r>
      <w:r>
        <w:rPr>
          <w:rFonts w:hint="eastAsia" w:ascii="仿宋_GB2312" w:hAnsi="仿宋" w:eastAsia="仿宋_GB2312"/>
          <w:sz w:val="32"/>
          <w:szCs w:val="32"/>
        </w:rPr>
        <w:t>配套水工建筑物281 座，</w:t>
      </w:r>
      <w:r>
        <w:rPr>
          <w:rFonts w:hint="eastAsia" w:ascii="仿宋_GB2312" w:hAnsi="仿宋" w:eastAsia="仿宋_GB2312"/>
          <w:spacing w:val="-6"/>
          <w:sz w:val="32"/>
          <w:szCs w:val="32"/>
        </w:rPr>
        <w:t>改善灌区灌溉面积 9.7 万亩。</w:t>
      </w:r>
    </w:p>
    <w:p>
      <w:pPr>
        <w:pStyle w:val="9"/>
        <w:spacing w:before="0" w:beforeAutospacing="0" w:after="0" w:afterAutospacing="0" w:line="360" w:lineRule="auto"/>
        <w:outlineLvl w:val="0"/>
        <w:rPr>
          <w:rFonts w:ascii="黑体" w:hAnsi="黑体" w:eastAsia="黑体" w:cs="黑体"/>
          <w:sz w:val="32"/>
          <w:szCs w:val="32"/>
        </w:rPr>
      </w:pPr>
      <w:r>
        <w:rPr>
          <w:rFonts w:hint="eastAsia" w:ascii="黑体" w:hAnsi="黑体" w:eastAsia="黑体" w:cs="黑体"/>
          <w:sz w:val="32"/>
          <w:szCs w:val="32"/>
        </w:rPr>
        <w:t>二、建设过程及环保审批情况</w:t>
      </w:r>
    </w:p>
    <w:p>
      <w:pPr>
        <w:pStyle w:val="9"/>
        <w:spacing w:before="0" w:beforeAutospacing="0" w:after="0" w:afterAutospacing="0" w:line="360" w:lineRule="auto"/>
        <w:ind w:firstLine="640" w:firstLineChars="200"/>
        <w:outlineLvl w:val="0"/>
        <w:rPr>
          <w:rFonts w:ascii="仿宋_GB2312" w:hAnsi="仿宋" w:eastAsia="仿宋_GB2312"/>
          <w:sz w:val="32"/>
          <w:szCs w:val="32"/>
        </w:rPr>
      </w:pPr>
      <w:r>
        <w:rPr>
          <w:rFonts w:hint="eastAsia" w:ascii="仿宋_GB2312" w:hAnsi="仿宋" w:eastAsia="仿宋_GB2312"/>
          <w:sz w:val="32"/>
          <w:szCs w:val="32"/>
        </w:rPr>
        <w:t>第十四师水利工程管理服务中心于2021年4月委托乌鲁木齐水木森潮环保科技有限公司编制《第十四师皮山农场 2019 年以工代赈渠道改造建设项目环境影响报告表》，2021年12月28日，取得第十四师昆玉市生态环境局《关于第十四师皮山农场 2019 年以工代赈渠道改造建设项目环境影响报告表的批复》（十四师环发〔2021〕59号），同意本项目建设实施。</w:t>
      </w:r>
    </w:p>
    <w:p>
      <w:pPr>
        <w:pStyle w:val="9"/>
        <w:spacing w:before="0" w:beforeAutospacing="0" w:after="0" w:afterAutospacing="0" w:line="360" w:lineRule="auto"/>
        <w:ind w:firstLine="640" w:firstLineChars="200"/>
        <w:outlineLvl w:val="0"/>
        <w:rPr>
          <w:rFonts w:ascii="仿宋_GB2312" w:hAnsi="仿宋" w:eastAsia="仿宋_GB2312"/>
          <w:sz w:val="32"/>
          <w:szCs w:val="32"/>
        </w:rPr>
      </w:pPr>
      <w:r>
        <w:rPr>
          <w:rFonts w:hint="eastAsia" w:ascii="仿宋_GB2312" w:hAnsi="仿宋" w:eastAsia="仿宋_GB2312"/>
          <w:sz w:val="32"/>
          <w:szCs w:val="32"/>
        </w:rPr>
        <w:t>第十四师水利工程管理服务中心于2022年1月进行第十四师皮山农场 2019 年以工代赈渠道改造建设项目竣工环境保护验收调查工作。验收期间对本项目环境状况进行了实地踏勘、资料收集，并认真研究了相关技术资料和竣工资料，对本项目环境保护治理措施、环境敏感点及环保措施的执行情况等方面进行了重点调查，并在此基础上编制完成了《第十四师皮山农场 2019 年以工代赈渠道改造建设项目竣工环境保护验收调查表》</w:t>
      </w:r>
    </w:p>
    <w:p>
      <w:pPr>
        <w:pStyle w:val="9"/>
        <w:spacing w:before="0" w:beforeAutospacing="0" w:after="0" w:afterAutospacing="0" w:line="360" w:lineRule="auto"/>
        <w:ind w:firstLine="640" w:firstLineChars="200"/>
        <w:outlineLvl w:val="0"/>
        <w:rPr>
          <w:rFonts w:ascii="黑体" w:hAnsi="黑体" w:eastAsia="黑体" w:cs="黑体"/>
          <w:sz w:val="32"/>
          <w:szCs w:val="32"/>
        </w:rPr>
      </w:pPr>
      <w:r>
        <w:rPr>
          <w:rFonts w:hint="eastAsia" w:ascii="黑体" w:hAnsi="黑体" w:eastAsia="黑体" w:cs="黑体"/>
          <w:sz w:val="32"/>
          <w:szCs w:val="32"/>
        </w:rPr>
        <w:t>三、投资情况</w:t>
      </w:r>
    </w:p>
    <w:p>
      <w:pPr>
        <w:pStyle w:val="10"/>
        <w:ind w:firstLine="640"/>
        <w:rPr>
          <w:rFonts w:ascii="仿宋_GB2312" w:hAnsi="仿宋" w:eastAsia="仿宋_GB2312"/>
          <w:bCs/>
          <w:kern w:val="0"/>
          <w:sz w:val="32"/>
          <w:szCs w:val="32"/>
        </w:rPr>
      </w:pPr>
      <w:r>
        <w:rPr>
          <w:rFonts w:hint="eastAsia" w:ascii="仿宋_GB2312" w:hAnsi="仿宋" w:eastAsia="仿宋_GB2312"/>
          <w:bCs/>
          <w:kern w:val="0"/>
          <w:sz w:val="32"/>
          <w:szCs w:val="32"/>
        </w:rPr>
        <w:t>项目设计总投资1710.48</w:t>
      </w:r>
      <w:r>
        <w:rPr>
          <w:rFonts w:ascii="仿宋_GB2312" w:hAnsi="仿宋" w:eastAsia="仿宋_GB2312"/>
          <w:bCs/>
          <w:kern w:val="0"/>
          <w:sz w:val="32"/>
          <w:szCs w:val="32"/>
        </w:rPr>
        <w:t>万元，其中项目环境保护总投资为</w:t>
      </w:r>
      <w:r>
        <w:rPr>
          <w:rFonts w:hint="eastAsia" w:ascii="仿宋_GB2312" w:hAnsi="仿宋" w:eastAsia="仿宋_GB2312"/>
          <w:bCs/>
          <w:kern w:val="0"/>
          <w:sz w:val="32"/>
          <w:szCs w:val="32"/>
        </w:rPr>
        <w:t>38.15</w:t>
      </w:r>
      <w:r>
        <w:rPr>
          <w:rFonts w:ascii="仿宋_GB2312" w:hAnsi="仿宋" w:eastAsia="仿宋_GB2312"/>
          <w:bCs/>
          <w:kern w:val="0"/>
          <w:sz w:val="32"/>
          <w:szCs w:val="32"/>
        </w:rPr>
        <w:t>万元，占总投资的</w:t>
      </w:r>
      <w:r>
        <w:rPr>
          <w:rFonts w:hint="eastAsia" w:ascii="仿宋_GB2312" w:hAnsi="仿宋" w:eastAsia="仿宋_GB2312"/>
          <w:bCs/>
          <w:kern w:val="0"/>
          <w:sz w:val="32"/>
          <w:szCs w:val="32"/>
        </w:rPr>
        <w:t>2.26</w:t>
      </w:r>
      <w:r>
        <w:rPr>
          <w:rFonts w:ascii="仿宋_GB2312" w:hAnsi="仿宋" w:eastAsia="仿宋_GB2312"/>
          <w:bCs/>
          <w:kern w:val="0"/>
          <w:sz w:val="32"/>
          <w:szCs w:val="32"/>
        </w:rPr>
        <w:t>%</w:t>
      </w:r>
      <w:r>
        <w:rPr>
          <w:rFonts w:hint="eastAsia" w:ascii="仿宋_GB2312" w:hAnsi="仿宋" w:eastAsia="仿宋_GB2312"/>
          <w:bCs/>
          <w:kern w:val="0"/>
          <w:sz w:val="32"/>
          <w:szCs w:val="32"/>
        </w:rPr>
        <w:t>；项目实际总投资1710.48</w:t>
      </w:r>
      <w:r>
        <w:rPr>
          <w:rFonts w:ascii="仿宋_GB2312" w:hAnsi="仿宋" w:eastAsia="仿宋_GB2312"/>
          <w:bCs/>
          <w:kern w:val="0"/>
          <w:sz w:val="32"/>
          <w:szCs w:val="32"/>
        </w:rPr>
        <w:t>万元，其中项目环境保护总投资为</w:t>
      </w:r>
      <w:r>
        <w:rPr>
          <w:rFonts w:hint="eastAsia" w:ascii="仿宋_GB2312" w:hAnsi="仿宋" w:eastAsia="仿宋_GB2312"/>
          <w:bCs/>
          <w:kern w:val="0"/>
          <w:sz w:val="32"/>
          <w:szCs w:val="32"/>
        </w:rPr>
        <w:t>37.5</w:t>
      </w:r>
      <w:r>
        <w:rPr>
          <w:rFonts w:ascii="仿宋_GB2312" w:hAnsi="仿宋" w:eastAsia="仿宋_GB2312"/>
          <w:bCs/>
          <w:kern w:val="0"/>
          <w:sz w:val="32"/>
          <w:szCs w:val="32"/>
        </w:rPr>
        <w:t>万元，占总投资的</w:t>
      </w:r>
      <w:r>
        <w:rPr>
          <w:rFonts w:hint="eastAsia" w:ascii="仿宋_GB2312" w:hAnsi="仿宋" w:eastAsia="仿宋_GB2312"/>
          <w:bCs/>
          <w:kern w:val="0"/>
          <w:sz w:val="32"/>
          <w:szCs w:val="32"/>
        </w:rPr>
        <w:t>2.19</w:t>
      </w:r>
      <w:r>
        <w:rPr>
          <w:rFonts w:ascii="仿宋_GB2312" w:hAnsi="仿宋" w:eastAsia="仿宋_GB2312"/>
          <w:bCs/>
          <w:kern w:val="0"/>
          <w:sz w:val="32"/>
          <w:szCs w:val="32"/>
        </w:rPr>
        <w:t>%</w:t>
      </w:r>
      <w:r>
        <w:rPr>
          <w:rFonts w:hint="eastAsia" w:ascii="仿宋_GB2312" w:hAnsi="仿宋" w:eastAsia="仿宋_GB2312"/>
          <w:bCs/>
          <w:kern w:val="0"/>
          <w:sz w:val="32"/>
          <w:szCs w:val="32"/>
        </w:rPr>
        <w:t>。</w:t>
      </w:r>
    </w:p>
    <w:p>
      <w:pPr>
        <w:pStyle w:val="9"/>
        <w:spacing w:before="0" w:beforeAutospacing="0" w:after="0" w:afterAutospacing="0" w:line="360" w:lineRule="auto"/>
        <w:ind w:firstLine="640" w:firstLineChars="200"/>
        <w:outlineLvl w:val="0"/>
        <w:rPr>
          <w:rFonts w:ascii="黑体" w:hAnsi="黑体" w:eastAsia="黑体" w:cs="黑体"/>
          <w:sz w:val="32"/>
          <w:szCs w:val="32"/>
        </w:rPr>
      </w:pPr>
      <w:r>
        <w:rPr>
          <w:rFonts w:hint="eastAsia" w:ascii="黑体" w:hAnsi="黑体" w:eastAsia="黑体" w:cs="黑体"/>
          <w:sz w:val="32"/>
          <w:szCs w:val="32"/>
        </w:rPr>
        <w:t>四、验收范围</w:t>
      </w:r>
    </w:p>
    <w:p>
      <w:pPr>
        <w:spacing w:line="360" w:lineRule="auto"/>
        <w:ind w:firstLine="640" w:firstLineChars="200"/>
        <w:jc w:val="left"/>
        <w:rPr>
          <w:rFonts w:ascii="仿宋_GB2312" w:hAnsi="仿宋" w:eastAsia="仿宋_GB2312"/>
          <w:sz w:val="32"/>
          <w:szCs w:val="32"/>
        </w:rPr>
      </w:pPr>
      <w:r>
        <w:rPr>
          <w:rFonts w:hint="eastAsia" w:ascii="仿宋_GB2312" w:hAnsi="仿宋" w:eastAsia="仿宋_GB2312"/>
          <w:sz w:val="32"/>
          <w:szCs w:val="32"/>
        </w:rPr>
        <w:t>本次验收范围包括生态、废气、废水、噪声、固体废物、环境风险及其他。</w:t>
      </w:r>
    </w:p>
    <w:p>
      <w:pPr>
        <w:ind w:left="960"/>
        <w:rPr>
          <w:rFonts w:ascii="黑体" w:hAnsi="黑体" w:eastAsia="黑体" w:cs="仿宋"/>
          <w:bCs/>
          <w:sz w:val="32"/>
          <w:szCs w:val="32"/>
        </w:rPr>
      </w:pPr>
      <w:r>
        <w:rPr>
          <w:rFonts w:hint="eastAsia" w:ascii="黑体" w:hAnsi="黑体" w:eastAsia="黑体" w:cs="仿宋"/>
          <w:bCs/>
          <w:sz w:val="32"/>
          <w:szCs w:val="32"/>
        </w:rPr>
        <w:t>五</w:t>
      </w:r>
      <w:r>
        <w:rPr>
          <w:rFonts w:hint="eastAsia" w:ascii="黑体" w:hAnsi="黑体" w:eastAsia="黑体" w:cs="黑体"/>
          <w:sz w:val="32"/>
          <w:szCs w:val="32"/>
        </w:rPr>
        <w:t>、</w:t>
      </w:r>
      <w:r>
        <w:rPr>
          <w:rFonts w:hint="eastAsia" w:ascii="黑体" w:hAnsi="黑体" w:eastAsia="黑体" w:cs="仿宋"/>
          <w:bCs/>
          <w:sz w:val="32"/>
          <w:szCs w:val="32"/>
        </w:rPr>
        <w:t>项目变动情况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ascii="仿宋_GB2312" w:hAnsi="仿宋_GB2312" w:eastAsia="仿宋_GB2312" w:cs="仿宋_GB2312"/>
          <w:sz w:val="32"/>
          <w:szCs w:val="32"/>
        </w:rPr>
        <w:t>环评报告表中，项目总投资</w:t>
      </w:r>
      <w:r>
        <w:rPr>
          <w:rFonts w:hint="eastAsia" w:ascii="仿宋_GB2312" w:hAnsi="仿宋" w:eastAsia="仿宋_GB2312"/>
          <w:bCs/>
          <w:sz w:val="32"/>
          <w:szCs w:val="32"/>
        </w:rPr>
        <w:t>1710.48</w:t>
      </w:r>
      <w:r>
        <w:rPr>
          <w:rFonts w:ascii="仿宋_GB2312" w:hAnsi="仿宋" w:eastAsia="仿宋_GB2312"/>
          <w:bCs/>
          <w:sz w:val="32"/>
          <w:szCs w:val="32"/>
        </w:rPr>
        <w:t>万元，其中项目环境保护总投资为</w:t>
      </w:r>
      <w:r>
        <w:rPr>
          <w:rFonts w:hint="eastAsia" w:ascii="仿宋_GB2312" w:hAnsi="仿宋" w:eastAsia="仿宋_GB2312"/>
          <w:bCs/>
          <w:sz w:val="32"/>
          <w:szCs w:val="32"/>
        </w:rPr>
        <w:t>38.15</w:t>
      </w:r>
      <w:r>
        <w:rPr>
          <w:rFonts w:ascii="仿宋_GB2312" w:hAnsi="仿宋" w:eastAsia="仿宋_GB2312"/>
          <w:bCs/>
          <w:sz w:val="32"/>
          <w:szCs w:val="32"/>
        </w:rPr>
        <w:t>万元，占总投资的</w:t>
      </w:r>
      <w:r>
        <w:rPr>
          <w:rFonts w:hint="eastAsia" w:ascii="仿宋_GB2312" w:hAnsi="仿宋" w:eastAsia="仿宋_GB2312"/>
          <w:bCs/>
          <w:sz w:val="32"/>
          <w:szCs w:val="32"/>
        </w:rPr>
        <w:t>2.26</w:t>
      </w:r>
      <w:r>
        <w:rPr>
          <w:rFonts w:ascii="仿宋_GB2312" w:hAnsi="仿宋" w:eastAsia="仿宋_GB2312"/>
          <w:bCs/>
          <w:sz w:val="32"/>
          <w:szCs w:val="32"/>
        </w:rPr>
        <w:t>%</w:t>
      </w:r>
      <w:r>
        <w:rPr>
          <w:rFonts w:ascii="仿宋_GB2312" w:hAnsi="仿宋_GB2312" w:eastAsia="仿宋_GB2312" w:cs="仿宋_GB2312"/>
          <w:sz w:val="32"/>
          <w:szCs w:val="32"/>
        </w:rPr>
        <w:t>。根据</w:t>
      </w:r>
      <w:r>
        <w:rPr>
          <w:rFonts w:hint="eastAsia" w:ascii="仿宋_GB2312" w:hAnsi="仿宋_GB2312" w:eastAsia="仿宋_GB2312" w:cs="仿宋_GB2312"/>
          <w:sz w:val="32"/>
          <w:szCs w:val="32"/>
        </w:rPr>
        <w:t>实际调</w:t>
      </w:r>
      <w:r>
        <w:rPr>
          <w:rFonts w:ascii="仿宋_GB2312" w:hAnsi="仿宋_GB2312" w:eastAsia="仿宋_GB2312" w:cs="仿宋_GB2312"/>
          <w:sz w:val="32"/>
          <w:szCs w:val="32"/>
        </w:rPr>
        <w:t>查，项目实际总投资</w:t>
      </w:r>
      <w:r>
        <w:rPr>
          <w:rFonts w:hint="eastAsia" w:ascii="仿宋_GB2312" w:hAnsi="仿宋" w:eastAsia="仿宋_GB2312"/>
          <w:bCs/>
          <w:sz w:val="32"/>
          <w:szCs w:val="32"/>
        </w:rPr>
        <w:t>1710.48</w:t>
      </w:r>
      <w:r>
        <w:rPr>
          <w:rFonts w:ascii="仿宋_GB2312" w:hAnsi="仿宋" w:eastAsia="仿宋_GB2312"/>
          <w:bCs/>
          <w:sz w:val="32"/>
          <w:szCs w:val="32"/>
        </w:rPr>
        <w:t>万元，其中项目环境保护总投资为</w:t>
      </w:r>
      <w:r>
        <w:rPr>
          <w:rFonts w:hint="eastAsia" w:ascii="仿宋_GB2312" w:hAnsi="仿宋" w:eastAsia="仿宋_GB2312"/>
          <w:bCs/>
          <w:sz w:val="32"/>
          <w:szCs w:val="32"/>
        </w:rPr>
        <w:t>37.5</w:t>
      </w:r>
      <w:r>
        <w:rPr>
          <w:rFonts w:ascii="仿宋_GB2312" w:hAnsi="仿宋" w:eastAsia="仿宋_GB2312"/>
          <w:bCs/>
          <w:sz w:val="32"/>
          <w:szCs w:val="32"/>
        </w:rPr>
        <w:t>万元，占总投资的</w:t>
      </w:r>
      <w:r>
        <w:rPr>
          <w:rFonts w:hint="eastAsia" w:ascii="仿宋_GB2312" w:hAnsi="仿宋" w:eastAsia="仿宋_GB2312"/>
          <w:bCs/>
          <w:sz w:val="32"/>
          <w:szCs w:val="32"/>
        </w:rPr>
        <w:t>2.19</w:t>
      </w:r>
      <w:r>
        <w:rPr>
          <w:rFonts w:ascii="仿宋_GB2312" w:hAnsi="仿宋" w:eastAsia="仿宋_GB2312"/>
          <w:bCs/>
          <w:sz w:val="32"/>
          <w:szCs w:val="32"/>
        </w:rPr>
        <w:t>%</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不属于重大变更。</w:t>
      </w:r>
    </w:p>
    <w:p>
      <w:pPr>
        <w:pStyle w:val="11"/>
        <w:spacing w:line="360" w:lineRule="auto"/>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本项目建设地点、规模、工艺基本与环评保持一致，项目实际建设中发生的变动，不构成重大变动。</w:t>
      </w:r>
    </w:p>
    <w:p>
      <w:pPr>
        <w:spacing w:line="360" w:lineRule="auto"/>
        <w:ind w:firstLine="640" w:firstLineChars="200"/>
        <w:jc w:val="left"/>
        <w:rPr>
          <w:rFonts w:ascii="楷体_GB2312" w:hAnsi="仿宋" w:eastAsia="楷体_GB2312" w:cs="仿宋_GB2312"/>
          <w:b/>
          <w:bCs/>
          <w:sz w:val="32"/>
          <w:szCs w:val="32"/>
        </w:rPr>
      </w:pPr>
      <w:r>
        <w:rPr>
          <w:rFonts w:hint="eastAsia" w:ascii="黑体" w:hAnsi="黑体" w:eastAsia="黑体" w:cs="仿宋"/>
          <w:bCs/>
          <w:sz w:val="32"/>
          <w:szCs w:val="32"/>
        </w:rPr>
        <w:t>六、环境保护设施建设情况</w:t>
      </w:r>
    </w:p>
    <w:p>
      <w:pPr>
        <w:spacing w:line="360" w:lineRule="auto"/>
        <w:ind w:firstLine="640" w:firstLineChars="200"/>
        <w:jc w:val="left"/>
        <w:rPr>
          <w:rFonts w:ascii="仿宋_GB2312" w:hAnsi="仿宋" w:eastAsia="仿宋_GB2312"/>
          <w:bCs/>
          <w:sz w:val="32"/>
          <w:szCs w:val="32"/>
        </w:rPr>
      </w:pPr>
      <w:r>
        <w:rPr>
          <w:rFonts w:hint="eastAsia" w:ascii="仿宋_GB2312" w:hAnsi="仿宋" w:eastAsia="仿宋_GB2312"/>
          <w:bCs/>
          <w:sz w:val="32"/>
          <w:szCs w:val="32"/>
        </w:rPr>
        <w:t>1.水环境</w:t>
      </w:r>
    </w:p>
    <w:p>
      <w:pPr>
        <w:spacing w:line="360" w:lineRule="auto"/>
        <w:ind w:firstLine="640" w:firstLineChars="200"/>
        <w:jc w:val="left"/>
        <w:rPr>
          <w:rFonts w:ascii="仿宋_GB2312" w:hAnsi="仿宋" w:eastAsia="仿宋_GB2312"/>
          <w:bCs/>
          <w:sz w:val="32"/>
          <w:szCs w:val="32"/>
        </w:rPr>
      </w:pPr>
      <w:r>
        <w:rPr>
          <w:rFonts w:hint="eastAsia" w:ascii="仿宋_GB2312" w:hAnsi="仿宋" w:eastAsia="仿宋_GB2312"/>
          <w:bCs/>
          <w:sz w:val="32"/>
          <w:szCs w:val="32"/>
        </w:rPr>
        <w:t>经调查本项目施工期对水环境的影响主要是施工废水及施工人员的生活污水。施工废水主要为砂石料冲洗水、混凝土拌合废水及车辆冲洗废水等，对于该部分废水，通过在施工场地内设置隔油沉淀池对废水进行处理，后回用做降尘用水不外排。施工人员的餐饮废水经隔油池处理后同施工生活废水一同进入化粪池进行消化处理，废水集中收集后由施工方定期拉运至第十四师皮山农场污水处理站集中处理。</w:t>
      </w:r>
    </w:p>
    <w:p>
      <w:pPr>
        <w:spacing w:line="360" w:lineRule="auto"/>
        <w:ind w:firstLine="640" w:firstLineChars="200"/>
        <w:jc w:val="left"/>
        <w:rPr>
          <w:rFonts w:ascii="仿宋_GB2312" w:hAnsi="仿宋" w:eastAsia="仿宋_GB2312"/>
          <w:bCs/>
          <w:sz w:val="32"/>
          <w:szCs w:val="32"/>
        </w:rPr>
      </w:pPr>
      <w:r>
        <w:rPr>
          <w:rFonts w:hint="eastAsia" w:ascii="仿宋_GB2312" w:hAnsi="仿宋" w:eastAsia="仿宋_GB2312"/>
          <w:bCs/>
          <w:sz w:val="32"/>
          <w:szCs w:val="32"/>
        </w:rPr>
        <w:t>2.大气环境</w:t>
      </w:r>
    </w:p>
    <w:p>
      <w:pPr>
        <w:spacing w:line="360" w:lineRule="auto"/>
        <w:ind w:firstLine="640" w:firstLineChars="200"/>
        <w:rPr>
          <w:rFonts w:ascii="仿宋_GB2312" w:hAnsi="仿宋" w:eastAsia="仿宋_GB2312"/>
          <w:bCs/>
          <w:sz w:val="32"/>
          <w:szCs w:val="32"/>
        </w:rPr>
      </w:pPr>
      <w:r>
        <w:rPr>
          <w:rFonts w:hint="eastAsia" w:ascii="仿宋_GB2312" w:hAnsi="仿宋" w:eastAsia="仿宋_GB2312"/>
          <w:bCs/>
          <w:sz w:val="32"/>
          <w:szCs w:val="32"/>
        </w:rPr>
        <w:t>经调查项目施工扬尘、车辆尾气造成的大气污染仅是短期、局部的影响，通过粉尘控制（洒水抑尘；运输车辆加盖篷布、密闭运输；设置围挡等防风抑尘设施；车辆离场前用高压水枪冲洗槽帮和车轮等）和燃油废气消减与控制措施（加强设备的维护保养；杜绝使用不符合国家废气排放标准的机械设备等）处理后对项目周围大气环境质量影响较小。</w:t>
      </w:r>
    </w:p>
    <w:p>
      <w:pPr>
        <w:spacing w:line="360" w:lineRule="auto"/>
        <w:ind w:firstLine="640" w:firstLineChars="200"/>
        <w:jc w:val="left"/>
        <w:rPr>
          <w:rFonts w:ascii="仿宋_GB2312" w:hAnsi="仿宋" w:eastAsia="仿宋_GB2312"/>
          <w:bCs/>
          <w:sz w:val="32"/>
          <w:szCs w:val="32"/>
        </w:rPr>
      </w:pPr>
      <w:r>
        <w:rPr>
          <w:rFonts w:hint="eastAsia" w:ascii="仿宋_GB2312" w:hAnsi="仿宋" w:eastAsia="仿宋_GB2312"/>
          <w:bCs/>
          <w:sz w:val="32"/>
          <w:szCs w:val="32"/>
        </w:rPr>
        <w:t>3.噪声环境</w:t>
      </w:r>
    </w:p>
    <w:p>
      <w:pPr>
        <w:spacing w:line="360" w:lineRule="auto"/>
        <w:ind w:firstLine="640" w:firstLineChars="200"/>
        <w:jc w:val="left"/>
        <w:rPr>
          <w:rFonts w:ascii="仿宋_GB2312" w:hAnsi="仿宋" w:eastAsia="仿宋_GB2312"/>
          <w:bCs/>
          <w:sz w:val="32"/>
          <w:szCs w:val="32"/>
        </w:rPr>
      </w:pPr>
      <w:r>
        <w:rPr>
          <w:rFonts w:hint="eastAsia" w:ascii="仿宋_GB2312" w:hAnsi="仿宋" w:eastAsia="仿宋_GB2312"/>
          <w:bCs/>
          <w:sz w:val="32"/>
          <w:szCs w:val="32"/>
        </w:rPr>
        <w:t>经调查本项目施工期主要噪声源为挖掘机、推土机、装载机等产生的机械噪声以及运输车辆产生的交通噪声。通过合理安排施工时间；在满足施工需要的前提下，选用噪声低、振动小、能耗小的设备，并定期保养；设置限速禁鸣限速标志等措施来降噪。经采取上述降噪措施，对周围声环境质量的影响较小。</w:t>
      </w:r>
    </w:p>
    <w:p>
      <w:pPr>
        <w:spacing w:line="360" w:lineRule="auto"/>
        <w:ind w:firstLine="640" w:firstLineChars="200"/>
        <w:jc w:val="left"/>
        <w:rPr>
          <w:rFonts w:ascii="仿宋_GB2312" w:hAnsi="仿宋" w:eastAsia="仿宋_GB2312"/>
          <w:bCs/>
          <w:sz w:val="32"/>
          <w:szCs w:val="32"/>
        </w:rPr>
      </w:pPr>
      <w:r>
        <w:rPr>
          <w:rFonts w:hint="eastAsia" w:ascii="仿宋_GB2312" w:hAnsi="仿宋" w:eastAsia="仿宋_GB2312"/>
          <w:bCs/>
          <w:sz w:val="32"/>
          <w:szCs w:val="32"/>
        </w:rPr>
        <w:t>4.危险固体废弃物处置</w:t>
      </w:r>
    </w:p>
    <w:p>
      <w:pPr>
        <w:spacing w:line="360" w:lineRule="auto"/>
        <w:ind w:firstLine="640" w:firstLineChars="200"/>
        <w:rPr>
          <w:rFonts w:ascii="仿宋_GB2312" w:hAnsi="仿宋" w:eastAsia="仿宋_GB2312"/>
          <w:bCs/>
          <w:sz w:val="32"/>
          <w:szCs w:val="32"/>
        </w:rPr>
      </w:pPr>
      <w:r>
        <w:rPr>
          <w:rFonts w:hint="eastAsia" w:ascii="仿宋_GB2312" w:hAnsi="仿宋" w:eastAsia="仿宋_GB2312"/>
          <w:bCs/>
          <w:sz w:val="32"/>
          <w:szCs w:val="32"/>
        </w:rPr>
        <w:t>经调查本项目施工过程中产生的固体废物主要来源于废弃土方、建筑垃圾和施工人员生活垃圾。渠道施工时，废弃土方堆砌在渠道两侧，施工完成后将弃渣弃土用作渠道边坡压重；对于生活垃圾，通过在现场设置垃圾桶等垃圾收集装置，集中收集后定期拉运至第十四师皮山农场垃圾中转站。</w:t>
      </w:r>
    </w:p>
    <w:p>
      <w:pPr>
        <w:spacing w:line="360" w:lineRule="auto"/>
        <w:ind w:firstLine="643" w:firstLineChars="200"/>
        <w:jc w:val="left"/>
        <w:rPr>
          <w:rFonts w:ascii="黑体" w:hAnsi="黑体" w:eastAsia="黑体" w:cs="黑体"/>
          <w:b/>
          <w:bCs/>
          <w:sz w:val="32"/>
          <w:szCs w:val="32"/>
        </w:rPr>
      </w:pPr>
      <w:r>
        <w:rPr>
          <w:rFonts w:hint="eastAsia"/>
          <w:b/>
          <w:bCs/>
          <w:sz w:val="32"/>
          <w:szCs w:val="32"/>
        </w:rPr>
        <w:t>七、验收结论</w:t>
      </w:r>
    </w:p>
    <w:p>
      <w:pPr>
        <w:ind w:firstLine="640" w:firstLineChars="200"/>
        <w:rPr>
          <w:rFonts w:ascii="仿宋_GB2312" w:hAnsi="仿宋_GB2312" w:eastAsia="仿宋_GB2312" w:cs="仿宋_GB2312"/>
          <w:snapToGrid w:val="0"/>
          <w:sz w:val="32"/>
          <w:szCs w:val="32"/>
        </w:rPr>
      </w:pPr>
      <w:r>
        <w:rPr>
          <w:rFonts w:hint="eastAsia" w:ascii="仿宋_GB2312" w:hAnsi="仿宋_GB2312" w:eastAsia="仿宋_GB2312" w:cs="仿宋_GB2312"/>
          <w:sz w:val="32"/>
          <w:szCs w:val="32"/>
        </w:rPr>
        <w:t>该项目执行了环境影响评价、“三同时”等</w:t>
      </w:r>
      <w:r>
        <w:rPr>
          <w:rFonts w:hint="eastAsia" w:ascii="仿宋_GB2312" w:hAnsi="仿宋_GB2312" w:eastAsia="仿宋_GB2312" w:cs="仿宋_GB2312"/>
          <w:snapToGrid w:val="0"/>
          <w:sz w:val="32"/>
          <w:szCs w:val="32"/>
        </w:rPr>
        <w:t>环保相关制度</w:t>
      </w:r>
      <w:r>
        <w:rPr>
          <w:rFonts w:hint="eastAsia" w:ascii="仿宋_GB2312" w:hAnsi="仿宋_GB2312" w:eastAsia="仿宋_GB2312" w:cs="仿宋_GB2312"/>
          <w:sz w:val="32"/>
          <w:szCs w:val="32"/>
        </w:rPr>
        <w:t>，</w:t>
      </w:r>
      <w:r>
        <w:rPr>
          <w:rFonts w:hint="eastAsia" w:ascii="仿宋_GB2312" w:hAnsi="仿宋_GB2312" w:eastAsia="仿宋_GB2312" w:cs="仿宋_GB2312"/>
          <w:snapToGrid w:val="0"/>
          <w:sz w:val="32"/>
          <w:szCs w:val="32"/>
        </w:rPr>
        <w:t>落实了污染物防</w:t>
      </w:r>
      <w:r>
        <w:rPr>
          <w:rFonts w:hint="eastAsia" w:ascii="仿宋_GB2312" w:hAnsi="仿宋_GB2312" w:eastAsia="仿宋_GB2312" w:cs="仿宋_GB2312"/>
          <w:sz w:val="32"/>
          <w:szCs w:val="32"/>
        </w:rPr>
        <w:t>治措施，主要污染物满足排放标准，根据《</w:t>
      </w:r>
      <w:r>
        <w:rPr>
          <w:rFonts w:hint="eastAsia" w:ascii="仿宋_GB2312" w:eastAsia="仿宋_GB2312"/>
          <w:bCs/>
          <w:sz w:val="32"/>
          <w:szCs w:val="32"/>
        </w:rPr>
        <w:t>第十四师皮山农场 2019 年以工代赈渠道改造建设项目竣工环境保护验收调查表</w:t>
      </w:r>
      <w:r>
        <w:rPr>
          <w:rFonts w:hint="eastAsia" w:ascii="仿宋_GB2312" w:hAnsi="仿宋_GB2312" w:eastAsia="仿宋_GB2312" w:cs="仿宋_GB2312"/>
          <w:sz w:val="32"/>
          <w:szCs w:val="32"/>
        </w:rPr>
        <w:t>》结论</w:t>
      </w:r>
      <w:r>
        <w:rPr>
          <w:rFonts w:hint="eastAsia" w:ascii="仿宋_GB2312" w:hAnsi="仿宋_GB2312" w:eastAsia="仿宋_GB2312" w:cs="仿宋_GB2312"/>
          <w:snapToGrid w:val="0"/>
          <w:sz w:val="32"/>
          <w:szCs w:val="32"/>
        </w:rPr>
        <w:t>，通过现场查验，满足环评要求，通过竣工环境保护验收。</w:t>
      </w:r>
    </w:p>
    <w:p>
      <w:pPr>
        <w:spacing w:line="360" w:lineRule="auto"/>
        <w:ind w:firstLine="643" w:firstLineChars="200"/>
        <w:rPr>
          <w:b/>
          <w:bCs/>
          <w:sz w:val="32"/>
          <w:szCs w:val="32"/>
        </w:rPr>
      </w:pPr>
      <w:r>
        <w:rPr>
          <w:rFonts w:hint="eastAsia"/>
          <w:b/>
          <w:bCs/>
          <w:sz w:val="32"/>
          <w:szCs w:val="32"/>
        </w:rPr>
        <w:t>八、后续要求</w:t>
      </w:r>
    </w:p>
    <w:p>
      <w:pPr>
        <w:spacing w:line="640" w:lineRule="exact"/>
        <w:ind w:firstLine="640" w:firstLineChars="200"/>
        <w:jc w:val="left"/>
        <w:rPr>
          <w:rFonts w:ascii="仿宋_GB2312" w:hAnsi="仿宋" w:eastAsia="仿宋_GB2312" w:cs="仿宋"/>
          <w:bCs/>
          <w:sz w:val="32"/>
          <w:szCs w:val="32"/>
        </w:rPr>
      </w:pPr>
      <w:r>
        <w:rPr>
          <w:rFonts w:hint="eastAsia" w:ascii="仿宋_GB2312" w:hAnsi="仿宋" w:eastAsia="仿宋_GB2312" w:cs="仿宋"/>
          <w:bCs/>
          <w:sz w:val="32"/>
          <w:szCs w:val="32"/>
        </w:rPr>
        <w:t>（一）加强环境保护宣传工作，强化周围居民环境保护意识。</w:t>
      </w:r>
    </w:p>
    <w:p>
      <w:pPr>
        <w:ind w:firstLine="640" w:firstLineChars="200"/>
        <w:jc w:val="left"/>
        <w:rPr>
          <w:rFonts w:ascii="仿宋_GB2312" w:eastAsia="仿宋_GB2312"/>
          <w:sz w:val="32"/>
          <w:szCs w:val="32"/>
        </w:rPr>
      </w:pPr>
      <w:r>
        <w:rPr>
          <w:rFonts w:hint="eastAsia" w:ascii="仿宋_GB2312" w:hAnsi="仿宋_GB2312" w:eastAsia="仿宋_GB2312" w:cs="仿宋_GB2312"/>
          <w:sz w:val="32"/>
          <w:szCs w:val="32"/>
        </w:rPr>
        <w:t>（二）</w:t>
      </w:r>
      <w:r>
        <w:rPr>
          <w:rFonts w:hint="eastAsia" w:ascii="仿宋_GB2312" w:hAnsi="楷体" w:eastAsia="仿宋_GB2312"/>
          <w:sz w:val="32"/>
          <w:szCs w:val="32"/>
        </w:rPr>
        <w:t>加强运营期管理工作，减少运营期对周边环境的不利影响。</w:t>
      </w:r>
    </w:p>
    <w:p>
      <w:pPr>
        <w:widowControl/>
        <w:ind w:firstLine="600"/>
        <w:jc w:val="left"/>
        <w:rPr>
          <w:rFonts w:hint="eastAsia" w:ascii="黑体" w:hAnsi="黑体" w:eastAsia="黑体" w:cs="黑体"/>
          <w:sz w:val="32"/>
          <w:szCs w:val="32"/>
        </w:rPr>
      </w:pPr>
    </w:p>
    <w:p>
      <w:pPr>
        <w:widowControl/>
        <w:ind w:firstLine="600"/>
        <w:jc w:val="left"/>
        <w:rPr>
          <w:rFonts w:hint="eastAsia" w:ascii="黑体" w:hAnsi="黑体" w:eastAsia="黑体" w:cs="黑体"/>
          <w:sz w:val="32"/>
          <w:szCs w:val="32"/>
        </w:rPr>
      </w:pPr>
    </w:p>
    <w:p>
      <w:pPr>
        <w:widowControl/>
        <w:ind w:firstLine="600"/>
        <w:jc w:val="left"/>
        <w:rPr>
          <w:rFonts w:ascii="黑体" w:hAnsi="黑体" w:eastAsia="黑体" w:cs="黑体"/>
          <w:sz w:val="32"/>
          <w:szCs w:val="32"/>
        </w:rPr>
      </w:pPr>
      <w:r>
        <w:rPr>
          <w:rFonts w:hint="eastAsia" w:ascii="黑体" w:hAnsi="黑体" w:eastAsia="黑体" w:cs="黑体"/>
          <w:sz w:val="32"/>
          <w:szCs w:val="32"/>
        </w:rPr>
        <w:t>九、验收人员信息</w:t>
      </w:r>
    </w:p>
    <w:p>
      <w:pPr>
        <w:widowControl/>
        <w:ind w:firstLine="600"/>
        <w:jc w:val="left"/>
        <w:rPr>
          <w:rFonts w:ascii="仿宋_GB2312" w:hAnsi="ˎ̥" w:eastAsia="仿宋_GB2312"/>
          <w:sz w:val="32"/>
          <w:szCs w:val="32"/>
        </w:rPr>
      </w:pPr>
      <w:r>
        <w:rPr>
          <w:rFonts w:hint="eastAsia" w:ascii="仿宋_GB2312" w:hAnsi="ˎ̥" w:eastAsia="仿宋_GB2312"/>
          <w:sz w:val="32"/>
          <w:szCs w:val="32"/>
        </w:rPr>
        <w:t>参加验收的专家评审人员签字：</w:t>
      </w:r>
      <w:r>
        <w:rPr>
          <w:rFonts w:ascii="仿宋_GB2312" w:eastAsia="仿宋_GB2312"/>
          <w:sz w:val="32"/>
          <w:szCs w:val="32"/>
        </w:rPr>
        <w:t xml:space="preserve"> </w:t>
      </w:r>
    </w:p>
    <w:p>
      <w:pPr>
        <w:spacing w:line="360" w:lineRule="auto"/>
        <w:rPr>
          <w:rFonts w:ascii="仿宋_GB2312" w:eastAsia="仿宋_GB2312"/>
          <w:sz w:val="32"/>
          <w:szCs w:val="32"/>
        </w:rPr>
      </w:pPr>
      <w:r>
        <w:rPr>
          <w:rFonts w:hint="eastAsia" w:ascii="仿宋_GB2312" w:eastAsia="仿宋_GB2312"/>
          <w:sz w:val="32"/>
          <w:szCs w:val="32"/>
        </w:rPr>
        <w:drawing>
          <wp:anchor distT="0" distB="0" distL="114300" distR="114300" simplePos="0" relativeHeight="251659264" behindDoc="0" locked="0" layoutInCell="1" allowOverlap="1">
            <wp:simplePos x="0" y="0"/>
            <wp:positionH relativeFrom="column">
              <wp:posOffset>131445</wp:posOffset>
            </wp:positionH>
            <wp:positionV relativeFrom="paragraph">
              <wp:posOffset>207010</wp:posOffset>
            </wp:positionV>
            <wp:extent cx="1003300" cy="469265"/>
            <wp:effectExtent l="0" t="0" r="6350" b="6985"/>
            <wp:wrapNone/>
            <wp:docPr id="1" name="图片 1" descr="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片"/>
                    <pic:cNvPicPr>
                      <a:picLocks noChangeAspect="1"/>
                    </pic:cNvPicPr>
                  </pic:nvPicPr>
                  <pic:blipFill>
                    <a:blip r:embed="rId5"/>
                    <a:stretch>
                      <a:fillRect/>
                    </a:stretch>
                  </pic:blipFill>
                  <pic:spPr>
                    <a:xfrm>
                      <a:off x="0" y="0"/>
                      <a:ext cx="1003300" cy="469265"/>
                    </a:xfrm>
                    <a:prstGeom prst="rect">
                      <a:avLst/>
                    </a:prstGeom>
                  </pic:spPr>
                </pic:pic>
              </a:graphicData>
            </a:graphic>
          </wp:anchor>
        </w:drawing>
      </w:r>
      <w:r>
        <w:rPr>
          <w:rFonts w:hint="eastAsia"/>
        </w:rPr>
        <w:drawing>
          <wp:anchor distT="0" distB="0" distL="0" distR="0" simplePos="0" relativeHeight="251661312" behindDoc="0" locked="0" layoutInCell="1" allowOverlap="1">
            <wp:simplePos x="0" y="0"/>
            <wp:positionH relativeFrom="column">
              <wp:posOffset>2719070</wp:posOffset>
            </wp:positionH>
            <wp:positionV relativeFrom="paragraph">
              <wp:posOffset>234315</wp:posOffset>
            </wp:positionV>
            <wp:extent cx="757555" cy="446405"/>
            <wp:effectExtent l="0" t="0" r="4445" b="10795"/>
            <wp:wrapTopAndBottom/>
            <wp:docPr id="2" name="图片 2" descr="F:\2015工作文档\2016最新资料\电子签名陈勇n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F:\2015工作文档\2016最新资料\电子签名陈勇new.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757555" cy="446405"/>
                    </a:xfrm>
                    <a:prstGeom prst="rect">
                      <a:avLst/>
                    </a:prstGeom>
                    <a:noFill/>
                    <a:ln>
                      <a:noFill/>
                    </a:ln>
                  </pic:spPr>
                </pic:pic>
              </a:graphicData>
            </a:graphic>
          </wp:anchor>
        </w:drawing>
      </w:r>
      <w:r>
        <w:rPr>
          <w:rFonts w:hint="eastAsia" w:ascii="仿宋_GB2312" w:eastAsia="仿宋_GB2312"/>
          <w:sz w:val="32"/>
          <w:szCs w:val="32"/>
        </w:rPr>
        <w:drawing>
          <wp:anchor distT="0" distB="0" distL="114300" distR="114300" simplePos="0" relativeHeight="251660288" behindDoc="0" locked="0" layoutInCell="1" allowOverlap="1">
            <wp:simplePos x="0" y="0"/>
            <wp:positionH relativeFrom="column">
              <wp:posOffset>1388110</wp:posOffset>
            </wp:positionH>
            <wp:positionV relativeFrom="paragraph">
              <wp:posOffset>201295</wp:posOffset>
            </wp:positionV>
            <wp:extent cx="1071880" cy="511810"/>
            <wp:effectExtent l="0" t="0" r="13970" b="2540"/>
            <wp:wrapTopAndBottom/>
            <wp:docPr id="4" name="图片 4" descr="6a81d8132469dc42d85a111bdcd7b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6a81d8132469dc42d85a111bdcd7b17"/>
                    <pic:cNvPicPr>
                      <a:picLocks noChangeAspect="1"/>
                    </pic:cNvPicPr>
                  </pic:nvPicPr>
                  <pic:blipFill>
                    <a:blip r:embed="rId7"/>
                    <a:stretch>
                      <a:fillRect/>
                    </a:stretch>
                  </pic:blipFill>
                  <pic:spPr>
                    <a:xfrm>
                      <a:off x="0" y="0"/>
                      <a:ext cx="1071880" cy="511810"/>
                    </a:xfrm>
                    <a:prstGeom prst="rect">
                      <a:avLst/>
                    </a:prstGeom>
                  </pic:spPr>
                </pic:pic>
              </a:graphicData>
            </a:graphic>
          </wp:anchor>
        </w:drawing>
      </w:r>
      <w:r>
        <w:rPr>
          <w:rFonts w:hint="eastAsia" w:ascii="仿宋_GB2312" w:eastAsia="仿宋_GB2312"/>
          <w:sz w:val="32"/>
          <w:szCs w:val="32"/>
        </w:rPr>
        <w:t xml:space="preserve">                                     </w:t>
      </w:r>
    </w:p>
    <w:p>
      <w:pPr>
        <w:spacing w:line="360" w:lineRule="auto"/>
        <w:jc w:val="left"/>
        <w:rPr>
          <w:rFonts w:ascii="仿宋_GB2312" w:eastAsia="仿宋_GB2312"/>
          <w:sz w:val="32"/>
          <w:szCs w:val="32"/>
        </w:rPr>
      </w:pPr>
      <w:r>
        <w:rPr>
          <w:rFonts w:hint="eastAsia" w:ascii="仿宋_GB2312" w:eastAsia="仿宋_GB2312"/>
          <w:sz w:val="32"/>
          <w:szCs w:val="32"/>
        </w:rPr>
        <w:t>自主验收单位：第十四师水利工程管理服务中心</w:t>
      </w:r>
    </w:p>
    <w:p>
      <w:pPr>
        <w:spacing w:line="360" w:lineRule="auto"/>
        <w:jc w:val="center"/>
        <w:rPr>
          <w:rFonts w:ascii="仿宋_GB2312" w:eastAsia="仿宋_GB2312"/>
          <w:sz w:val="32"/>
          <w:szCs w:val="32"/>
        </w:rPr>
      </w:pPr>
      <w:r>
        <w:rPr>
          <w:rFonts w:hint="eastAsia" w:ascii="仿宋_GB2312" w:eastAsia="仿宋_GB2312"/>
          <w:sz w:val="32"/>
          <w:szCs w:val="32"/>
        </w:rPr>
        <w:t xml:space="preserve">           2022年1月10日</w:t>
      </w:r>
    </w:p>
    <w:p>
      <w:bookmarkStart w:id="1" w:name="_GoBack"/>
      <w:bookmarkEnd w:id="1"/>
    </w:p>
    <w:sectPr>
      <w:footerReference r:id="rId3" w:type="default"/>
      <w:pgSz w:w="11906" w:h="16838"/>
      <w:pgMar w:top="1701" w:right="1474" w:bottom="1701" w:left="1588" w:header="851" w:footer="992" w:gutter="0"/>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LepDMnLAQAAlwMAAA4AAABkcnMvZTJvRG9jLnhtbK1TS27bMBDd&#10;F+gdCO5rKQ7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4tFkksxm6TFYftMFHbuvaI&#10;zHpcgYZa3HhK9J1FhdO2zEaYje1kpPLgP+4jtpA7S6gj1FQM55W5TbuVFuK5n7Oe/qf1X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GhpgkvTAAAABQEAAA8AAAAAAAAAAQAgAAAAIgAAAGRycy9kb3du&#10;cmV2LnhtbFBLAQIUABQAAAAIAIdO4kC3qQzJywEAAJcDAAAOAAAAAAAAAAEAIAAAACIBAABkcnMv&#10;ZTJvRG9jLnhtbFBLBQYAAAAABgAGAFkBAABfBQAAAAA=&#10;">
              <v:fill on="f" focussize="0,0"/>
              <v:stroke on="f" weight="1.25pt"/>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1824F5"/>
    <w:rsid w:val="007451E2"/>
    <w:rsid w:val="00756EAA"/>
    <w:rsid w:val="00B12F7C"/>
    <w:rsid w:val="0F1A70B5"/>
    <w:rsid w:val="14EB21A1"/>
    <w:rsid w:val="15175F43"/>
    <w:rsid w:val="1EB67C57"/>
    <w:rsid w:val="24007C7B"/>
    <w:rsid w:val="2F747B26"/>
    <w:rsid w:val="3E420F21"/>
    <w:rsid w:val="428570CF"/>
    <w:rsid w:val="4B3118CB"/>
    <w:rsid w:val="4C4D7320"/>
    <w:rsid w:val="4E1824F5"/>
    <w:rsid w:val="50584DDB"/>
    <w:rsid w:val="5FA533BF"/>
    <w:rsid w:val="7AD87A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宋体" w:eastAsia="宋体" w:cs="宋体"/>
      <w:sz w:val="24"/>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customStyle="1" w:styleId="3">
    <w:name w:val="Body Text 21"/>
    <w:basedOn w:val="1"/>
    <w:qFormat/>
    <w:uiPriority w:val="0"/>
    <w:pPr>
      <w:spacing w:after="120" w:line="480" w:lineRule="auto"/>
    </w:pPr>
  </w:style>
  <w:style w:type="paragraph" w:styleId="4">
    <w:name w:val="Balloon Text"/>
    <w:basedOn w:val="1"/>
    <w:link w:val="12"/>
    <w:qFormat/>
    <w:uiPriority w:val="0"/>
    <w:rPr>
      <w:sz w:val="18"/>
      <w:szCs w:val="18"/>
    </w:rPr>
  </w:style>
  <w:style w:type="paragraph" w:styleId="5">
    <w:name w:val="footer"/>
    <w:basedOn w:val="1"/>
    <w:qFormat/>
    <w:uiPriority w:val="0"/>
    <w:pPr>
      <w:tabs>
        <w:tab w:val="center" w:pos="4153"/>
        <w:tab w:val="right" w:pos="8306"/>
      </w:tabs>
      <w:snapToGrid w:val="0"/>
      <w:jc w:val="left"/>
    </w:pPr>
    <w:rPr>
      <w:rFonts w:cs="Times New Roman"/>
      <w:sz w:val="18"/>
      <w:szCs w:val="18"/>
    </w:rPr>
  </w:style>
  <w:style w:type="paragraph" w:styleId="6">
    <w:name w:val="header"/>
    <w:basedOn w:val="1"/>
    <w:next w:val="2"/>
    <w:qFormat/>
    <w:uiPriority w:val="0"/>
    <w:pPr>
      <w:pBdr>
        <w:bottom w:val="single" w:color="auto" w:sz="6" w:space="1"/>
      </w:pBdr>
      <w:tabs>
        <w:tab w:val="center" w:pos="4153"/>
        <w:tab w:val="right" w:pos="8306"/>
      </w:tabs>
      <w:snapToGrid w:val="0"/>
      <w:jc w:val="center"/>
    </w:pPr>
    <w:rPr>
      <w:rFonts w:cs="Times New Roman"/>
      <w:sz w:val="18"/>
      <w:szCs w:val="18"/>
    </w:rPr>
  </w:style>
  <w:style w:type="paragraph" w:customStyle="1" w:styleId="9">
    <w:name w:val="普通(网站)1"/>
    <w:basedOn w:val="1"/>
    <w:qFormat/>
    <w:uiPriority w:val="0"/>
    <w:pPr>
      <w:spacing w:before="100" w:beforeAutospacing="1" w:after="100" w:afterAutospacing="1"/>
    </w:pPr>
  </w:style>
  <w:style w:type="paragraph" w:customStyle="1" w:styleId="10">
    <w:name w:val="正文-ls"/>
    <w:basedOn w:val="1"/>
    <w:qFormat/>
    <w:uiPriority w:val="0"/>
    <w:pPr>
      <w:spacing w:line="360" w:lineRule="auto"/>
      <w:ind w:firstLine="200" w:firstLineChars="200"/>
    </w:pPr>
    <w:rPr>
      <w:rFonts w:ascii="Times New Roman"/>
      <w:kern w:val="2"/>
      <w:szCs w:val="20"/>
    </w:rPr>
  </w:style>
  <w:style w:type="paragraph" w:customStyle="1" w:styleId="11">
    <w:name w:val="样式 首行缩进:  2 字符1"/>
    <w:basedOn w:val="1"/>
    <w:qFormat/>
    <w:uiPriority w:val="0"/>
    <w:pPr>
      <w:spacing w:line="400" w:lineRule="exact"/>
      <w:ind w:firstLine="200" w:firstLineChars="200"/>
    </w:pPr>
  </w:style>
  <w:style w:type="character" w:customStyle="1" w:styleId="12">
    <w:name w:val="批注框文本 Char"/>
    <w:basedOn w:val="8"/>
    <w:link w:val="4"/>
    <w:qFormat/>
    <w:uiPriority w:val="0"/>
    <w:rPr>
      <w:rFonts w:ascii="宋体" w:hAnsi="宋体" w:cs="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371</Words>
  <Characters>2118</Characters>
  <Lines>17</Lines>
  <Paragraphs>4</Paragraphs>
  <TotalTime>0</TotalTime>
  <ScaleCrop>false</ScaleCrop>
  <LinksUpToDate>false</LinksUpToDate>
  <CharactersWithSpaces>2485</CharactersWithSpaces>
  <Application>WPS Office_11.1.0.11284_F1E327BC-269C-435d-A152-05C5408002CA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2021-10-13T08:09:00Z</dcterms:created>
  <dc:creator>Xnnnnnn_</dc:creator>
  <cp:lastModifiedBy></cp:lastModifiedBy>
  <dcterms:modified xsi:type="dcterms:W3CDTF">2022-01-20T10:31:46Z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2052-11.1.0.11284</vt:lpwstr>
  </property>
  <property fmtid="{D5CDD505-2E9C-101B-9397-08002B2CF9AE}" pid="3" name="ICV">
    <vt:lpwstr>2AFDD96D8DBC46FD9EB87398578BBCDD</vt:lpwstr>
  </property>
</Properties>
</file>