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ind w:firstLine="0" w:firstLineChars="0"/>
        <w:jc w:val="center"/>
        <w:rPr>
          <w:rFonts w:eastAsia="黑体"/>
          <w:b/>
          <w:sz w:val="28"/>
          <w:szCs w:val="28"/>
        </w:rPr>
      </w:pPr>
    </w:p>
    <w:p>
      <w:pPr>
        <w:overflowPunct w:val="0"/>
        <w:autoSpaceDE w:val="0"/>
        <w:autoSpaceDN w:val="0"/>
        <w:ind w:firstLine="0" w:firstLineChars="0"/>
        <w:jc w:val="center"/>
        <w:rPr>
          <w:rFonts w:eastAsia="黑体"/>
          <w:spacing w:val="-8"/>
          <w:sz w:val="28"/>
          <w:szCs w:val="28"/>
        </w:rPr>
      </w:pPr>
    </w:p>
    <w:p>
      <w:pPr>
        <w:overflowPunct w:val="0"/>
        <w:autoSpaceDE w:val="0"/>
        <w:autoSpaceDN w:val="0"/>
        <w:ind w:firstLine="0" w:firstLineChars="0"/>
        <w:jc w:val="center"/>
        <w:rPr>
          <w:rFonts w:eastAsia="黑体"/>
          <w:spacing w:val="-8"/>
          <w:sz w:val="28"/>
          <w:szCs w:val="28"/>
        </w:rPr>
      </w:pPr>
    </w:p>
    <w:p>
      <w:pPr>
        <w:overflowPunct w:val="0"/>
        <w:autoSpaceDE w:val="0"/>
        <w:autoSpaceDN w:val="0"/>
        <w:ind w:firstLine="0" w:firstLineChars="0"/>
        <w:jc w:val="center"/>
        <w:rPr>
          <w:rFonts w:eastAsia="黑体"/>
          <w:spacing w:val="-8"/>
          <w:sz w:val="36"/>
          <w:szCs w:val="36"/>
        </w:rPr>
      </w:pPr>
    </w:p>
    <w:p>
      <w:pPr>
        <w:overflowPunct w:val="0"/>
        <w:autoSpaceDE w:val="0"/>
        <w:autoSpaceDN w:val="0"/>
        <w:ind w:firstLine="0" w:firstLineChars="0"/>
        <w:jc w:val="center"/>
        <w:rPr>
          <w:rFonts w:eastAsia="黑体"/>
          <w:spacing w:val="-8"/>
          <w:sz w:val="36"/>
          <w:szCs w:val="36"/>
        </w:rPr>
      </w:pPr>
    </w:p>
    <w:p>
      <w:pPr>
        <w:topLinePunct w:val="0"/>
        <w:adjustRightInd/>
        <w:ind w:firstLine="0" w:firstLineChars="0"/>
        <w:jc w:val="center"/>
        <w:rPr>
          <w:rFonts w:asciiTheme="minorEastAsia" w:hAnsiTheme="minorEastAsia" w:eastAsiaTheme="minorEastAsia"/>
          <w:b/>
          <w:color w:val="000000"/>
          <w:kern w:val="2"/>
          <w:sz w:val="44"/>
          <w:szCs w:val="44"/>
        </w:rPr>
      </w:pPr>
      <w:r>
        <w:rPr>
          <w:rFonts w:hint="eastAsia" w:asciiTheme="minorEastAsia" w:hAnsiTheme="minorEastAsia" w:eastAsiaTheme="minorEastAsia"/>
          <w:b/>
          <w:color w:val="000000"/>
          <w:kern w:val="2"/>
          <w:sz w:val="44"/>
          <w:szCs w:val="44"/>
        </w:rPr>
        <w:t>第十四师224团团部污水管网改造项目</w:t>
      </w:r>
    </w:p>
    <w:p>
      <w:pPr>
        <w:pStyle w:val="22"/>
        <w:topLinePunct w:val="0"/>
        <w:adjustRightInd/>
        <w:snapToGrid/>
        <w:spacing w:line="360" w:lineRule="auto"/>
        <w:jc w:val="center"/>
        <w:rPr>
          <w:rFonts w:ascii="Times New Roman" w:hAnsi="Times New Roman" w:eastAsia="黑体" w:cs="Times New Roman"/>
          <w:kern w:val="10"/>
          <w:sz w:val="84"/>
          <w:szCs w:val="84"/>
        </w:rPr>
      </w:pPr>
      <w:r>
        <w:rPr>
          <w:rFonts w:ascii="Times New Roman" w:hAnsi="Times New Roman" w:eastAsia="黑体" w:cs="Times New Roman"/>
          <w:kern w:val="10"/>
          <w:sz w:val="84"/>
          <w:szCs w:val="84"/>
        </w:rPr>
        <w:t>水土保持方案报告</w:t>
      </w:r>
      <w:bookmarkStart w:id="0" w:name="_Toc157003232"/>
      <w:bookmarkStart w:id="1" w:name="_Toc156913665"/>
      <w:bookmarkStart w:id="2" w:name="_Toc156917543"/>
      <w:bookmarkStart w:id="3" w:name="_Toc58853158"/>
      <w:bookmarkStart w:id="4" w:name="_Toc302030720"/>
      <w:bookmarkStart w:id="5" w:name="_Toc157260753"/>
      <w:bookmarkStart w:id="6" w:name="_Toc157260578"/>
      <w:r>
        <w:rPr>
          <w:rFonts w:hint="eastAsia" w:ascii="Times New Roman" w:hAnsi="Times New Roman" w:eastAsia="黑体" w:cs="Times New Roman"/>
          <w:kern w:val="10"/>
          <w:sz w:val="84"/>
          <w:szCs w:val="84"/>
        </w:rPr>
        <w:t>表</w:t>
      </w:r>
    </w:p>
    <w:bookmarkEnd w:id="0"/>
    <w:bookmarkEnd w:id="1"/>
    <w:bookmarkEnd w:id="2"/>
    <w:bookmarkEnd w:id="3"/>
    <w:bookmarkEnd w:id="4"/>
    <w:bookmarkEnd w:id="5"/>
    <w:bookmarkEnd w:id="6"/>
    <w:p>
      <w:pPr>
        <w:topLinePunct w:val="0"/>
        <w:adjustRightInd/>
        <w:ind w:firstLine="0" w:firstLineChars="0"/>
        <w:jc w:val="center"/>
        <w:rPr>
          <w:rFonts w:eastAsia="黑体"/>
          <w:kern w:val="10"/>
          <w:sz w:val="44"/>
          <w:szCs w:val="44"/>
        </w:rPr>
      </w:pPr>
      <w:r>
        <w:rPr>
          <w:rFonts w:hint="eastAsia" w:asciiTheme="minorEastAsia" w:hAnsiTheme="minorEastAsia" w:eastAsiaTheme="minorEastAsia"/>
          <w:b/>
          <w:color w:val="000000"/>
          <w:kern w:val="2"/>
          <w:sz w:val="44"/>
          <w:szCs w:val="44"/>
        </w:rPr>
        <w:t>（报批稿）</w:t>
      </w:r>
    </w:p>
    <w:p>
      <w:pPr>
        <w:overflowPunct w:val="0"/>
        <w:autoSpaceDE w:val="0"/>
        <w:autoSpaceDN w:val="0"/>
        <w:spacing w:line="720" w:lineRule="auto"/>
        <w:ind w:firstLine="0" w:firstLineChars="0"/>
        <w:jc w:val="center"/>
        <w:rPr>
          <w:rFonts w:eastAsia="黑体"/>
          <w:sz w:val="36"/>
          <w:szCs w:val="36"/>
        </w:rPr>
      </w:pPr>
    </w:p>
    <w:p>
      <w:pPr>
        <w:overflowPunct w:val="0"/>
        <w:autoSpaceDE w:val="0"/>
        <w:autoSpaceDN w:val="0"/>
        <w:spacing w:line="720" w:lineRule="auto"/>
        <w:ind w:firstLine="0" w:firstLineChars="0"/>
        <w:jc w:val="center"/>
        <w:rPr>
          <w:rFonts w:eastAsia="黑体"/>
          <w:sz w:val="36"/>
          <w:szCs w:val="36"/>
        </w:rPr>
      </w:pPr>
    </w:p>
    <w:p>
      <w:pPr>
        <w:overflowPunct w:val="0"/>
        <w:autoSpaceDE w:val="0"/>
        <w:autoSpaceDN w:val="0"/>
        <w:spacing w:line="720" w:lineRule="auto"/>
        <w:ind w:firstLine="0" w:firstLineChars="0"/>
        <w:jc w:val="center"/>
        <w:rPr>
          <w:rFonts w:eastAsia="黑体"/>
          <w:sz w:val="36"/>
          <w:szCs w:val="36"/>
        </w:rPr>
      </w:pPr>
    </w:p>
    <w:p>
      <w:pPr>
        <w:overflowPunct w:val="0"/>
        <w:autoSpaceDE w:val="0"/>
        <w:autoSpaceDN w:val="0"/>
        <w:spacing w:line="720" w:lineRule="auto"/>
        <w:ind w:firstLine="0" w:firstLineChars="0"/>
        <w:jc w:val="center"/>
        <w:rPr>
          <w:rFonts w:eastAsia="黑体"/>
          <w:sz w:val="36"/>
          <w:szCs w:val="36"/>
        </w:rPr>
      </w:pPr>
    </w:p>
    <w:p>
      <w:pPr>
        <w:overflowPunct w:val="0"/>
        <w:autoSpaceDE w:val="0"/>
        <w:autoSpaceDN w:val="0"/>
        <w:ind w:firstLine="630" w:firstLineChars="196"/>
        <w:rPr>
          <w:rFonts w:asciiTheme="minorEastAsia" w:hAnsiTheme="minorEastAsia" w:eastAsiaTheme="minorEastAsia"/>
          <w:b/>
          <w:sz w:val="32"/>
          <w:szCs w:val="32"/>
        </w:rPr>
      </w:pPr>
      <w:r>
        <w:rPr>
          <w:rFonts w:asciiTheme="minorEastAsia" w:hAnsiTheme="minorEastAsia" w:eastAsiaTheme="minorEastAsia"/>
          <w:b/>
          <w:sz w:val="32"/>
          <w:szCs w:val="32"/>
        </w:rPr>
        <w:t>建设单位：第十四师水利工程管理服务中心</w:t>
      </w:r>
    </w:p>
    <w:p>
      <w:pPr>
        <w:overflowPunct w:val="0"/>
        <w:autoSpaceDE w:val="0"/>
        <w:autoSpaceDN w:val="0"/>
        <w:ind w:firstLine="0" w:firstLineChars="0"/>
        <w:jc w:val="center"/>
        <w:rPr>
          <w:rFonts w:asciiTheme="minorEastAsia" w:hAnsiTheme="minorEastAsia" w:eastAsiaTheme="minorEastAsia"/>
          <w:b/>
          <w:sz w:val="32"/>
          <w:szCs w:val="32"/>
        </w:rPr>
      </w:pPr>
      <w:r>
        <w:rPr>
          <w:rFonts w:asciiTheme="minorEastAsia" w:hAnsiTheme="minorEastAsia" w:eastAsiaTheme="minorEastAsia"/>
          <w:b/>
          <w:sz w:val="32"/>
          <w:szCs w:val="32"/>
        </w:rPr>
        <w:t>编制单位：</w:t>
      </w:r>
      <w:r>
        <w:rPr>
          <w:rFonts w:hint="eastAsia" w:asciiTheme="minorEastAsia" w:hAnsiTheme="minorEastAsia" w:eastAsiaTheme="minorEastAsia"/>
          <w:b/>
          <w:sz w:val="32"/>
          <w:szCs w:val="32"/>
        </w:rPr>
        <w:t>新疆新农丽景环境工程咨询有限公司</w:t>
      </w:r>
    </w:p>
    <w:p>
      <w:pPr>
        <w:ind w:firstLine="0" w:firstLineChars="0"/>
        <w:jc w:val="center"/>
        <w:rPr>
          <w:rFonts w:eastAsiaTheme="minorEastAsia"/>
          <w:b/>
          <w:bCs/>
          <w:sz w:val="32"/>
          <w:szCs w:val="32"/>
        </w:rPr>
      </w:pPr>
      <w:r>
        <w:rPr>
          <w:rFonts w:eastAsiaTheme="minorEastAsia"/>
          <w:b/>
          <w:sz w:val="32"/>
          <w:szCs w:val="32"/>
        </w:rPr>
        <w:t>20</w:t>
      </w:r>
      <w:r>
        <w:rPr>
          <w:rFonts w:hint="eastAsia" w:eastAsiaTheme="minorEastAsia"/>
          <w:b/>
          <w:sz w:val="32"/>
          <w:szCs w:val="32"/>
        </w:rPr>
        <w:t>20</w:t>
      </w:r>
      <w:r>
        <w:rPr>
          <w:rFonts w:eastAsiaTheme="minorEastAsia"/>
          <w:b/>
          <w:sz w:val="32"/>
          <w:szCs w:val="32"/>
        </w:rPr>
        <w:t>年</w:t>
      </w:r>
      <w:r>
        <w:rPr>
          <w:rFonts w:hint="eastAsia" w:eastAsiaTheme="minorEastAsia"/>
          <w:b/>
          <w:sz w:val="32"/>
          <w:szCs w:val="32"/>
        </w:rPr>
        <w:t>10</w:t>
      </w:r>
      <w:r>
        <w:rPr>
          <w:rFonts w:eastAsiaTheme="minorEastAsia"/>
          <w:b/>
          <w:sz w:val="32"/>
          <w:szCs w:val="32"/>
        </w:rPr>
        <w:t>月</w:t>
      </w:r>
    </w:p>
    <w:p>
      <w:pPr>
        <w:ind w:firstLine="480"/>
        <w:sectPr>
          <w:headerReference r:id="rId3" w:type="default"/>
          <w:footerReference r:id="rId4" w:type="default"/>
          <w:pgSz w:w="11906" w:h="16838"/>
          <w:pgMar w:top="1440" w:right="1803" w:bottom="1440" w:left="1803" w:header="851" w:footer="992" w:gutter="0"/>
          <w:pgNumType w:fmt="lowerRoman" w:start="1"/>
          <w:cols w:space="720" w:num="1"/>
          <w:docGrid w:linePitch="326" w:charSpace="0"/>
        </w:sectPr>
      </w:pPr>
    </w:p>
    <w:p>
      <w:pPr>
        <w:ind w:left="0" w:leftChars="0" w:firstLine="0" w:firstLineChars="0"/>
        <w:sectPr>
          <w:pgSz w:w="11906" w:h="16838"/>
          <w:pgMar w:top="1440" w:right="1803" w:bottom="1440" w:left="1803" w:header="851" w:footer="992" w:gutter="0"/>
          <w:pgNumType w:fmt="lowerRoman" w:start="1"/>
          <w:cols w:space="720" w:num="1"/>
          <w:docGrid w:linePitch="326" w:charSpace="0"/>
        </w:sectPr>
      </w:pPr>
    </w:p>
    <w:p>
      <w:pPr>
        <w:ind w:firstLine="0" w:firstLineChars="0"/>
        <w:jc w:val="center"/>
        <w:rPr>
          <w:b/>
          <w:bCs/>
          <w:kern w:val="10"/>
          <w:sz w:val="32"/>
          <w:szCs w:val="32"/>
        </w:rPr>
      </w:pPr>
      <w:r>
        <w:rPr>
          <w:rFonts w:hint="eastAsia"/>
          <w:b/>
          <w:bCs/>
          <w:kern w:val="10"/>
          <w:sz w:val="32"/>
          <w:szCs w:val="32"/>
        </w:rPr>
        <w:t>第十四师224团团部污水管网改造项目</w:t>
      </w:r>
    </w:p>
    <w:p>
      <w:pPr>
        <w:ind w:firstLine="0" w:firstLineChars="0"/>
        <w:jc w:val="center"/>
        <w:rPr>
          <w:b/>
          <w:kern w:val="10"/>
          <w:sz w:val="32"/>
          <w:szCs w:val="32"/>
        </w:rPr>
      </w:pPr>
      <w:r>
        <w:rPr>
          <w:b/>
          <w:kern w:val="10"/>
          <w:sz w:val="32"/>
          <w:szCs w:val="32"/>
        </w:rPr>
        <w:t>水土保持方案报告</w:t>
      </w:r>
      <w:r>
        <w:rPr>
          <w:rFonts w:hint="eastAsia"/>
          <w:b/>
          <w:kern w:val="10"/>
          <w:sz w:val="32"/>
          <w:szCs w:val="32"/>
        </w:rPr>
        <w:t>表</w:t>
      </w:r>
      <w:r>
        <w:rPr>
          <w:b/>
          <w:kern w:val="10"/>
          <w:sz w:val="32"/>
          <w:szCs w:val="32"/>
        </w:rPr>
        <w:t>责任页</w:t>
      </w:r>
    </w:p>
    <w:p>
      <w:pPr>
        <w:ind w:firstLine="0" w:firstLineChars="0"/>
        <w:jc w:val="center"/>
        <w:rPr>
          <w:b/>
          <w:kern w:val="10"/>
          <w:sz w:val="32"/>
          <w:szCs w:val="32"/>
        </w:rPr>
      </w:pPr>
      <w:r>
        <w:rPr>
          <w:rFonts w:hint="eastAsia"/>
          <w:b/>
          <w:sz w:val="32"/>
          <w:szCs w:val="32"/>
        </w:rPr>
        <w:t>新疆新农丽景环境工程咨询有限公司</w:t>
      </w:r>
    </w:p>
    <w:p>
      <w:pPr>
        <w:ind w:firstLine="260"/>
        <w:rPr>
          <w:sz w:val="13"/>
          <w:szCs w:val="13"/>
        </w:rPr>
      </w:pPr>
    </w:p>
    <w:p>
      <w:pPr>
        <w:spacing w:line="720" w:lineRule="auto"/>
        <w:ind w:firstLine="480"/>
        <w:rPr>
          <w:sz w:val="32"/>
          <w:szCs w:val="32"/>
        </w:rPr>
      </w:pPr>
      <w:r>
        <w:drawing>
          <wp:anchor distT="0" distB="0" distL="114300" distR="114300" simplePos="0" relativeHeight="254319616" behindDoc="0" locked="0" layoutInCell="1" allowOverlap="0">
            <wp:simplePos x="0" y="0"/>
            <wp:positionH relativeFrom="column">
              <wp:posOffset>2686050</wp:posOffset>
            </wp:positionH>
            <wp:positionV relativeFrom="paragraph">
              <wp:posOffset>731520</wp:posOffset>
            </wp:positionV>
            <wp:extent cx="725170" cy="539750"/>
            <wp:effectExtent l="0" t="0" r="0" b="0"/>
            <wp:wrapNone/>
            <wp:docPr id="12" name="图片 18" descr="张建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descr="张建军"/>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25170" cy="539750"/>
                    </a:xfrm>
                    <a:prstGeom prst="rect">
                      <a:avLst/>
                    </a:prstGeom>
                    <a:noFill/>
                    <a:ln>
                      <a:noFill/>
                    </a:ln>
                    <a:effectLst/>
                  </pic:spPr>
                </pic:pic>
              </a:graphicData>
            </a:graphic>
          </wp:anchor>
        </w:drawing>
      </w:r>
      <w:r>
        <w:rPr>
          <w:b/>
          <w:bCs/>
          <w:sz w:val="32"/>
          <w:szCs w:val="32"/>
        </w:rPr>
        <w:t>批准：</w:t>
      </w:r>
      <w:r>
        <w:rPr>
          <w:rFonts w:hint="eastAsia" w:ascii="宋体" w:hAnsi="宋体"/>
          <w:b/>
          <w:sz w:val="32"/>
          <w:szCs w:val="32"/>
        </w:rPr>
        <w:t>周心澄</w:t>
      </w:r>
      <w:r>
        <w:rPr>
          <w:sz w:val="32"/>
          <w:szCs w:val="32"/>
        </w:rPr>
        <w:t>（</w:t>
      </w:r>
      <w:r>
        <w:rPr>
          <w:rFonts w:hint="eastAsia"/>
          <w:sz w:val="32"/>
          <w:szCs w:val="32"/>
        </w:rPr>
        <w:t>教授</w:t>
      </w:r>
      <w:r>
        <w:rPr>
          <w:sz w:val="32"/>
          <w:szCs w:val="32"/>
        </w:rPr>
        <w:t>）</w:t>
      </w:r>
    </w:p>
    <w:p>
      <w:pPr>
        <w:spacing w:line="720" w:lineRule="auto"/>
        <w:ind w:firstLine="480"/>
        <w:rPr>
          <w:sz w:val="32"/>
          <w:szCs w:val="32"/>
        </w:rPr>
      </w:pPr>
      <w:r>
        <w:drawing>
          <wp:anchor distT="0" distB="0" distL="114300" distR="114300" simplePos="0" relativeHeight="254320640" behindDoc="0" locked="0" layoutInCell="1" allowOverlap="1">
            <wp:simplePos x="0" y="0"/>
            <wp:positionH relativeFrom="column">
              <wp:posOffset>2772410</wp:posOffset>
            </wp:positionH>
            <wp:positionV relativeFrom="paragraph">
              <wp:posOffset>734060</wp:posOffset>
            </wp:positionV>
            <wp:extent cx="553720" cy="504190"/>
            <wp:effectExtent l="0" t="0" r="0" b="0"/>
            <wp:wrapNone/>
            <wp:docPr id="13" name="图片 19" descr="毕华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毕华兴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3720" cy="504190"/>
                    </a:xfrm>
                    <a:prstGeom prst="rect">
                      <a:avLst/>
                    </a:prstGeom>
                    <a:noFill/>
                    <a:ln>
                      <a:noFill/>
                    </a:ln>
                    <a:effectLst/>
                  </pic:spPr>
                </pic:pic>
              </a:graphicData>
            </a:graphic>
          </wp:anchor>
        </w:drawing>
      </w:r>
      <w:r>
        <w:rPr>
          <w:b/>
          <w:bCs/>
          <w:sz w:val="32"/>
          <w:szCs w:val="32"/>
        </w:rPr>
        <w:t>核定：</w:t>
      </w:r>
      <w:r>
        <w:rPr>
          <w:rFonts w:hint="eastAsia" w:ascii="宋体" w:hAnsi="宋体"/>
          <w:b/>
          <w:sz w:val="32"/>
          <w:szCs w:val="32"/>
        </w:rPr>
        <w:t>张建军</w:t>
      </w:r>
      <w:r>
        <w:rPr>
          <w:sz w:val="32"/>
          <w:szCs w:val="32"/>
        </w:rPr>
        <w:t>（高工）</w:t>
      </w:r>
    </w:p>
    <w:p>
      <w:pPr>
        <w:spacing w:line="720" w:lineRule="auto"/>
        <w:ind w:firstLine="517" w:firstLineChars="161"/>
        <w:rPr>
          <w:sz w:val="32"/>
          <w:szCs w:val="32"/>
        </w:rPr>
      </w:pPr>
      <w:r>
        <w:rPr>
          <w:b/>
          <w:bCs/>
          <w:sz w:val="32"/>
          <w:szCs w:val="32"/>
        </w:rPr>
        <w:t>审查：</w:t>
      </w:r>
      <w:r>
        <w:rPr>
          <w:rFonts w:hint="eastAsia" w:ascii="宋体" w:hAnsi="宋体"/>
          <w:b/>
          <w:sz w:val="32"/>
          <w:szCs w:val="32"/>
        </w:rPr>
        <w:t>毕华兴</w:t>
      </w:r>
      <w:r>
        <w:rPr>
          <w:sz w:val="32"/>
          <w:szCs w:val="32"/>
        </w:rPr>
        <w:t>（高工）</w:t>
      </w:r>
    </w:p>
    <w:p>
      <w:pPr>
        <w:spacing w:line="720" w:lineRule="auto"/>
        <w:ind w:firstLine="504" w:firstLineChars="210"/>
        <w:rPr>
          <w:sz w:val="32"/>
          <w:szCs w:val="32"/>
        </w:rPr>
      </w:pPr>
      <w:r>
        <w:drawing>
          <wp:anchor distT="0" distB="0" distL="114300" distR="114300" simplePos="0" relativeHeight="254321664" behindDoc="0" locked="0" layoutInCell="1" allowOverlap="1">
            <wp:simplePos x="0" y="0"/>
            <wp:positionH relativeFrom="column">
              <wp:posOffset>3324860</wp:posOffset>
            </wp:positionH>
            <wp:positionV relativeFrom="paragraph">
              <wp:posOffset>675005</wp:posOffset>
            </wp:positionV>
            <wp:extent cx="723265" cy="539750"/>
            <wp:effectExtent l="0" t="0" r="635" b="0"/>
            <wp:wrapNone/>
            <wp:docPr id="14" name="图片 450" descr="张建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50" descr="张建军"/>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23265" cy="539750"/>
                    </a:xfrm>
                    <a:prstGeom prst="rect">
                      <a:avLst/>
                    </a:prstGeom>
                    <a:noFill/>
                    <a:ln>
                      <a:noFill/>
                    </a:ln>
                  </pic:spPr>
                </pic:pic>
              </a:graphicData>
            </a:graphic>
          </wp:anchor>
        </w:drawing>
      </w:r>
      <w:r>
        <w:rPr>
          <w:b/>
          <w:bCs/>
          <w:sz w:val="32"/>
          <w:szCs w:val="32"/>
        </w:rPr>
        <w:t>校核：</w:t>
      </w:r>
      <w:r>
        <w:rPr>
          <w:rFonts w:hint="eastAsia" w:ascii="宋体" w:hAnsi="宋体"/>
          <w:b/>
          <w:sz w:val="32"/>
          <w:szCs w:val="32"/>
        </w:rPr>
        <w:t>周建勤</w:t>
      </w:r>
      <w:r>
        <w:rPr>
          <w:sz w:val="32"/>
          <w:szCs w:val="32"/>
        </w:rPr>
        <w:t>（高工）</w:t>
      </w:r>
    </w:p>
    <w:p>
      <w:pPr>
        <w:spacing w:line="720" w:lineRule="auto"/>
        <w:ind w:firstLine="517" w:firstLineChars="161"/>
        <w:rPr>
          <w:sz w:val="32"/>
          <w:szCs w:val="32"/>
        </w:rPr>
      </w:pPr>
      <w:r>
        <w:rPr>
          <w:b/>
          <w:bCs/>
          <w:sz w:val="32"/>
          <w:szCs w:val="32"/>
        </w:rPr>
        <w:t>项目负责人：</w:t>
      </w:r>
      <w:r>
        <w:rPr>
          <w:rFonts w:hint="eastAsia" w:ascii="宋体" w:hAnsi="宋体"/>
          <w:b/>
          <w:sz w:val="32"/>
          <w:szCs w:val="32"/>
        </w:rPr>
        <w:t>张建军</w:t>
      </w:r>
      <w:r>
        <w:rPr>
          <w:sz w:val="32"/>
          <w:szCs w:val="32"/>
        </w:rPr>
        <w:t>（</w:t>
      </w:r>
      <w:r>
        <w:rPr>
          <w:rFonts w:hint="eastAsia"/>
          <w:sz w:val="32"/>
          <w:szCs w:val="32"/>
        </w:rPr>
        <w:t>高工</w:t>
      </w:r>
      <w:r>
        <w:rPr>
          <w:sz w:val="32"/>
          <w:szCs w:val="32"/>
        </w:rPr>
        <w:t>）</w:t>
      </w:r>
    </w:p>
    <w:p>
      <w:pPr>
        <w:spacing w:line="720" w:lineRule="auto"/>
        <w:ind w:firstLine="562"/>
        <w:rPr>
          <w:rFonts w:ascii="宋体" w:hAnsi="宋体"/>
          <w:b/>
          <w:sz w:val="32"/>
          <w:szCs w:val="32"/>
        </w:rPr>
      </w:pPr>
      <w:r>
        <w:rPr>
          <w:rFonts w:hint="eastAsia" w:ascii="宋体" w:hAnsi="宋体"/>
          <w:b/>
          <w:sz w:val="28"/>
          <w:szCs w:val="28"/>
        </w:rPr>
        <w:drawing>
          <wp:anchor distT="0" distB="0" distL="114300" distR="114300" simplePos="0" relativeHeight="254322688" behindDoc="0" locked="0" layoutInCell="1" allowOverlap="1">
            <wp:simplePos x="0" y="0"/>
            <wp:positionH relativeFrom="column">
              <wp:posOffset>2505075</wp:posOffset>
            </wp:positionH>
            <wp:positionV relativeFrom="paragraph">
              <wp:posOffset>666115</wp:posOffset>
            </wp:positionV>
            <wp:extent cx="1047750" cy="428625"/>
            <wp:effectExtent l="19050" t="0" r="0" b="0"/>
            <wp:wrapNone/>
            <wp:docPr id="16" name="图片 453" descr="杨建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53" descr="杨建英"/>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55511" cy="431800"/>
                    </a:xfrm>
                    <a:prstGeom prst="rect">
                      <a:avLst/>
                    </a:prstGeom>
                    <a:noFill/>
                    <a:ln>
                      <a:noFill/>
                    </a:ln>
                    <a:effectLst/>
                  </pic:spPr>
                </pic:pic>
              </a:graphicData>
            </a:graphic>
          </wp:anchor>
        </w:drawing>
      </w:r>
      <w:r>
        <w:rPr>
          <w:b/>
          <w:bCs/>
          <w:sz w:val="32"/>
          <w:szCs w:val="32"/>
        </w:rPr>
        <w:t>编写：</w:t>
      </w:r>
      <w:r>
        <w:rPr>
          <w:rFonts w:hint="eastAsia" w:ascii="宋体" w:hAnsi="宋体"/>
          <w:b/>
          <w:sz w:val="32"/>
          <w:szCs w:val="32"/>
        </w:rPr>
        <w:t>孙喜旺</w:t>
      </w:r>
      <w:r>
        <w:rPr>
          <w:sz w:val="32"/>
          <w:szCs w:val="32"/>
        </w:rPr>
        <w:t>（工程师）（</w:t>
      </w:r>
      <w:r>
        <w:rPr>
          <w:rFonts w:hint="eastAsia"/>
          <w:sz w:val="32"/>
          <w:szCs w:val="32"/>
        </w:rPr>
        <w:t>第一章至第三章、</w:t>
      </w:r>
      <w:r>
        <w:rPr>
          <w:sz w:val="32"/>
          <w:szCs w:val="32"/>
        </w:rPr>
        <w:t>附件）</w:t>
      </w:r>
    </w:p>
    <w:p>
      <w:pPr>
        <w:spacing w:line="720" w:lineRule="auto"/>
        <w:ind w:firstLine="1475" w:firstLineChars="459"/>
        <w:rPr>
          <w:sz w:val="32"/>
          <w:szCs w:val="32"/>
        </w:rPr>
      </w:pPr>
      <w:r>
        <w:rPr>
          <w:b/>
          <w:bCs/>
          <w:sz w:val="32"/>
          <w:szCs w:val="32"/>
        </w:rPr>
        <w:drawing>
          <wp:anchor distT="0" distB="0" distL="114300" distR="114300" simplePos="0" relativeHeight="254323712" behindDoc="0" locked="0" layoutInCell="1" allowOverlap="1">
            <wp:simplePos x="0" y="0"/>
            <wp:positionH relativeFrom="column">
              <wp:posOffset>2771775</wp:posOffset>
            </wp:positionH>
            <wp:positionV relativeFrom="paragraph">
              <wp:posOffset>685165</wp:posOffset>
            </wp:positionV>
            <wp:extent cx="552450" cy="539750"/>
            <wp:effectExtent l="19050" t="0" r="0" b="0"/>
            <wp:wrapNone/>
            <wp:docPr id="17" name="图片 455" descr="李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55" descr="李扬"/>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52450" cy="539750"/>
                    </a:xfrm>
                    <a:prstGeom prst="rect">
                      <a:avLst/>
                    </a:prstGeom>
                    <a:noFill/>
                    <a:ln>
                      <a:noFill/>
                    </a:ln>
                    <a:effectLst/>
                  </pic:spPr>
                </pic:pic>
              </a:graphicData>
            </a:graphic>
          </wp:anchor>
        </w:drawing>
      </w:r>
      <w:r>
        <w:rPr>
          <w:rFonts w:hint="eastAsia" w:ascii="宋体" w:hAnsi="宋体"/>
          <w:b/>
          <w:sz w:val="32"/>
          <w:szCs w:val="32"/>
        </w:rPr>
        <w:t>杨建英</w:t>
      </w:r>
      <w:r>
        <w:rPr>
          <w:sz w:val="32"/>
          <w:szCs w:val="32"/>
        </w:rPr>
        <w:t>（工程师）（</w:t>
      </w:r>
      <w:r>
        <w:rPr>
          <w:rFonts w:hint="eastAsia"/>
          <w:sz w:val="32"/>
          <w:szCs w:val="32"/>
        </w:rPr>
        <w:t>第四章  第四章至第六章</w:t>
      </w:r>
      <w:r>
        <w:rPr>
          <w:sz w:val="32"/>
          <w:szCs w:val="32"/>
        </w:rPr>
        <w:t>）</w:t>
      </w:r>
    </w:p>
    <w:p>
      <w:pPr>
        <w:spacing w:line="720" w:lineRule="auto"/>
        <w:ind w:right="170" w:firstLine="1475" w:firstLineChars="459"/>
        <w:rPr>
          <w:color w:val="000000"/>
          <w:spacing w:val="20"/>
          <w:kern w:val="10"/>
          <w:sz w:val="28"/>
          <w:szCs w:val="20"/>
        </w:rPr>
      </w:pPr>
      <w:r>
        <w:rPr>
          <w:rFonts w:hint="eastAsia" w:ascii="宋体" w:hAnsi="宋体"/>
          <w:b/>
          <w:sz w:val="32"/>
          <w:szCs w:val="32"/>
        </w:rPr>
        <w:t>李扬</w:t>
      </w:r>
      <w:r>
        <w:rPr>
          <w:sz w:val="32"/>
          <w:szCs w:val="32"/>
        </w:rPr>
        <w:t>（工程师）（</w:t>
      </w:r>
      <w:r>
        <w:rPr>
          <w:rFonts w:hint="eastAsia"/>
          <w:sz w:val="32"/>
          <w:szCs w:val="32"/>
        </w:rPr>
        <w:t>第七章、第七、八章、</w:t>
      </w:r>
      <w:r>
        <w:rPr>
          <w:sz w:val="32"/>
          <w:szCs w:val="32"/>
        </w:rPr>
        <w:t>附图）</w:t>
      </w:r>
    </w:p>
    <w:p>
      <w:pPr>
        <w:tabs>
          <w:tab w:val="left" w:pos="6480"/>
        </w:tabs>
        <w:ind w:left="480" w:firstLine="0" w:firstLineChars="0"/>
      </w:pPr>
      <w:r>
        <w:tab/>
      </w:r>
    </w:p>
    <w:p>
      <w:pPr>
        <w:ind w:left="480" w:firstLine="0" w:firstLineChars="0"/>
      </w:pPr>
    </w:p>
    <w:p>
      <w:pPr>
        <w:ind w:firstLine="199" w:firstLineChars="83"/>
        <w:sectPr>
          <w:headerReference r:id="rId5" w:type="default"/>
          <w:footerReference r:id="rId6" w:type="default"/>
          <w:pgSz w:w="11906" w:h="16838"/>
          <w:pgMar w:top="1440" w:right="1440" w:bottom="1440" w:left="1440" w:header="851" w:footer="992" w:gutter="0"/>
          <w:pgNumType w:fmt="lowerRoman" w:start="1"/>
          <w:cols w:space="720" w:num="1"/>
          <w:docGrid w:linePitch="326" w:charSpace="0"/>
        </w:sectPr>
      </w:pPr>
    </w:p>
    <w:p>
      <w:pPr>
        <w:ind w:left="0" w:leftChars="0" w:firstLine="0" w:firstLineChars="0"/>
      </w:pPr>
    </w:p>
    <w:p>
      <w:pPr>
        <w:ind w:firstLine="199" w:firstLineChars="83"/>
      </w:pPr>
    </w:p>
    <w:p>
      <w:pPr>
        <w:ind w:firstLine="199" w:firstLineChars="83"/>
        <w:sectPr>
          <w:pgSz w:w="11906" w:h="16838"/>
          <w:pgMar w:top="1440" w:right="1440" w:bottom="1440" w:left="1440" w:header="851" w:footer="992" w:gutter="0"/>
          <w:pgNumType w:fmt="lowerRoman" w:start="1"/>
          <w:cols w:space="720" w:num="1"/>
          <w:docGrid w:linePitch="326" w:charSpace="0"/>
        </w:sectPr>
      </w:pPr>
    </w:p>
    <w:p>
      <w:pPr>
        <w:overflowPunct w:val="0"/>
        <w:autoSpaceDE w:val="0"/>
        <w:autoSpaceDN w:val="0"/>
        <w:spacing w:line="240" w:lineRule="auto"/>
        <w:ind w:firstLine="0" w:firstLineChars="0"/>
        <w:jc w:val="center"/>
        <w:rPr>
          <w:rFonts w:eastAsia="仿宋_GB2312"/>
          <w:b/>
          <w:sz w:val="32"/>
          <w:szCs w:val="36"/>
        </w:rPr>
      </w:pPr>
      <w:r>
        <w:rPr>
          <w:rFonts w:hint="eastAsia"/>
          <w:b/>
          <w:bCs/>
          <w:kern w:val="10"/>
          <w:sz w:val="32"/>
          <w:szCs w:val="32"/>
        </w:rPr>
        <w:t>第十四师224团团部污水管网改造项目</w:t>
      </w:r>
      <w:r>
        <w:rPr>
          <w:rFonts w:eastAsia="仿宋_GB2312"/>
          <w:b/>
          <w:sz w:val="32"/>
          <w:szCs w:val="36"/>
        </w:rPr>
        <w:t>水土保持方案报告表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39"/>
        <w:gridCol w:w="1061"/>
        <w:gridCol w:w="850"/>
        <w:gridCol w:w="1486"/>
        <w:gridCol w:w="498"/>
        <w:gridCol w:w="1125"/>
        <w:gridCol w:w="223"/>
        <w:gridCol w:w="152"/>
        <w:gridCol w:w="756"/>
        <w:gridCol w:w="12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restar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项目概况</w:t>
            </w:r>
          </w:p>
        </w:tc>
        <w:tc>
          <w:tcPr>
            <w:tcW w:w="1147"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位置</w:t>
            </w:r>
          </w:p>
        </w:tc>
        <w:tc>
          <w:tcPr>
            <w:tcW w:w="3289" w:type="pct"/>
            <w:gridSpan w:val="7"/>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兵团第十四师224团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Align w:val="center"/>
          </w:tcPr>
          <w:p>
            <w:pPr>
              <w:widowControl/>
              <w:adjustRightInd/>
              <w:snapToGrid/>
              <w:spacing w:line="240" w:lineRule="auto"/>
              <w:ind w:firstLine="0" w:firstLineChars="0"/>
              <w:jc w:val="center"/>
              <w:rPr>
                <w:rFonts w:eastAsia="仿宋_GB2312"/>
                <w:position w:val="-2"/>
                <w:sz w:val="21"/>
                <w:szCs w:val="21"/>
              </w:rPr>
            </w:pPr>
            <w:r>
              <w:rPr>
                <w:rFonts w:eastAsia="仿宋_GB2312"/>
                <w:position w:val="-2"/>
                <w:sz w:val="21"/>
                <w:szCs w:val="21"/>
              </w:rPr>
              <w:t>建设内容</w:t>
            </w:r>
          </w:p>
        </w:tc>
        <w:tc>
          <w:tcPr>
            <w:tcW w:w="3289" w:type="pct"/>
            <w:gridSpan w:val="7"/>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天翔、明珠小区给水管网改造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建设性质</w:t>
            </w:r>
          </w:p>
        </w:tc>
        <w:tc>
          <w:tcPr>
            <w:tcW w:w="1191"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新建</w:t>
            </w:r>
          </w:p>
        </w:tc>
        <w:tc>
          <w:tcPr>
            <w:tcW w:w="809"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总投资（万元）</w:t>
            </w:r>
          </w:p>
        </w:tc>
        <w:tc>
          <w:tcPr>
            <w:tcW w:w="1289" w:type="pct"/>
            <w:gridSpan w:val="3"/>
            <w:vAlign w:val="center"/>
          </w:tcPr>
          <w:p>
            <w:pPr>
              <w:widowControl/>
              <w:adjustRightInd/>
              <w:snapToGrid/>
              <w:spacing w:line="240" w:lineRule="auto"/>
              <w:ind w:firstLine="630" w:firstLineChars="300"/>
              <w:rPr>
                <w:rFonts w:eastAsia="仿宋_GB2312"/>
                <w:sz w:val="21"/>
                <w:szCs w:val="21"/>
              </w:rPr>
            </w:pPr>
            <w:r>
              <w:rPr>
                <w:rFonts w:hint="eastAsia" w:eastAsia="仿宋_GB2312"/>
                <w:sz w:val="21"/>
                <w:szCs w:val="21"/>
              </w:rPr>
              <w:t>650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Merge w:val="restar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土建投资（万元）</w:t>
            </w:r>
          </w:p>
        </w:tc>
        <w:tc>
          <w:tcPr>
            <w:tcW w:w="1191" w:type="pct"/>
            <w:gridSpan w:val="2"/>
            <w:vMerge w:val="restart"/>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528.2</w:t>
            </w:r>
          </w:p>
        </w:tc>
        <w:tc>
          <w:tcPr>
            <w:tcW w:w="809" w:type="pct"/>
            <w:gridSpan w:val="2"/>
            <w:vMerge w:val="restar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占地面积（</w:t>
            </w:r>
            <w:r>
              <w:rPr>
                <w:rFonts w:hint="eastAsia" w:eastAsia="仿宋_GB2312"/>
                <w:sz w:val="21"/>
                <w:szCs w:val="21"/>
              </w:rPr>
              <w:t>h</w:t>
            </w:r>
            <w:r>
              <w:rPr>
                <w:rFonts w:eastAsia="仿宋_GB2312"/>
                <w:sz w:val="21"/>
                <w:szCs w:val="21"/>
              </w:rPr>
              <w:t>m</w:t>
            </w:r>
            <w:r>
              <w:rPr>
                <w:rFonts w:eastAsia="仿宋_GB2312"/>
                <w:sz w:val="21"/>
                <w:szCs w:val="21"/>
                <w:vertAlign w:val="superscript"/>
              </w:rPr>
              <w:t>2</w:t>
            </w:r>
            <w:r>
              <w:rPr>
                <w:rFonts w:eastAsia="仿宋_GB2312"/>
                <w:sz w:val="21"/>
                <w:szCs w:val="21"/>
              </w:rPr>
              <w:t>）</w:t>
            </w:r>
          </w:p>
        </w:tc>
        <w:tc>
          <w:tcPr>
            <w:tcW w:w="1289" w:type="pct"/>
            <w:gridSpan w:val="3"/>
            <w:vAlign w:val="center"/>
          </w:tcPr>
          <w:p>
            <w:pPr>
              <w:widowControl/>
              <w:adjustRightInd/>
              <w:snapToGrid/>
              <w:spacing w:line="240" w:lineRule="auto"/>
              <w:ind w:firstLine="0" w:firstLineChars="0"/>
              <w:rPr>
                <w:rFonts w:eastAsia="仿宋_GB2312"/>
                <w:sz w:val="21"/>
                <w:szCs w:val="21"/>
              </w:rPr>
            </w:pPr>
            <w:r>
              <w:rPr>
                <w:rFonts w:eastAsia="仿宋_GB2312"/>
                <w:sz w:val="21"/>
                <w:szCs w:val="21"/>
              </w:rPr>
              <w:t>永久：</w:t>
            </w:r>
            <w:r>
              <w:rPr>
                <w:rFonts w:hint="eastAsia" w:eastAsia="仿宋_GB2312"/>
                <w:sz w:val="21"/>
                <w:szCs w:val="21"/>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Merge w:val="continue"/>
            <w:vAlign w:val="center"/>
          </w:tcPr>
          <w:p>
            <w:pPr>
              <w:widowControl/>
              <w:adjustRightInd/>
              <w:snapToGrid/>
              <w:spacing w:line="240" w:lineRule="auto"/>
              <w:ind w:firstLine="0" w:firstLineChars="0"/>
              <w:jc w:val="left"/>
              <w:rPr>
                <w:rFonts w:eastAsia="仿宋_GB2312"/>
                <w:sz w:val="21"/>
                <w:szCs w:val="21"/>
              </w:rPr>
            </w:pPr>
          </w:p>
        </w:tc>
        <w:tc>
          <w:tcPr>
            <w:tcW w:w="1191" w:type="pct"/>
            <w:gridSpan w:val="2"/>
            <w:vMerge w:val="continue"/>
            <w:vAlign w:val="center"/>
          </w:tcPr>
          <w:p>
            <w:pPr>
              <w:widowControl/>
              <w:adjustRightInd/>
              <w:snapToGrid/>
              <w:spacing w:line="240" w:lineRule="auto"/>
              <w:ind w:firstLine="0" w:firstLineChars="0"/>
              <w:jc w:val="left"/>
              <w:rPr>
                <w:rFonts w:eastAsia="仿宋_GB2312"/>
                <w:sz w:val="21"/>
                <w:szCs w:val="21"/>
              </w:rPr>
            </w:pPr>
          </w:p>
        </w:tc>
        <w:tc>
          <w:tcPr>
            <w:tcW w:w="809" w:type="pct"/>
            <w:gridSpan w:val="2"/>
            <w:vMerge w:val="continue"/>
            <w:vAlign w:val="center"/>
          </w:tcPr>
          <w:p>
            <w:pPr>
              <w:widowControl/>
              <w:adjustRightInd/>
              <w:snapToGrid/>
              <w:spacing w:line="240" w:lineRule="auto"/>
              <w:ind w:firstLine="0" w:firstLineChars="0"/>
              <w:jc w:val="left"/>
              <w:rPr>
                <w:rFonts w:eastAsia="仿宋_GB2312"/>
                <w:sz w:val="21"/>
                <w:szCs w:val="21"/>
              </w:rPr>
            </w:pPr>
          </w:p>
        </w:tc>
        <w:tc>
          <w:tcPr>
            <w:tcW w:w="1289" w:type="pct"/>
            <w:gridSpan w:val="3"/>
            <w:vAlign w:val="center"/>
          </w:tcPr>
          <w:p>
            <w:pPr>
              <w:widowControl/>
              <w:adjustRightInd/>
              <w:snapToGrid/>
              <w:spacing w:line="240" w:lineRule="auto"/>
              <w:ind w:firstLine="0" w:firstLineChars="0"/>
              <w:rPr>
                <w:rFonts w:eastAsia="仿宋_GB2312"/>
                <w:sz w:val="21"/>
                <w:szCs w:val="21"/>
              </w:rPr>
            </w:pPr>
            <w:r>
              <w:rPr>
                <w:rFonts w:eastAsia="仿宋_GB2312"/>
                <w:sz w:val="21"/>
                <w:szCs w:val="21"/>
              </w:rPr>
              <w:t>临时：</w:t>
            </w:r>
            <w:r>
              <w:rPr>
                <w:rFonts w:hint="eastAsia" w:eastAsia="仿宋_GB2312"/>
                <w:sz w:val="21"/>
                <w:szCs w:val="21"/>
              </w:rPr>
              <w:t>2.71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动工时间</w:t>
            </w:r>
          </w:p>
        </w:tc>
        <w:tc>
          <w:tcPr>
            <w:tcW w:w="1191"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20</w:t>
            </w:r>
            <w:r>
              <w:rPr>
                <w:rFonts w:hint="eastAsia" w:eastAsia="仿宋_GB2312"/>
                <w:sz w:val="21"/>
                <w:szCs w:val="21"/>
              </w:rPr>
              <w:t>20</w:t>
            </w:r>
            <w:r>
              <w:rPr>
                <w:rFonts w:eastAsia="仿宋_GB2312"/>
                <w:sz w:val="21"/>
                <w:szCs w:val="21"/>
              </w:rPr>
              <w:t>年</w:t>
            </w:r>
            <w:r>
              <w:rPr>
                <w:rFonts w:hint="eastAsia" w:eastAsia="仿宋_GB2312"/>
                <w:sz w:val="21"/>
                <w:szCs w:val="21"/>
              </w:rPr>
              <w:t>11</w:t>
            </w:r>
            <w:r>
              <w:rPr>
                <w:rFonts w:eastAsia="仿宋_GB2312"/>
                <w:sz w:val="21"/>
                <w:szCs w:val="21"/>
              </w:rPr>
              <w:t>月</w:t>
            </w:r>
          </w:p>
        </w:tc>
        <w:tc>
          <w:tcPr>
            <w:tcW w:w="809"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完工时间</w:t>
            </w:r>
          </w:p>
        </w:tc>
        <w:tc>
          <w:tcPr>
            <w:tcW w:w="1289"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20</w:t>
            </w:r>
            <w:r>
              <w:rPr>
                <w:rFonts w:hint="eastAsia" w:eastAsia="仿宋_GB2312"/>
                <w:sz w:val="21"/>
                <w:szCs w:val="21"/>
              </w:rPr>
              <w:t>20</w:t>
            </w:r>
            <w:r>
              <w:rPr>
                <w:rFonts w:eastAsia="仿宋_GB2312"/>
                <w:sz w:val="21"/>
                <w:szCs w:val="21"/>
              </w:rPr>
              <w:t>年</w:t>
            </w:r>
            <w:r>
              <w:rPr>
                <w:rFonts w:hint="eastAsia" w:eastAsia="仿宋_GB2312"/>
                <w:sz w:val="21"/>
                <w:szCs w:val="21"/>
              </w:rPr>
              <w:t>12</w:t>
            </w:r>
            <w:r>
              <w:rPr>
                <w:rFonts w:eastAsia="仿宋_GB2312"/>
                <w:sz w:val="21"/>
                <w:szCs w:val="21"/>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Merge w:val="restar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土石方（</w:t>
            </w:r>
            <w:r>
              <w:rPr>
                <w:rFonts w:hint="eastAsia" w:eastAsia="仿宋_GB2312"/>
                <w:sz w:val="21"/>
                <w:szCs w:val="21"/>
              </w:rPr>
              <w:t>万</w:t>
            </w:r>
            <w:r>
              <w:rPr>
                <w:rFonts w:eastAsia="仿宋_GB2312"/>
                <w:sz w:val="21"/>
                <w:szCs w:val="21"/>
              </w:rPr>
              <w:t>m</w:t>
            </w:r>
            <w:r>
              <w:rPr>
                <w:rFonts w:eastAsia="仿宋_GB2312"/>
                <w:sz w:val="21"/>
                <w:szCs w:val="21"/>
                <w:vertAlign w:val="superscript"/>
              </w:rPr>
              <w:t>3</w:t>
            </w:r>
            <w:r>
              <w:rPr>
                <w:rFonts w:eastAsia="仿宋_GB2312"/>
                <w:sz w:val="21"/>
                <w:szCs w:val="21"/>
              </w:rPr>
              <w:t>）</w:t>
            </w:r>
          </w:p>
        </w:tc>
        <w:tc>
          <w:tcPr>
            <w:tcW w:w="1191"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挖方</w:t>
            </w:r>
          </w:p>
        </w:tc>
        <w:tc>
          <w:tcPr>
            <w:tcW w:w="809"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填方</w:t>
            </w:r>
          </w:p>
        </w:tc>
        <w:tc>
          <w:tcPr>
            <w:tcW w:w="545"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借方</w:t>
            </w:r>
          </w:p>
        </w:tc>
        <w:tc>
          <w:tcPr>
            <w:tcW w:w="744" w:type="pc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余（弃）方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Merge w:val="continue"/>
            <w:vAlign w:val="center"/>
          </w:tcPr>
          <w:p>
            <w:pPr>
              <w:widowControl/>
              <w:adjustRightInd/>
              <w:snapToGrid/>
              <w:spacing w:line="240" w:lineRule="auto"/>
              <w:ind w:firstLine="0" w:firstLineChars="0"/>
              <w:jc w:val="left"/>
              <w:rPr>
                <w:rFonts w:eastAsia="仿宋_GB2312"/>
                <w:sz w:val="21"/>
                <w:szCs w:val="21"/>
              </w:rPr>
            </w:pPr>
          </w:p>
        </w:tc>
        <w:tc>
          <w:tcPr>
            <w:tcW w:w="1191"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1.9</w:t>
            </w:r>
          </w:p>
        </w:tc>
        <w:tc>
          <w:tcPr>
            <w:tcW w:w="809"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1.9</w:t>
            </w:r>
          </w:p>
        </w:tc>
        <w:tc>
          <w:tcPr>
            <w:tcW w:w="545"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w:t>
            </w:r>
          </w:p>
        </w:tc>
        <w:tc>
          <w:tcPr>
            <w:tcW w:w="744" w:type="pct"/>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取土（石、渣）场</w:t>
            </w:r>
          </w:p>
        </w:tc>
        <w:tc>
          <w:tcPr>
            <w:tcW w:w="3289" w:type="pct"/>
            <w:gridSpan w:val="7"/>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弃土（石、渣）场</w:t>
            </w:r>
          </w:p>
        </w:tc>
        <w:tc>
          <w:tcPr>
            <w:tcW w:w="3289" w:type="pct"/>
            <w:gridSpan w:val="7"/>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restar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项目区</w:t>
            </w:r>
          </w:p>
          <w:p>
            <w:pPr>
              <w:widowControl/>
              <w:adjustRightInd/>
              <w:snapToGrid/>
              <w:spacing w:line="240" w:lineRule="auto"/>
              <w:ind w:firstLine="0" w:firstLineChars="0"/>
              <w:jc w:val="center"/>
              <w:rPr>
                <w:rFonts w:eastAsia="仿宋_GB2312"/>
                <w:sz w:val="21"/>
                <w:szCs w:val="21"/>
              </w:rPr>
            </w:pPr>
            <w:r>
              <w:rPr>
                <w:rFonts w:eastAsia="仿宋_GB2312"/>
                <w:sz w:val="21"/>
                <w:szCs w:val="21"/>
              </w:rPr>
              <w:t>概况</w:t>
            </w:r>
          </w:p>
        </w:tc>
        <w:tc>
          <w:tcPr>
            <w:tcW w:w="1147"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涉及重点防治区情况</w:t>
            </w:r>
          </w:p>
        </w:tc>
        <w:tc>
          <w:tcPr>
            <w:tcW w:w="1191"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塔里木河国家级水土流失重点预防区</w:t>
            </w:r>
            <w:r>
              <w:rPr>
                <w:rFonts w:hint="eastAsia" w:eastAsia="仿宋_GB2312"/>
                <w:sz w:val="21"/>
                <w:szCs w:val="21"/>
              </w:rPr>
              <w:t>和塔里木河流域兵团级水土流失重点治理区</w:t>
            </w:r>
          </w:p>
        </w:tc>
        <w:tc>
          <w:tcPr>
            <w:tcW w:w="900"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地貌类型</w:t>
            </w:r>
          </w:p>
        </w:tc>
        <w:tc>
          <w:tcPr>
            <w:tcW w:w="1198"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napToGrid w:val="0"/>
                <w:sz w:val="21"/>
                <w:szCs w:val="21"/>
              </w:rPr>
              <w:t>冲洪积</w:t>
            </w:r>
            <w:r>
              <w:rPr>
                <w:rFonts w:eastAsia="仿宋_GB2312"/>
                <w:snapToGrid w:val="0"/>
                <w:sz w:val="21"/>
                <w:szCs w:val="21"/>
              </w:rPr>
              <w:t>平原区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原地貌土壤侵蚀模数[t/(km</w:t>
            </w:r>
            <w:r>
              <w:rPr>
                <w:rFonts w:eastAsia="仿宋_GB2312"/>
                <w:sz w:val="21"/>
                <w:szCs w:val="21"/>
                <w:vertAlign w:val="superscript"/>
              </w:rPr>
              <w:t>2</w:t>
            </w:r>
            <w:r>
              <w:rPr>
                <w:rFonts w:eastAsia="仿宋_GB2312"/>
                <w:sz w:val="21"/>
                <w:szCs w:val="21"/>
              </w:rPr>
              <w:t>·a)]</w:t>
            </w:r>
          </w:p>
        </w:tc>
        <w:tc>
          <w:tcPr>
            <w:tcW w:w="1191"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1500</w:t>
            </w:r>
          </w:p>
        </w:tc>
        <w:tc>
          <w:tcPr>
            <w:tcW w:w="900"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容许土壤流失量[t/(km</w:t>
            </w:r>
            <w:r>
              <w:rPr>
                <w:rFonts w:eastAsia="仿宋_GB2312"/>
                <w:sz w:val="21"/>
                <w:szCs w:val="21"/>
                <w:vertAlign w:val="superscript"/>
              </w:rPr>
              <w:t>2</w:t>
            </w:r>
            <w:r>
              <w:rPr>
                <w:rFonts w:eastAsia="仿宋_GB2312"/>
                <w:sz w:val="21"/>
                <w:szCs w:val="21"/>
              </w:rPr>
              <w:t>·a)]</w:t>
            </w:r>
          </w:p>
        </w:tc>
        <w:tc>
          <w:tcPr>
            <w:tcW w:w="1198"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711"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项目选址（线）水土保持评价</w:t>
            </w:r>
          </w:p>
        </w:tc>
        <w:tc>
          <w:tcPr>
            <w:tcW w:w="3289" w:type="pct"/>
            <w:gridSpan w:val="7"/>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　此项目选址不存在水土保持制约性因素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711"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预测水土流失总量</w:t>
            </w:r>
          </w:p>
        </w:tc>
        <w:tc>
          <w:tcPr>
            <w:tcW w:w="3289" w:type="pct"/>
            <w:gridSpan w:val="7"/>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191</w:t>
            </w:r>
            <w:r>
              <w:rPr>
                <w:rFonts w:eastAsia="仿宋_GB2312"/>
                <w:sz w:val="21"/>
                <w:szCs w:val="21"/>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711"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防治责任范围（</w:t>
            </w:r>
            <w:r>
              <w:rPr>
                <w:rFonts w:hint="eastAsia" w:eastAsia="仿宋_GB2312"/>
                <w:sz w:val="21"/>
                <w:szCs w:val="21"/>
              </w:rPr>
              <w:t>h</w:t>
            </w:r>
            <w:r>
              <w:rPr>
                <w:rFonts w:eastAsia="仿宋_GB2312"/>
                <w:sz w:val="21"/>
                <w:szCs w:val="21"/>
              </w:rPr>
              <w:t>m</w:t>
            </w:r>
            <w:r>
              <w:rPr>
                <w:rFonts w:eastAsia="仿宋_GB2312"/>
                <w:sz w:val="21"/>
                <w:szCs w:val="21"/>
                <w:vertAlign w:val="superscript"/>
              </w:rPr>
              <w:t>2</w:t>
            </w:r>
            <w:r>
              <w:rPr>
                <w:rFonts w:eastAsia="仿宋_GB2312"/>
                <w:sz w:val="21"/>
                <w:szCs w:val="21"/>
              </w:rPr>
              <w:t>）</w:t>
            </w:r>
          </w:p>
        </w:tc>
        <w:tc>
          <w:tcPr>
            <w:tcW w:w="3289" w:type="pct"/>
            <w:gridSpan w:val="7"/>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2.88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restar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防治标准</w:t>
            </w:r>
          </w:p>
          <w:p>
            <w:pPr>
              <w:widowControl/>
              <w:adjustRightInd/>
              <w:snapToGrid/>
              <w:spacing w:line="240" w:lineRule="auto"/>
              <w:ind w:firstLine="0" w:firstLineChars="0"/>
              <w:jc w:val="center"/>
              <w:rPr>
                <w:rFonts w:eastAsia="仿宋_GB2312"/>
                <w:sz w:val="21"/>
                <w:szCs w:val="21"/>
              </w:rPr>
            </w:pPr>
            <w:r>
              <w:rPr>
                <w:rFonts w:eastAsia="仿宋_GB2312"/>
                <w:sz w:val="21"/>
                <w:szCs w:val="21"/>
              </w:rPr>
              <w:t>等级及目标</w:t>
            </w:r>
          </w:p>
        </w:tc>
        <w:tc>
          <w:tcPr>
            <w:tcW w:w="1147"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防治标准等级</w:t>
            </w:r>
          </w:p>
        </w:tc>
        <w:tc>
          <w:tcPr>
            <w:tcW w:w="3289" w:type="pct"/>
            <w:gridSpan w:val="7"/>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北方风沙区</w:t>
            </w:r>
            <w:r>
              <w:rPr>
                <w:rFonts w:eastAsia="仿宋_GB2312"/>
                <w:sz w:val="21"/>
                <w:szCs w:val="21"/>
              </w:rPr>
              <w:t>建设类项目一级标准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水土流失治理度(%)</w:t>
            </w:r>
          </w:p>
        </w:tc>
        <w:tc>
          <w:tcPr>
            <w:tcW w:w="1191"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85</w:t>
            </w:r>
          </w:p>
        </w:tc>
        <w:tc>
          <w:tcPr>
            <w:tcW w:w="900"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土壤流失控制比</w:t>
            </w:r>
          </w:p>
        </w:tc>
        <w:tc>
          <w:tcPr>
            <w:tcW w:w="1198"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渣土防护率（%）</w:t>
            </w:r>
          </w:p>
        </w:tc>
        <w:tc>
          <w:tcPr>
            <w:tcW w:w="1191"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8</w:t>
            </w:r>
            <w:r>
              <w:rPr>
                <w:rFonts w:hint="eastAsia" w:eastAsia="仿宋_GB2312"/>
                <w:sz w:val="21"/>
                <w:szCs w:val="21"/>
              </w:rPr>
              <w:t>7</w:t>
            </w:r>
          </w:p>
        </w:tc>
        <w:tc>
          <w:tcPr>
            <w:tcW w:w="900"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表土保护率（%）</w:t>
            </w:r>
          </w:p>
        </w:tc>
        <w:tc>
          <w:tcPr>
            <w:tcW w:w="1198"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林草植被恢复率（%）</w:t>
            </w:r>
          </w:p>
        </w:tc>
        <w:tc>
          <w:tcPr>
            <w:tcW w:w="1191"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w:t>
            </w:r>
          </w:p>
        </w:tc>
        <w:tc>
          <w:tcPr>
            <w:tcW w:w="900"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林草覆盖率（%）</w:t>
            </w:r>
          </w:p>
        </w:tc>
        <w:tc>
          <w:tcPr>
            <w:tcW w:w="1198"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水土保持</w:t>
            </w:r>
          </w:p>
          <w:p>
            <w:pPr>
              <w:widowControl/>
              <w:adjustRightInd/>
              <w:snapToGrid/>
              <w:spacing w:line="240" w:lineRule="auto"/>
              <w:ind w:firstLine="0" w:firstLineChars="0"/>
              <w:jc w:val="center"/>
              <w:rPr>
                <w:rFonts w:eastAsia="仿宋_GB2312"/>
                <w:sz w:val="21"/>
                <w:szCs w:val="21"/>
              </w:rPr>
            </w:pPr>
            <w:r>
              <w:rPr>
                <w:rFonts w:eastAsia="仿宋_GB2312"/>
                <w:sz w:val="21"/>
                <w:szCs w:val="21"/>
              </w:rPr>
              <w:t>措施</w:t>
            </w:r>
          </w:p>
        </w:tc>
        <w:tc>
          <w:tcPr>
            <w:tcW w:w="4436" w:type="pct"/>
            <w:gridSpan w:val="9"/>
            <w:vAlign w:val="center"/>
          </w:tcPr>
          <w:p>
            <w:pPr>
              <w:tabs>
                <w:tab w:val="left" w:pos="840"/>
                <w:tab w:val="left" w:pos="1485"/>
              </w:tabs>
              <w:spacing w:line="240" w:lineRule="auto"/>
              <w:ind w:firstLine="0" w:firstLineChars="0"/>
              <w:rPr>
                <w:rFonts w:eastAsia="仿宋_GB2312"/>
                <w:sz w:val="21"/>
                <w:szCs w:val="21"/>
              </w:rPr>
            </w:pPr>
            <w:r>
              <w:rPr>
                <w:rFonts w:hint="eastAsia" w:eastAsia="仿宋_GB2312"/>
                <w:sz w:val="21"/>
                <w:szCs w:val="21"/>
              </w:rPr>
              <w:t>工程措施：</w:t>
            </w:r>
            <w:r>
              <w:rPr>
                <w:rFonts w:eastAsia="仿宋_GB2312"/>
                <w:sz w:val="21"/>
                <w:szCs w:val="21"/>
              </w:rPr>
              <w:t>土地平整</w:t>
            </w:r>
            <w:r>
              <w:rPr>
                <w:rFonts w:hint="eastAsia" w:eastAsia="仿宋_GB2312"/>
                <w:sz w:val="21"/>
                <w:szCs w:val="21"/>
              </w:rPr>
              <w:t>1.95h</w:t>
            </w:r>
            <w:r>
              <w:rPr>
                <w:rFonts w:eastAsia="仿宋_GB2312"/>
                <w:sz w:val="21"/>
                <w:szCs w:val="21"/>
              </w:rPr>
              <w:t>m²</w:t>
            </w:r>
            <w:r>
              <w:rPr>
                <w:rFonts w:eastAsia="仿宋_GB2312"/>
                <w:snapToGrid w:val="0"/>
                <w:sz w:val="21"/>
                <w:szCs w:val="21"/>
              </w:rPr>
              <w:t>(主体已列)</w:t>
            </w:r>
            <w:r>
              <w:rPr>
                <w:rFonts w:hint="eastAsia" w:eastAsia="仿宋_GB2312"/>
                <w:sz w:val="21"/>
                <w:szCs w:val="21"/>
              </w:rPr>
              <w:t>。</w:t>
            </w:r>
          </w:p>
          <w:p>
            <w:pPr>
              <w:tabs>
                <w:tab w:val="left" w:pos="840"/>
                <w:tab w:val="left" w:pos="1485"/>
              </w:tabs>
              <w:spacing w:line="240" w:lineRule="auto"/>
              <w:ind w:firstLine="0" w:firstLineChars="0"/>
              <w:rPr>
                <w:rFonts w:eastAsia="仿宋_GB2312"/>
                <w:sz w:val="21"/>
                <w:szCs w:val="21"/>
              </w:rPr>
            </w:pPr>
            <w:r>
              <w:rPr>
                <w:rFonts w:hint="eastAsia" w:eastAsia="仿宋_GB2312"/>
                <w:sz w:val="21"/>
                <w:szCs w:val="21"/>
              </w:rPr>
              <w:t>临时措施：</w:t>
            </w:r>
            <w:r>
              <w:rPr>
                <w:rFonts w:eastAsia="仿宋_GB2312"/>
                <w:sz w:val="21"/>
                <w:szCs w:val="21"/>
              </w:rPr>
              <w:t>防尘网苫盖</w:t>
            </w:r>
            <w:r>
              <w:rPr>
                <w:rFonts w:hint="eastAsia" w:eastAsia="仿宋_GB2312"/>
                <w:sz w:val="21"/>
                <w:szCs w:val="21"/>
              </w:rPr>
              <w:t>5035</w:t>
            </w:r>
            <w:r>
              <w:rPr>
                <w:rFonts w:eastAsia="仿宋_GB2312"/>
                <w:sz w:val="21"/>
                <w:szCs w:val="21"/>
              </w:rPr>
              <w:t>m²</w:t>
            </w:r>
            <w:r>
              <w:rPr>
                <w:rFonts w:hint="eastAsia" w:eastAsia="仿宋_GB2312"/>
                <w:sz w:val="21"/>
                <w:szCs w:val="21"/>
              </w:rPr>
              <w:t>，</w:t>
            </w:r>
            <w:r>
              <w:rPr>
                <w:rFonts w:eastAsia="仿宋_GB2312"/>
                <w:sz w:val="21"/>
                <w:szCs w:val="21"/>
              </w:rPr>
              <w:t>洒水</w:t>
            </w:r>
            <w:r>
              <w:rPr>
                <w:rFonts w:hint="eastAsia" w:eastAsia="仿宋_GB2312"/>
                <w:sz w:val="21"/>
                <w:szCs w:val="21"/>
              </w:rPr>
              <w:t>46</w:t>
            </w:r>
            <w:r>
              <w:rPr>
                <w:rFonts w:eastAsia="仿宋_GB2312"/>
                <w:sz w:val="21"/>
                <w:szCs w:val="21"/>
              </w:rPr>
              <w:t>m³，</w:t>
            </w:r>
            <w:r>
              <w:rPr>
                <w:rFonts w:hint="eastAsia" w:eastAsia="仿宋_GB2312"/>
                <w:sz w:val="21"/>
                <w:szCs w:val="21"/>
              </w:rPr>
              <w:t>彩条旗限界9258m。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restar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水土保持</w:t>
            </w:r>
          </w:p>
          <w:p>
            <w:pPr>
              <w:widowControl/>
              <w:adjustRightInd/>
              <w:snapToGrid/>
              <w:spacing w:line="240" w:lineRule="auto"/>
              <w:ind w:firstLine="0" w:firstLineChars="0"/>
              <w:jc w:val="center"/>
              <w:rPr>
                <w:rFonts w:eastAsia="仿宋_GB2312"/>
                <w:sz w:val="21"/>
                <w:szCs w:val="21"/>
              </w:rPr>
            </w:pPr>
            <w:r>
              <w:rPr>
                <w:rFonts w:eastAsia="仿宋_GB2312"/>
                <w:sz w:val="21"/>
                <w:szCs w:val="21"/>
              </w:rPr>
              <w:t>投资估算</w:t>
            </w:r>
          </w:p>
          <w:p>
            <w:pPr>
              <w:widowControl/>
              <w:adjustRightInd/>
              <w:snapToGrid/>
              <w:spacing w:line="240" w:lineRule="auto"/>
              <w:ind w:firstLine="0" w:firstLineChars="0"/>
              <w:jc w:val="center"/>
              <w:rPr>
                <w:rFonts w:eastAsia="仿宋_GB2312"/>
                <w:sz w:val="21"/>
                <w:szCs w:val="21"/>
              </w:rPr>
            </w:pPr>
            <w:r>
              <w:rPr>
                <w:rFonts w:eastAsia="仿宋_GB2312"/>
                <w:sz w:val="21"/>
                <w:szCs w:val="21"/>
              </w:rPr>
              <w:t>（万元)</w:t>
            </w:r>
          </w:p>
        </w:tc>
        <w:tc>
          <w:tcPr>
            <w:tcW w:w="637" w:type="pc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工程措施</w:t>
            </w:r>
          </w:p>
        </w:tc>
        <w:tc>
          <w:tcPr>
            <w:tcW w:w="1701" w:type="pct"/>
            <w:gridSpan w:val="3"/>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2.34</w:t>
            </w:r>
          </w:p>
        </w:tc>
        <w:tc>
          <w:tcPr>
            <w:tcW w:w="900"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植物措施</w:t>
            </w:r>
          </w:p>
        </w:tc>
        <w:tc>
          <w:tcPr>
            <w:tcW w:w="1198"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637" w:type="pc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临时措施</w:t>
            </w:r>
          </w:p>
        </w:tc>
        <w:tc>
          <w:tcPr>
            <w:tcW w:w="1701" w:type="pct"/>
            <w:gridSpan w:val="3"/>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4.22</w:t>
            </w:r>
          </w:p>
        </w:tc>
        <w:tc>
          <w:tcPr>
            <w:tcW w:w="900"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水土保持补偿费</w:t>
            </w:r>
          </w:p>
        </w:tc>
        <w:tc>
          <w:tcPr>
            <w:tcW w:w="1198"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637" w:type="pct"/>
            <w:vMerge w:val="restar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独立费用</w:t>
            </w:r>
          </w:p>
        </w:tc>
        <w:tc>
          <w:tcPr>
            <w:tcW w:w="1701"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建设管理费</w:t>
            </w:r>
          </w:p>
        </w:tc>
        <w:tc>
          <w:tcPr>
            <w:tcW w:w="2098" w:type="pct"/>
            <w:gridSpan w:val="5"/>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637"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701"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水土保持监理费</w:t>
            </w:r>
          </w:p>
        </w:tc>
        <w:tc>
          <w:tcPr>
            <w:tcW w:w="2098" w:type="pct"/>
            <w:gridSpan w:val="5"/>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637"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701"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设计费</w:t>
            </w:r>
          </w:p>
        </w:tc>
        <w:tc>
          <w:tcPr>
            <w:tcW w:w="2098" w:type="pct"/>
            <w:gridSpan w:val="5"/>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637"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701"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水土保持验收报告编制费</w:t>
            </w:r>
          </w:p>
        </w:tc>
        <w:tc>
          <w:tcPr>
            <w:tcW w:w="2098" w:type="pct"/>
            <w:gridSpan w:val="5"/>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637" w:type="pct"/>
            <w:vAlign w:val="center"/>
          </w:tcPr>
          <w:p>
            <w:pPr>
              <w:widowControl/>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总投资</w:t>
            </w:r>
          </w:p>
        </w:tc>
        <w:tc>
          <w:tcPr>
            <w:tcW w:w="3800" w:type="pct"/>
            <w:gridSpan w:val="8"/>
            <w:vAlign w:val="center"/>
          </w:tcPr>
          <w:p>
            <w:pPr>
              <w:widowControl/>
              <w:adjustRightInd/>
              <w:snapToGrid/>
              <w:spacing w:line="240" w:lineRule="auto"/>
              <w:ind w:firstLine="0" w:firstLineChars="0"/>
              <w:jc w:val="center"/>
              <w:rPr>
                <w:rFonts w:eastAsia="仿宋_GB2312"/>
                <w:color w:val="FF0000"/>
                <w:sz w:val="21"/>
                <w:szCs w:val="21"/>
              </w:rPr>
            </w:pPr>
            <w:r>
              <w:rPr>
                <w:rFonts w:hint="eastAsia" w:eastAsia="仿宋_GB2312"/>
                <w:color w:val="FF0000"/>
                <w:sz w:val="21"/>
                <w:szCs w:val="21"/>
              </w:rPr>
              <w:t>20.01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00"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编制单位</w:t>
            </w:r>
          </w:p>
        </w:tc>
        <w:tc>
          <w:tcPr>
            <w:tcW w:w="1402" w:type="pct"/>
            <w:gridSpan w:val="2"/>
            <w:vAlign w:val="center"/>
          </w:tcPr>
          <w:p>
            <w:pPr>
              <w:pStyle w:val="73"/>
              <w:widowControl w:val="0"/>
              <w:topLinePunct/>
              <w:adjustRightInd w:val="0"/>
              <w:snapToGrid w:val="0"/>
              <w:spacing w:line="240" w:lineRule="auto"/>
              <w:jc w:val="center"/>
              <w:textAlignment w:val="center"/>
              <w:rPr>
                <w:rFonts w:cs="Times New Roman"/>
                <w:bCs/>
                <w:color w:val="auto"/>
              </w:rPr>
            </w:pPr>
            <w:r>
              <w:rPr>
                <w:rFonts w:hint="eastAsia" w:cs="Times New Roman"/>
                <w:bCs/>
                <w:color w:val="auto"/>
              </w:rPr>
              <w:t>新疆新农丽景环境工程咨询有限公司</w:t>
            </w:r>
          </w:p>
        </w:tc>
        <w:tc>
          <w:tcPr>
            <w:tcW w:w="974" w:type="pct"/>
            <w:gridSpan w:val="2"/>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建设单位</w:t>
            </w:r>
          </w:p>
        </w:tc>
        <w:tc>
          <w:tcPr>
            <w:tcW w:w="1423"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第十四师水利工程管理服务中心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00"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负责人</w:t>
            </w:r>
          </w:p>
        </w:tc>
        <w:tc>
          <w:tcPr>
            <w:tcW w:w="1402" w:type="pct"/>
            <w:gridSpan w:val="2"/>
            <w:vAlign w:val="center"/>
          </w:tcPr>
          <w:p>
            <w:pPr>
              <w:pStyle w:val="73"/>
              <w:widowControl w:val="0"/>
              <w:topLinePunct/>
              <w:adjustRightInd w:val="0"/>
              <w:snapToGrid w:val="0"/>
              <w:spacing w:line="240" w:lineRule="auto"/>
              <w:jc w:val="center"/>
              <w:textAlignment w:val="center"/>
              <w:rPr>
                <w:bCs/>
                <w:color w:val="auto"/>
              </w:rPr>
            </w:pPr>
            <w:r>
              <w:rPr>
                <w:bCs/>
                <w:color w:val="auto"/>
              </w:rPr>
              <w:t>白慧敏</w:t>
            </w:r>
          </w:p>
        </w:tc>
        <w:tc>
          <w:tcPr>
            <w:tcW w:w="974" w:type="pct"/>
            <w:gridSpan w:val="2"/>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法定代表人</w:t>
            </w:r>
          </w:p>
        </w:tc>
        <w:tc>
          <w:tcPr>
            <w:tcW w:w="1423"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00"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地址</w:t>
            </w:r>
          </w:p>
        </w:tc>
        <w:tc>
          <w:tcPr>
            <w:tcW w:w="1402" w:type="pct"/>
            <w:gridSpan w:val="2"/>
            <w:vAlign w:val="center"/>
          </w:tcPr>
          <w:p>
            <w:pPr>
              <w:pStyle w:val="73"/>
              <w:widowControl w:val="0"/>
              <w:topLinePunct/>
              <w:adjustRightInd w:val="0"/>
              <w:snapToGrid w:val="0"/>
              <w:spacing w:line="240" w:lineRule="auto"/>
              <w:jc w:val="center"/>
              <w:textAlignment w:val="center"/>
              <w:rPr>
                <w:bCs/>
                <w:color w:val="auto"/>
              </w:rPr>
            </w:pPr>
            <w:r>
              <w:rPr>
                <w:rFonts w:cs="Times New Roman"/>
              </w:rPr>
              <w:t>新疆乌鲁木齐沙依巴克区克拉玛依西路2577号恒昌恒业花园4栋1单元602室</w:t>
            </w:r>
          </w:p>
        </w:tc>
        <w:tc>
          <w:tcPr>
            <w:tcW w:w="974" w:type="pct"/>
            <w:gridSpan w:val="2"/>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地址</w:t>
            </w:r>
          </w:p>
        </w:tc>
        <w:tc>
          <w:tcPr>
            <w:tcW w:w="1423"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r>
              <w:fldChar w:fldCharType="begin"/>
            </w:r>
            <w:r>
              <w:instrText xml:space="preserve"> HYPERLINK "https://ditu.so.com/?pid=b16184175467d6da&amp;src=onebox" \t "_blank" </w:instrText>
            </w:r>
            <w:r>
              <w:fldChar w:fldCharType="separate"/>
            </w:r>
            <w:r>
              <w:rPr>
                <w:rFonts w:cs="Times New Roman"/>
                <w:color w:val="auto"/>
              </w:rPr>
              <w:t>和田市乌鲁木齐北路190号</w:t>
            </w:r>
            <w:r>
              <w:rPr>
                <w:rFonts w:cs="Times New Roman"/>
                <w:color w:val="auto"/>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00"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邮编</w:t>
            </w:r>
          </w:p>
        </w:tc>
        <w:tc>
          <w:tcPr>
            <w:tcW w:w="1402" w:type="pct"/>
            <w:gridSpan w:val="2"/>
            <w:vAlign w:val="center"/>
          </w:tcPr>
          <w:p>
            <w:pPr>
              <w:pStyle w:val="73"/>
              <w:widowControl w:val="0"/>
              <w:topLinePunct/>
              <w:adjustRightInd w:val="0"/>
              <w:snapToGrid w:val="0"/>
              <w:spacing w:line="240" w:lineRule="auto"/>
              <w:jc w:val="center"/>
              <w:textAlignment w:val="center"/>
              <w:rPr>
                <w:bCs/>
                <w:color w:val="auto"/>
              </w:rPr>
            </w:pPr>
            <w:r>
              <w:rPr>
                <w:rFonts w:hint="eastAsia"/>
                <w:bCs/>
                <w:color w:val="auto"/>
              </w:rPr>
              <w:t>830000</w:t>
            </w:r>
          </w:p>
        </w:tc>
        <w:tc>
          <w:tcPr>
            <w:tcW w:w="974" w:type="pct"/>
            <w:gridSpan w:val="2"/>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邮编</w:t>
            </w:r>
          </w:p>
        </w:tc>
        <w:tc>
          <w:tcPr>
            <w:tcW w:w="1423"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848100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00"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联系人及电话</w:t>
            </w:r>
          </w:p>
        </w:tc>
        <w:tc>
          <w:tcPr>
            <w:tcW w:w="1402" w:type="pct"/>
            <w:gridSpan w:val="2"/>
            <w:vAlign w:val="center"/>
          </w:tcPr>
          <w:p>
            <w:pPr>
              <w:pStyle w:val="73"/>
              <w:widowControl w:val="0"/>
              <w:topLinePunct/>
              <w:adjustRightInd w:val="0"/>
              <w:snapToGrid w:val="0"/>
              <w:spacing w:line="240" w:lineRule="auto"/>
              <w:jc w:val="center"/>
              <w:textAlignment w:val="center"/>
              <w:rPr>
                <w:bCs/>
                <w:color w:val="auto"/>
              </w:rPr>
            </w:pPr>
            <w:r>
              <w:rPr>
                <w:color w:val="auto"/>
              </w:rPr>
              <w:t>周建勤 19990627353</w:t>
            </w:r>
          </w:p>
        </w:tc>
        <w:tc>
          <w:tcPr>
            <w:tcW w:w="974" w:type="pct"/>
            <w:gridSpan w:val="2"/>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联系人及电话</w:t>
            </w:r>
          </w:p>
        </w:tc>
        <w:tc>
          <w:tcPr>
            <w:tcW w:w="1423"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r>
              <w:rPr>
                <w:rFonts w:hint="eastAsia" w:cs="Times New Roman"/>
                <w:color w:val="auto"/>
              </w:rPr>
              <w:t>刘多宏18999430988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00"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电子信箱</w:t>
            </w:r>
          </w:p>
        </w:tc>
        <w:tc>
          <w:tcPr>
            <w:tcW w:w="1402"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w:t>
            </w:r>
          </w:p>
        </w:tc>
        <w:tc>
          <w:tcPr>
            <w:tcW w:w="974"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电子信箱</w:t>
            </w:r>
          </w:p>
        </w:tc>
        <w:tc>
          <w:tcPr>
            <w:tcW w:w="1423" w:type="pct"/>
            <w:gridSpan w:val="4"/>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00"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传真</w:t>
            </w:r>
          </w:p>
        </w:tc>
        <w:tc>
          <w:tcPr>
            <w:tcW w:w="1402" w:type="pct"/>
            <w:gridSpan w:val="2"/>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w:t>
            </w:r>
          </w:p>
        </w:tc>
        <w:tc>
          <w:tcPr>
            <w:tcW w:w="974"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传真</w:t>
            </w:r>
          </w:p>
        </w:tc>
        <w:tc>
          <w:tcPr>
            <w:tcW w:w="1423" w:type="pct"/>
            <w:gridSpan w:val="4"/>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w:t>
            </w:r>
          </w:p>
        </w:tc>
      </w:tr>
    </w:tbl>
    <w:p>
      <w:pPr>
        <w:ind w:firstLine="199" w:firstLineChars="83"/>
        <w:sectPr>
          <w:pgSz w:w="11906" w:h="16838"/>
          <w:pgMar w:top="1440" w:right="1803" w:bottom="1440" w:left="1803" w:header="851" w:footer="992" w:gutter="0"/>
          <w:pgNumType w:fmt="lowerRoman" w:start="1"/>
          <w:cols w:space="720" w:num="1"/>
          <w:docGrid w:linePitch="326" w:charSpace="0"/>
        </w:sectPr>
      </w:pPr>
    </w:p>
    <w:p>
      <w:pPr>
        <w:ind w:left="0" w:leftChars="0" w:firstLine="0" w:firstLineChars="0"/>
        <w:sectPr>
          <w:pgSz w:w="11906" w:h="16838"/>
          <w:pgMar w:top="1440" w:right="1803" w:bottom="1440" w:left="1803" w:header="851" w:footer="992" w:gutter="0"/>
          <w:pgNumType w:fmt="lowerRoman" w:start="1"/>
          <w:cols w:space="720" w:num="1"/>
          <w:docGrid w:linePitch="326" w:charSpace="0"/>
        </w:sectPr>
      </w:pPr>
    </w:p>
    <w:p>
      <w:pPr>
        <w:pStyle w:val="28"/>
        <w:tabs>
          <w:tab w:val="left" w:pos="422"/>
          <w:tab w:val="right" w:leader="dot" w:pos="9016"/>
        </w:tabs>
        <w:jc w:val="center"/>
        <w:rPr>
          <w:rFonts w:ascii="Times New Roman" w:hAnsi="Times New Roman" w:cs="Times New Roman"/>
          <w:sz w:val="32"/>
          <w:szCs w:val="32"/>
        </w:rPr>
      </w:pPr>
      <w:bookmarkStart w:id="7" w:name="_Toc5308823"/>
      <w:bookmarkStart w:id="8" w:name="_Toc398733630"/>
      <w:bookmarkStart w:id="9" w:name="_Toc379804299"/>
      <w:bookmarkStart w:id="10" w:name="_Toc389470361"/>
      <w:bookmarkStart w:id="11" w:name="_Toc517497997"/>
      <w:bookmarkStart w:id="12" w:name="_Toc7720529"/>
      <w:bookmarkStart w:id="13" w:name="_Toc421027881"/>
      <w:bookmarkStart w:id="14" w:name="_Toc370324888"/>
      <w:bookmarkStart w:id="15" w:name="_Toc397347312"/>
      <w:bookmarkStart w:id="16" w:name="_Toc458611434"/>
      <w:bookmarkStart w:id="17" w:name="_Toc439711087"/>
      <w:bookmarkStart w:id="18" w:name="_Toc446495973"/>
      <w:bookmarkStart w:id="19" w:name="_Toc394323542"/>
      <w:bookmarkStart w:id="20" w:name="_Toc521562310"/>
      <w:bookmarkStart w:id="21" w:name="_Toc414105463"/>
      <w:bookmarkStart w:id="22" w:name="_Toc370050982"/>
      <w:bookmarkStart w:id="23" w:name="_Toc392181688"/>
      <w:bookmarkStart w:id="24" w:name="_Toc7720461"/>
      <w:bookmarkStart w:id="25" w:name="_Toc446595385"/>
      <w:r>
        <w:rPr>
          <w:rFonts w:ascii="Times New Roman" w:hAnsi="Times New Roman" w:cs="Times New Roman"/>
          <w:sz w:val="32"/>
          <w:szCs w:val="32"/>
        </w:rPr>
        <w:t>目录</w:t>
      </w:r>
    </w:p>
    <w:p>
      <w:pPr>
        <w:pStyle w:val="28"/>
        <w:tabs>
          <w:tab w:val="left" w:pos="422"/>
          <w:tab w:val="right" w:leader="dot" w:pos="8290"/>
        </w:tabs>
        <w:rPr>
          <w:rFonts w:eastAsiaTheme="minorEastAsia" w:cstheme="minorBidi"/>
          <w:b w:val="0"/>
          <w:bCs w:val="0"/>
          <w:caps w:val="0"/>
          <w:kern w:val="2"/>
          <w:sz w:val="21"/>
        </w:rPr>
      </w:pPr>
      <w:r>
        <w:rPr>
          <w:rFonts w:ascii="Times New Roman" w:hAnsi="Times New Roman" w:cs="Times New Roman"/>
          <w:b w:val="0"/>
        </w:rPr>
        <w:fldChar w:fldCharType="begin"/>
      </w:r>
      <w:r>
        <w:rPr>
          <w:rFonts w:ascii="Times New Roman" w:hAnsi="Times New Roman" w:cs="Times New Roman"/>
          <w:b w:val="0"/>
        </w:rPr>
        <w:instrText xml:space="preserve"> TOC \o "1-2" \h \z \u </w:instrText>
      </w:r>
      <w:r>
        <w:rPr>
          <w:rFonts w:ascii="Times New Roman" w:hAnsi="Times New Roman" w:cs="Times New Roman"/>
          <w:b w:val="0"/>
        </w:rPr>
        <w:fldChar w:fldCharType="separate"/>
      </w:r>
      <w:r>
        <w:fldChar w:fldCharType="begin"/>
      </w:r>
      <w:r>
        <w:instrText xml:space="preserve"> HYPERLINK \l "_Toc50221485" </w:instrText>
      </w:r>
      <w:r>
        <w:fldChar w:fldCharType="separate"/>
      </w:r>
      <w:r>
        <w:rPr>
          <w:rStyle w:val="46"/>
        </w:rPr>
        <w:t>1</w:t>
      </w:r>
      <w:r>
        <w:rPr>
          <w:rFonts w:eastAsiaTheme="minorEastAsia" w:cstheme="minorBidi"/>
          <w:b w:val="0"/>
          <w:bCs w:val="0"/>
          <w:caps w:val="0"/>
          <w:kern w:val="2"/>
          <w:sz w:val="21"/>
        </w:rPr>
        <w:tab/>
      </w:r>
      <w:r>
        <w:rPr>
          <w:rStyle w:val="46"/>
          <w:rFonts w:hint="eastAsia"/>
        </w:rPr>
        <w:t>综合说明</w:t>
      </w:r>
      <w:r>
        <w:tab/>
      </w:r>
      <w:r>
        <w:fldChar w:fldCharType="begin"/>
      </w:r>
      <w:r>
        <w:instrText xml:space="preserve"> PAGEREF _Toc50221485 \h </w:instrText>
      </w:r>
      <w:r>
        <w:fldChar w:fldCharType="separate"/>
      </w:r>
      <w:r>
        <w:t>1</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"_Toc50221486" </w:instrText>
      </w:r>
      <w:r>
        <w:fldChar w:fldCharType="separate"/>
      </w:r>
      <w:r>
        <w:rPr>
          <w:rStyle w:val="46"/>
        </w:rPr>
        <w:t>1.1</w:t>
      </w:r>
      <w:r>
        <w:rPr>
          <w:rFonts w:eastAsiaTheme="minorEastAsia" w:cstheme="minorBidi"/>
          <w:bCs w:val="0"/>
          <w:smallCaps w:val="0"/>
          <w:kern w:val="2"/>
          <w:sz w:val="21"/>
        </w:rPr>
        <w:tab/>
      </w:r>
      <w:r>
        <w:rPr>
          <w:rStyle w:val="46"/>
          <w:rFonts w:hint="eastAsia"/>
        </w:rPr>
        <w:t>项目简况</w:t>
      </w:r>
      <w:r>
        <w:tab/>
      </w:r>
      <w:r>
        <w:fldChar w:fldCharType="begin"/>
      </w:r>
      <w:r>
        <w:instrText xml:space="preserve"> PAGEREF _Toc50221486 \h </w:instrText>
      </w:r>
      <w:r>
        <w:fldChar w:fldCharType="separate"/>
      </w:r>
      <w:r>
        <w:t>1</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"_Toc50221487" </w:instrText>
      </w:r>
      <w:r>
        <w:fldChar w:fldCharType="separate"/>
      </w:r>
      <w:r>
        <w:rPr>
          <w:rStyle w:val="46"/>
        </w:rPr>
        <w:t>1.2</w:t>
      </w:r>
      <w:r>
        <w:rPr>
          <w:rFonts w:eastAsiaTheme="minorEastAsia" w:cstheme="minorBidi"/>
          <w:bCs w:val="0"/>
          <w:smallCaps w:val="0"/>
          <w:kern w:val="2"/>
          <w:sz w:val="21"/>
        </w:rPr>
        <w:tab/>
      </w:r>
      <w:r>
        <w:rPr>
          <w:rStyle w:val="46"/>
          <w:rFonts w:hint="eastAsia"/>
        </w:rPr>
        <w:t>编制依据</w:t>
      </w:r>
      <w:r>
        <w:tab/>
      </w:r>
      <w:r>
        <w:fldChar w:fldCharType="begin"/>
      </w:r>
      <w:r>
        <w:instrText xml:space="preserve"> PAGEREF _Toc50221487 \h </w:instrText>
      </w:r>
      <w:r>
        <w:fldChar w:fldCharType="separate"/>
      </w:r>
      <w:r>
        <w:t>3</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"_Toc50221488" </w:instrText>
      </w:r>
      <w:r>
        <w:fldChar w:fldCharType="separate"/>
      </w:r>
      <w:r>
        <w:rPr>
          <w:rStyle w:val="46"/>
        </w:rPr>
        <w:t>1.3</w:t>
      </w:r>
      <w:r>
        <w:rPr>
          <w:rFonts w:eastAsiaTheme="minorEastAsia" w:cstheme="minorBidi"/>
          <w:bCs w:val="0"/>
          <w:smallCaps w:val="0"/>
          <w:kern w:val="2"/>
          <w:sz w:val="21"/>
        </w:rPr>
        <w:tab/>
      </w:r>
      <w:r>
        <w:rPr>
          <w:rStyle w:val="46"/>
          <w:rFonts w:hint="eastAsia"/>
        </w:rPr>
        <w:t>设计水平年</w:t>
      </w:r>
      <w:r>
        <w:tab/>
      </w:r>
      <w:r>
        <w:fldChar w:fldCharType="begin"/>
      </w:r>
      <w:r>
        <w:instrText xml:space="preserve"> PAGEREF _Toc50221488 \h </w:instrText>
      </w:r>
      <w:r>
        <w:fldChar w:fldCharType="separate"/>
      </w:r>
      <w:r>
        <w:t>7</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"_Toc50221489" </w:instrText>
      </w:r>
      <w:r>
        <w:fldChar w:fldCharType="separate"/>
      </w:r>
      <w:r>
        <w:rPr>
          <w:rStyle w:val="46"/>
        </w:rPr>
        <w:t>1.4</w:t>
      </w:r>
      <w:r>
        <w:rPr>
          <w:rFonts w:eastAsiaTheme="minorEastAsia" w:cstheme="minorBidi"/>
          <w:bCs w:val="0"/>
          <w:smallCaps w:val="0"/>
          <w:kern w:val="2"/>
          <w:sz w:val="21"/>
        </w:rPr>
        <w:tab/>
      </w:r>
      <w:r>
        <w:rPr>
          <w:rStyle w:val="46"/>
          <w:rFonts w:hint="eastAsia"/>
        </w:rPr>
        <w:t>水土流失防治责任范围</w:t>
      </w:r>
      <w:r>
        <w:tab/>
      </w:r>
      <w:r>
        <w:fldChar w:fldCharType="begin"/>
      </w:r>
      <w:r>
        <w:instrText xml:space="preserve"> PAGEREF _Toc50221489 \h </w:instrText>
      </w:r>
      <w:r>
        <w:fldChar w:fldCharType="separate"/>
      </w:r>
      <w:r>
        <w:t>7</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"_Toc50221490" </w:instrText>
      </w:r>
      <w:r>
        <w:fldChar w:fldCharType="separate"/>
      </w:r>
      <w:r>
        <w:rPr>
          <w:rStyle w:val="46"/>
        </w:rPr>
        <w:t>1.5</w:t>
      </w:r>
      <w:r>
        <w:rPr>
          <w:rFonts w:eastAsiaTheme="minorEastAsia" w:cstheme="minorBidi"/>
          <w:bCs w:val="0"/>
          <w:smallCaps w:val="0"/>
          <w:kern w:val="2"/>
          <w:sz w:val="21"/>
        </w:rPr>
        <w:tab/>
      </w:r>
      <w:r>
        <w:rPr>
          <w:rStyle w:val="46"/>
          <w:rFonts w:hint="eastAsia"/>
        </w:rPr>
        <w:t>水土流失防治目标</w:t>
      </w:r>
      <w:r>
        <w:tab/>
      </w:r>
      <w:r>
        <w:fldChar w:fldCharType="begin"/>
      </w:r>
      <w:r>
        <w:instrText xml:space="preserve"> PAGEREF _Toc50221490 \h </w:instrText>
      </w:r>
      <w:r>
        <w:fldChar w:fldCharType="separate"/>
      </w:r>
      <w:r>
        <w:t>7</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"_Toc50221491" </w:instrText>
      </w:r>
      <w:r>
        <w:fldChar w:fldCharType="separate"/>
      </w:r>
      <w:r>
        <w:rPr>
          <w:rStyle w:val="46"/>
        </w:rPr>
        <w:t>1.6</w:t>
      </w:r>
      <w:r>
        <w:rPr>
          <w:rFonts w:eastAsiaTheme="minorEastAsia" w:cstheme="minorBidi"/>
          <w:bCs w:val="0"/>
          <w:smallCaps w:val="0"/>
          <w:kern w:val="2"/>
          <w:sz w:val="21"/>
        </w:rPr>
        <w:tab/>
      </w:r>
      <w:r>
        <w:rPr>
          <w:rStyle w:val="46"/>
          <w:rFonts w:hint="eastAsia"/>
        </w:rPr>
        <w:t>项目水土保持评价结论</w:t>
      </w:r>
      <w:r>
        <w:tab/>
      </w:r>
      <w:r>
        <w:fldChar w:fldCharType="begin"/>
      </w:r>
      <w:r>
        <w:instrText xml:space="preserve"> PAGEREF _Toc50221491 \h </w:instrText>
      </w:r>
      <w:r>
        <w:fldChar w:fldCharType="separate"/>
      </w:r>
      <w:r>
        <w:t>8</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"_Toc50221492" </w:instrText>
      </w:r>
      <w:r>
        <w:fldChar w:fldCharType="separate"/>
      </w:r>
      <w:r>
        <w:rPr>
          <w:rStyle w:val="46"/>
        </w:rPr>
        <w:t>1.7</w:t>
      </w:r>
      <w:r>
        <w:rPr>
          <w:rFonts w:eastAsiaTheme="minorEastAsia" w:cstheme="minorBidi"/>
          <w:bCs w:val="0"/>
          <w:smallCaps w:val="0"/>
          <w:kern w:val="2"/>
          <w:sz w:val="21"/>
        </w:rPr>
        <w:tab/>
      </w:r>
      <w:r>
        <w:rPr>
          <w:rStyle w:val="46"/>
          <w:rFonts w:hint="eastAsia"/>
        </w:rPr>
        <w:t>水土流失预测结果</w:t>
      </w:r>
      <w:r>
        <w:tab/>
      </w:r>
      <w:r>
        <w:fldChar w:fldCharType="begin"/>
      </w:r>
      <w:r>
        <w:instrText xml:space="preserve"> PAGEREF _Toc50221492 \h </w:instrText>
      </w:r>
      <w:r>
        <w:fldChar w:fldCharType="separate"/>
      </w:r>
      <w:r>
        <w:t>10</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"_Toc50221493" </w:instrText>
      </w:r>
      <w:r>
        <w:fldChar w:fldCharType="separate"/>
      </w:r>
      <w:r>
        <w:rPr>
          <w:rStyle w:val="46"/>
        </w:rPr>
        <w:t>1.8</w:t>
      </w:r>
      <w:r>
        <w:rPr>
          <w:rFonts w:eastAsiaTheme="minorEastAsia" w:cstheme="minorBidi"/>
          <w:bCs w:val="0"/>
          <w:smallCaps w:val="0"/>
          <w:kern w:val="2"/>
          <w:sz w:val="21"/>
        </w:rPr>
        <w:tab/>
      </w:r>
      <w:r>
        <w:rPr>
          <w:rStyle w:val="46"/>
          <w:rFonts w:hint="eastAsia"/>
        </w:rPr>
        <w:t>水土保持措施布设成果</w:t>
      </w:r>
      <w:r>
        <w:tab/>
      </w:r>
      <w:r>
        <w:fldChar w:fldCharType="begin"/>
      </w:r>
      <w:r>
        <w:instrText xml:space="preserve"> PAGEREF _Toc50221493 \h </w:instrText>
      </w:r>
      <w:r>
        <w:fldChar w:fldCharType="separate"/>
      </w:r>
      <w:r>
        <w:t>10</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"_Toc50221494" </w:instrText>
      </w:r>
      <w:r>
        <w:fldChar w:fldCharType="separate"/>
      </w:r>
      <w:r>
        <w:rPr>
          <w:rStyle w:val="46"/>
        </w:rPr>
        <w:t>1.9</w:t>
      </w:r>
      <w:r>
        <w:rPr>
          <w:rFonts w:eastAsiaTheme="minorEastAsia" w:cstheme="minorBidi"/>
          <w:bCs w:val="0"/>
          <w:smallCaps w:val="0"/>
          <w:kern w:val="2"/>
          <w:sz w:val="21"/>
        </w:rPr>
        <w:tab/>
      </w:r>
      <w:r>
        <w:rPr>
          <w:rStyle w:val="46"/>
          <w:rFonts w:hint="eastAsia"/>
        </w:rPr>
        <w:t>水土保持监测方案</w:t>
      </w:r>
      <w:r>
        <w:tab/>
      </w:r>
      <w:r>
        <w:fldChar w:fldCharType="begin"/>
      </w:r>
      <w:r>
        <w:instrText xml:space="preserve"> PAGEREF _Toc50221494 \h </w:instrText>
      </w:r>
      <w:r>
        <w:fldChar w:fldCharType="separate"/>
      </w:r>
      <w:r>
        <w:t>11</w:t>
      </w:r>
      <w:r>
        <w:fldChar w:fldCharType="end"/>
      </w:r>
      <w:r>
        <w:fldChar w:fldCharType="end"/>
      </w:r>
    </w:p>
    <w:p>
      <w:pPr>
        <w:pStyle w:val="35"/>
        <w:tabs>
          <w:tab w:val="left" w:pos="986"/>
          <w:tab w:val="right" w:leader="dot" w:pos="8290"/>
        </w:tabs>
        <w:ind w:left="240"/>
        <w:rPr>
          <w:rFonts w:eastAsiaTheme="minorEastAsia" w:cstheme="minorBidi"/>
          <w:bCs w:val="0"/>
          <w:smallCaps w:val="0"/>
          <w:kern w:val="2"/>
          <w:sz w:val="21"/>
        </w:rPr>
      </w:pPr>
      <w:r>
        <w:fldChar w:fldCharType="begin"/>
      </w:r>
      <w:r>
        <w:instrText xml:space="preserve"> HYPERLINK \l "_Toc50221495" </w:instrText>
      </w:r>
      <w:r>
        <w:fldChar w:fldCharType="separate"/>
      </w:r>
      <w:r>
        <w:rPr>
          <w:rStyle w:val="46"/>
        </w:rPr>
        <w:t>1.10</w:t>
      </w:r>
      <w:r>
        <w:rPr>
          <w:rFonts w:eastAsiaTheme="minorEastAsia" w:cstheme="minorBidi"/>
          <w:bCs w:val="0"/>
          <w:smallCaps w:val="0"/>
          <w:kern w:val="2"/>
          <w:sz w:val="21"/>
        </w:rPr>
        <w:tab/>
      </w:r>
      <w:r>
        <w:rPr>
          <w:rStyle w:val="46"/>
          <w:rFonts w:hint="eastAsia"/>
        </w:rPr>
        <w:t>水土保持投资及效益分析成果</w:t>
      </w:r>
      <w:r>
        <w:tab/>
      </w:r>
      <w:r>
        <w:fldChar w:fldCharType="begin"/>
      </w:r>
      <w:r>
        <w:instrText xml:space="preserve"> PAGEREF _Toc50221495 \h </w:instrText>
      </w:r>
      <w:r>
        <w:fldChar w:fldCharType="separate"/>
      </w:r>
      <w:r>
        <w:t>11</w:t>
      </w:r>
      <w:r>
        <w:fldChar w:fldCharType="end"/>
      </w:r>
      <w:r>
        <w:fldChar w:fldCharType="end"/>
      </w:r>
    </w:p>
    <w:p>
      <w:pPr>
        <w:pStyle w:val="35"/>
        <w:tabs>
          <w:tab w:val="left" w:pos="986"/>
          <w:tab w:val="right" w:leader="dot" w:pos="8290"/>
        </w:tabs>
        <w:ind w:left="240"/>
        <w:rPr>
          <w:rFonts w:eastAsiaTheme="minorEastAsia" w:cstheme="minorBidi"/>
          <w:bCs w:val="0"/>
          <w:smallCaps w:val="0"/>
          <w:kern w:val="2"/>
          <w:sz w:val="21"/>
        </w:rPr>
      </w:pPr>
      <w:r>
        <w:fldChar w:fldCharType="begin"/>
      </w:r>
      <w:r>
        <w:instrText xml:space="preserve"> HYPERLINK \l "_Toc50221496" </w:instrText>
      </w:r>
      <w:r>
        <w:fldChar w:fldCharType="separate"/>
      </w:r>
      <w:r>
        <w:rPr>
          <w:rStyle w:val="46"/>
        </w:rPr>
        <w:t>1.11</w:t>
      </w:r>
      <w:r>
        <w:rPr>
          <w:rFonts w:eastAsiaTheme="minorEastAsia" w:cstheme="minorBidi"/>
          <w:bCs w:val="0"/>
          <w:smallCaps w:val="0"/>
          <w:kern w:val="2"/>
          <w:sz w:val="21"/>
        </w:rPr>
        <w:tab/>
      </w:r>
      <w:r>
        <w:rPr>
          <w:rStyle w:val="46"/>
          <w:rFonts w:hint="eastAsia"/>
        </w:rPr>
        <w:t>结论</w:t>
      </w:r>
      <w:r>
        <w:tab/>
      </w:r>
      <w:r>
        <w:fldChar w:fldCharType="begin"/>
      </w:r>
      <w:r>
        <w:instrText xml:space="preserve"> PAGEREF _Toc50221496 \h </w:instrText>
      </w:r>
      <w:r>
        <w:fldChar w:fldCharType="separate"/>
      </w:r>
      <w:r>
        <w:t>11</w:t>
      </w:r>
      <w:r>
        <w:fldChar w:fldCharType="end"/>
      </w:r>
      <w:r>
        <w:fldChar w:fldCharType="end"/>
      </w:r>
    </w:p>
    <w:p>
      <w:pPr>
        <w:pStyle w:val="28"/>
        <w:tabs>
          <w:tab w:val="left" w:pos="422"/>
          <w:tab w:val="right" w:leader="dot" w:pos="8290"/>
        </w:tabs>
        <w:rPr>
          <w:rFonts w:eastAsiaTheme="minorEastAsia" w:cstheme="minorBidi"/>
          <w:b w:val="0"/>
          <w:bCs w:val="0"/>
          <w:caps w:val="0"/>
          <w:kern w:val="2"/>
          <w:sz w:val="21"/>
        </w:rPr>
      </w:pPr>
      <w:r>
        <w:fldChar w:fldCharType="begin"/>
      </w:r>
      <w:r>
        <w:instrText xml:space="preserve"> HYPERLINK \l "_Toc50221497" </w:instrText>
      </w:r>
      <w:r>
        <w:fldChar w:fldCharType="separate"/>
      </w:r>
      <w:r>
        <w:rPr>
          <w:rStyle w:val="46"/>
        </w:rPr>
        <w:t>2</w:t>
      </w:r>
      <w:r>
        <w:rPr>
          <w:rFonts w:eastAsiaTheme="minorEastAsia" w:cstheme="minorBidi"/>
          <w:b w:val="0"/>
          <w:bCs w:val="0"/>
          <w:caps w:val="0"/>
          <w:kern w:val="2"/>
          <w:sz w:val="21"/>
        </w:rPr>
        <w:tab/>
      </w:r>
      <w:r>
        <w:rPr>
          <w:rStyle w:val="46"/>
          <w:rFonts w:hint="eastAsia"/>
        </w:rPr>
        <w:t>项目概况</w:t>
      </w:r>
      <w:r>
        <w:tab/>
      </w:r>
      <w:r>
        <w:fldChar w:fldCharType="begin"/>
      </w:r>
      <w:r>
        <w:instrText xml:space="preserve"> PAGEREF _Toc50221497 \h </w:instrText>
      </w:r>
      <w:r>
        <w:fldChar w:fldCharType="separate"/>
      </w:r>
      <w:r>
        <w:t>14</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"_Toc50221498" </w:instrText>
      </w:r>
      <w:r>
        <w:fldChar w:fldCharType="separate"/>
      </w:r>
      <w:r>
        <w:rPr>
          <w:rStyle w:val="46"/>
        </w:rPr>
        <w:t>2.1</w:t>
      </w:r>
      <w:r>
        <w:rPr>
          <w:rFonts w:eastAsiaTheme="minorEastAsia" w:cstheme="minorBidi"/>
          <w:bCs w:val="0"/>
          <w:smallCaps w:val="0"/>
          <w:kern w:val="2"/>
          <w:sz w:val="21"/>
        </w:rPr>
        <w:tab/>
      </w:r>
      <w:r>
        <w:rPr>
          <w:rStyle w:val="46"/>
          <w:rFonts w:hint="eastAsia"/>
        </w:rPr>
        <w:t>项目组成及工程布置</w:t>
      </w:r>
      <w:r>
        <w:tab/>
      </w:r>
      <w:r>
        <w:fldChar w:fldCharType="begin"/>
      </w:r>
      <w:r>
        <w:instrText xml:space="preserve"> PAGEREF _Toc50221498 \h </w:instrText>
      </w:r>
      <w:r>
        <w:fldChar w:fldCharType="separate"/>
      </w:r>
      <w:r>
        <w:t>14</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"_Toc50221499" </w:instrText>
      </w:r>
      <w:r>
        <w:fldChar w:fldCharType="separate"/>
      </w:r>
      <w:r>
        <w:rPr>
          <w:rStyle w:val="46"/>
        </w:rPr>
        <w:t>2.2</w:t>
      </w:r>
      <w:r>
        <w:rPr>
          <w:rFonts w:eastAsiaTheme="minorEastAsia" w:cstheme="minorBidi"/>
          <w:bCs w:val="0"/>
          <w:smallCaps w:val="0"/>
          <w:kern w:val="2"/>
          <w:sz w:val="21"/>
        </w:rPr>
        <w:tab/>
      </w:r>
      <w:r>
        <w:rPr>
          <w:rStyle w:val="46"/>
          <w:rFonts w:hint="eastAsia"/>
        </w:rPr>
        <w:t>施工组织</w:t>
      </w:r>
      <w:r>
        <w:tab/>
      </w:r>
      <w:r>
        <w:fldChar w:fldCharType="begin"/>
      </w:r>
      <w:r>
        <w:instrText xml:space="preserve"> PAGEREF _Toc50221499 \h </w:instrText>
      </w:r>
      <w:r>
        <w:fldChar w:fldCharType="separate"/>
      </w:r>
      <w:r>
        <w:t>19</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"_Toc50221500" </w:instrText>
      </w:r>
      <w:r>
        <w:fldChar w:fldCharType="separate"/>
      </w:r>
      <w:r>
        <w:rPr>
          <w:rStyle w:val="46"/>
        </w:rPr>
        <w:t>2.3</w:t>
      </w:r>
      <w:r>
        <w:rPr>
          <w:rFonts w:eastAsiaTheme="minorEastAsia" w:cstheme="minorBidi"/>
          <w:bCs w:val="0"/>
          <w:smallCaps w:val="0"/>
          <w:kern w:val="2"/>
          <w:sz w:val="21"/>
        </w:rPr>
        <w:tab/>
      </w:r>
      <w:r>
        <w:rPr>
          <w:rStyle w:val="46"/>
          <w:rFonts w:hint="eastAsia"/>
        </w:rPr>
        <w:t>工程占地</w:t>
      </w:r>
      <w:r>
        <w:tab/>
      </w:r>
      <w:r>
        <w:fldChar w:fldCharType="begin"/>
      </w:r>
      <w:r>
        <w:instrText xml:space="preserve"> PAGEREF _Toc50221500 \h </w:instrText>
      </w:r>
      <w:r>
        <w:fldChar w:fldCharType="separate"/>
      </w:r>
      <w:r>
        <w:t>21</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"_Toc50221501" </w:instrText>
      </w:r>
      <w:r>
        <w:fldChar w:fldCharType="separate"/>
      </w:r>
      <w:r>
        <w:rPr>
          <w:rStyle w:val="46"/>
        </w:rPr>
        <w:t>2.4</w:t>
      </w:r>
      <w:r>
        <w:rPr>
          <w:rFonts w:eastAsiaTheme="minorEastAsia" w:cstheme="minorBidi"/>
          <w:bCs w:val="0"/>
          <w:smallCaps w:val="0"/>
          <w:kern w:val="2"/>
          <w:sz w:val="21"/>
        </w:rPr>
        <w:tab/>
      </w:r>
      <w:r>
        <w:rPr>
          <w:rStyle w:val="46"/>
          <w:rFonts w:hint="eastAsia"/>
        </w:rPr>
        <w:t>土石方平衡</w:t>
      </w:r>
      <w:r>
        <w:tab/>
      </w:r>
      <w:r>
        <w:fldChar w:fldCharType="begin"/>
      </w:r>
      <w:r>
        <w:instrText xml:space="preserve"> PAGEREF _Toc50221501 \h </w:instrText>
      </w:r>
      <w:r>
        <w:fldChar w:fldCharType="separate"/>
      </w:r>
      <w:r>
        <w:t>21</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"_Toc50221502" </w:instrText>
      </w:r>
      <w:r>
        <w:fldChar w:fldCharType="separate"/>
      </w:r>
      <w:r>
        <w:rPr>
          <w:rStyle w:val="46"/>
        </w:rPr>
        <w:t>2.5</w:t>
      </w:r>
      <w:r>
        <w:rPr>
          <w:rFonts w:eastAsiaTheme="minorEastAsia" w:cstheme="minorBidi"/>
          <w:bCs w:val="0"/>
          <w:smallCaps w:val="0"/>
          <w:kern w:val="2"/>
          <w:sz w:val="21"/>
        </w:rPr>
        <w:tab/>
      </w:r>
      <w:r>
        <w:rPr>
          <w:rStyle w:val="46"/>
          <w:rFonts w:hint="eastAsia"/>
        </w:rPr>
        <w:t>拆迁（移民）安置与专项设施改</w:t>
      </w:r>
      <w:r>
        <w:rPr>
          <w:rStyle w:val="46"/>
        </w:rPr>
        <w:t>(</w:t>
      </w:r>
      <w:r>
        <w:rPr>
          <w:rStyle w:val="46"/>
          <w:rFonts w:hint="eastAsia"/>
        </w:rPr>
        <w:t>迁</w:t>
      </w:r>
      <w:r>
        <w:rPr>
          <w:rStyle w:val="46"/>
        </w:rPr>
        <w:t>)</w:t>
      </w:r>
      <w:r>
        <w:rPr>
          <w:rStyle w:val="46"/>
          <w:rFonts w:hint="eastAsia"/>
        </w:rPr>
        <w:t>建</w:t>
      </w:r>
      <w:r>
        <w:tab/>
      </w:r>
      <w:r>
        <w:fldChar w:fldCharType="begin"/>
      </w:r>
      <w:r>
        <w:instrText xml:space="preserve"> PAGEREF _Toc50221502 \h </w:instrText>
      </w:r>
      <w:r>
        <w:fldChar w:fldCharType="separate"/>
      </w:r>
      <w:r>
        <w:t>22</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"_Toc50221503" </w:instrText>
      </w:r>
      <w:r>
        <w:fldChar w:fldCharType="separate"/>
      </w:r>
      <w:r>
        <w:rPr>
          <w:rStyle w:val="46"/>
        </w:rPr>
        <w:t>2.6</w:t>
      </w:r>
      <w:r>
        <w:rPr>
          <w:rFonts w:eastAsiaTheme="minorEastAsia" w:cstheme="minorBidi"/>
          <w:bCs w:val="0"/>
          <w:smallCaps w:val="0"/>
          <w:kern w:val="2"/>
          <w:sz w:val="21"/>
        </w:rPr>
        <w:tab/>
      </w:r>
      <w:r>
        <w:rPr>
          <w:rStyle w:val="46"/>
          <w:rFonts w:hint="eastAsia"/>
        </w:rPr>
        <w:t>施工进度</w:t>
      </w:r>
      <w:r>
        <w:tab/>
      </w:r>
      <w:r>
        <w:fldChar w:fldCharType="begin"/>
      </w:r>
      <w:r>
        <w:instrText xml:space="preserve"> PAGEREF _Toc50221503 \h </w:instrText>
      </w:r>
      <w:r>
        <w:fldChar w:fldCharType="separate"/>
      </w:r>
      <w:r>
        <w:t>22</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"_Toc50221504" </w:instrText>
      </w:r>
      <w:r>
        <w:fldChar w:fldCharType="separate"/>
      </w:r>
      <w:r>
        <w:rPr>
          <w:rStyle w:val="46"/>
        </w:rPr>
        <w:t>2.7</w:t>
      </w:r>
      <w:r>
        <w:rPr>
          <w:rFonts w:eastAsiaTheme="minorEastAsia" w:cstheme="minorBidi"/>
          <w:bCs w:val="0"/>
          <w:smallCaps w:val="0"/>
          <w:kern w:val="2"/>
          <w:sz w:val="21"/>
        </w:rPr>
        <w:tab/>
      </w:r>
      <w:r>
        <w:rPr>
          <w:rStyle w:val="46"/>
          <w:rFonts w:hint="eastAsia"/>
        </w:rPr>
        <w:t>自然概况</w:t>
      </w:r>
      <w:r>
        <w:tab/>
      </w:r>
      <w:r>
        <w:fldChar w:fldCharType="begin"/>
      </w:r>
      <w:r>
        <w:instrText xml:space="preserve"> PAGEREF _Toc50221504 \h </w:instrText>
      </w:r>
      <w:r>
        <w:fldChar w:fldCharType="separate"/>
      </w:r>
      <w:r>
        <w:t>23</w:t>
      </w:r>
      <w:r>
        <w:fldChar w:fldCharType="end"/>
      </w:r>
      <w:r>
        <w:fldChar w:fldCharType="end"/>
      </w:r>
    </w:p>
    <w:p>
      <w:pPr>
        <w:pStyle w:val="28"/>
        <w:tabs>
          <w:tab w:val="left" w:pos="422"/>
          <w:tab w:val="right" w:leader="dot" w:pos="8290"/>
        </w:tabs>
        <w:rPr>
          <w:rFonts w:eastAsiaTheme="minorEastAsia" w:cstheme="minorBidi"/>
          <w:b w:val="0"/>
          <w:bCs w:val="0"/>
          <w:caps w:val="0"/>
          <w:kern w:val="2"/>
          <w:sz w:val="21"/>
        </w:rPr>
      </w:pPr>
      <w:r>
        <w:fldChar w:fldCharType="begin"/>
      </w:r>
      <w:r>
        <w:instrText xml:space="preserve"> HYPERLINK \l "_Toc50221505" </w:instrText>
      </w:r>
      <w:r>
        <w:fldChar w:fldCharType="separate"/>
      </w:r>
      <w:r>
        <w:rPr>
          <w:rStyle w:val="46"/>
        </w:rPr>
        <w:t>3</w:t>
      </w:r>
      <w:r>
        <w:rPr>
          <w:rFonts w:eastAsiaTheme="minorEastAsia" w:cstheme="minorBidi"/>
          <w:b w:val="0"/>
          <w:bCs w:val="0"/>
          <w:caps w:val="0"/>
          <w:kern w:val="2"/>
          <w:sz w:val="21"/>
        </w:rPr>
        <w:tab/>
      </w:r>
      <w:r>
        <w:rPr>
          <w:rStyle w:val="46"/>
          <w:rFonts w:hint="eastAsia"/>
        </w:rPr>
        <w:t>项目水土保持评价</w:t>
      </w:r>
      <w:r>
        <w:tab/>
      </w:r>
      <w:r>
        <w:fldChar w:fldCharType="begin"/>
      </w:r>
      <w:r>
        <w:instrText xml:space="preserve"> PAGEREF _Toc50221505 \h </w:instrText>
      </w:r>
      <w:r>
        <w:fldChar w:fldCharType="separate"/>
      </w:r>
      <w:r>
        <w:t>28</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"_Toc50221506" </w:instrText>
      </w:r>
      <w:r>
        <w:fldChar w:fldCharType="separate"/>
      </w:r>
      <w:r>
        <w:rPr>
          <w:rStyle w:val="46"/>
        </w:rPr>
        <w:t>3.1</w:t>
      </w:r>
      <w:r>
        <w:rPr>
          <w:rFonts w:eastAsiaTheme="minorEastAsia" w:cstheme="minorBidi"/>
          <w:bCs w:val="0"/>
          <w:smallCaps w:val="0"/>
          <w:kern w:val="2"/>
          <w:sz w:val="21"/>
        </w:rPr>
        <w:tab/>
      </w:r>
      <w:r>
        <w:rPr>
          <w:rStyle w:val="46"/>
          <w:rFonts w:hint="eastAsia"/>
        </w:rPr>
        <w:t>主体工程选址（线）水土保持评价</w:t>
      </w:r>
      <w:r>
        <w:tab/>
      </w:r>
      <w:r>
        <w:fldChar w:fldCharType="begin"/>
      </w:r>
      <w:r>
        <w:instrText xml:space="preserve"> PAGEREF _Toc50221506 \h </w:instrText>
      </w:r>
      <w:r>
        <w:fldChar w:fldCharType="separate"/>
      </w:r>
      <w:r>
        <w:t>28</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"_Toc50221507" </w:instrText>
      </w:r>
      <w:r>
        <w:fldChar w:fldCharType="separate"/>
      </w:r>
      <w:r>
        <w:rPr>
          <w:rStyle w:val="46"/>
        </w:rPr>
        <w:t>3.2</w:t>
      </w:r>
      <w:r>
        <w:rPr>
          <w:rFonts w:eastAsiaTheme="minorEastAsia" w:cstheme="minorBidi"/>
          <w:bCs w:val="0"/>
          <w:smallCaps w:val="0"/>
          <w:kern w:val="2"/>
          <w:sz w:val="21"/>
        </w:rPr>
        <w:tab/>
      </w:r>
      <w:r>
        <w:rPr>
          <w:rStyle w:val="46"/>
          <w:rFonts w:hint="eastAsia"/>
        </w:rPr>
        <w:t>建设方案与布局水土保持评价</w:t>
      </w:r>
      <w:r>
        <w:tab/>
      </w:r>
      <w:r>
        <w:fldChar w:fldCharType="begin"/>
      </w:r>
      <w:r>
        <w:instrText xml:space="preserve"> PAGEREF _Toc50221507 \h </w:instrText>
      </w:r>
      <w:r>
        <w:fldChar w:fldCharType="separate"/>
      </w:r>
      <w:r>
        <w:t>31</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"_Toc50221508" </w:instrText>
      </w:r>
      <w:r>
        <w:fldChar w:fldCharType="separate"/>
      </w:r>
      <w:r>
        <w:rPr>
          <w:rStyle w:val="46"/>
        </w:rPr>
        <w:t>3.3</w:t>
      </w:r>
      <w:r>
        <w:rPr>
          <w:rFonts w:eastAsiaTheme="minorEastAsia" w:cstheme="minorBidi"/>
          <w:bCs w:val="0"/>
          <w:smallCaps w:val="0"/>
          <w:kern w:val="2"/>
          <w:sz w:val="21"/>
        </w:rPr>
        <w:tab/>
      </w:r>
      <w:r>
        <w:rPr>
          <w:rStyle w:val="46"/>
          <w:rFonts w:hint="eastAsia"/>
        </w:rPr>
        <w:t>主体工程设计中水土保持措施界定</w:t>
      </w:r>
      <w:r>
        <w:tab/>
      </w:r>
      <w:r>
        <w:fldChar w:fldCharType="begin"/>
      </w:r>
      <w:r>
        <w:instrText xml:space="preserve"> PAGEREF _Toc50221508 \h </w:instrText>
      </w:r>
      <w:r>
        <w:fldChar w:fldCharType="separate"/>
      </w:r>
      <w:r>
        <w:t>35</w:t>
      </w:r>
      <w:r>
        <w:fldChar w:fldCharType="end"/>
      </w:r>
      <w:r>
        <w:fldChar w:fldCharType="end"/>
      </w:r>
    </w:p>
    <w:p>
      <w:pPr>
        <w:pStyle w:val="28"/>
        <w:tabs>
          <w:tab w:val="left" w:pos="422"/>
          <w:tab w:val="right" w:leader="dot" w:pos="8290"/>
        </w:tabs>
        <w:rPr>
          <w:rFonts w:eastAsiaTheme="minorEastAsia" w:cstheme="minorBidi"/>
          <w:b w:val="0"/>
          <w:bCs w:val="0"/>
          <w:caps w:val="0"/>
          <w:kern w:val="2"/>
          <w:sz w:val="21"/>
        </w:rPr>
      </w:pPr>
      <w:r>
        <w:fldChar w:fldCharType="begin"/>
      </w:r>
      <w:r>
        <w:instrText xml:space="preserve"> HYPERLINK \l "_Toc50221509" </w:instrText>
      </w:r>
      <w:r>
        <w:fldChar w:fldCharType="separate"/>
      </w:r>
      <w:r>
        <w:rPr>
          <w:rStyle w:val="46"/>
        </w:rPr>
        <w:t>4</w:t>
      </w:r>
      <w:r>
        <w:rPr>
          <w:rFonts w:eastAsiaTheme="minorEastAsia" w:cstheme="minorBidi"/>
          <w:b w:val="0"/>
          <w:bCs w:val="0"/>
          <w:caps w:val="0"/>
          <w:kern w:val="2"/>
          <w:sz w:val="21"/>
        </w:rPr>
        <w:tab/>
      </w:r>
      <w:r>
        <w:rPr>
          <w:rStyle w:val="46"/>
          <w:rFonts w:hint="eastAsia"/>
        </w:rPr>
        <w:t>水土流失分析与预测</w:t>
      </w:r>
      <w:r>
        <w:tab/>
      </w:r>
      <w:r>
        <w:fldChar w:fldCharType="begin"/>
      </w:r>
      <w:r>
        <w:instrText xml:space="preserve"> PAGEREF _Toc50221509 \h </w:instrText>
      </w:r>
      <w:r>
        <w:fldChar w:fldCharType="separate"/>
      </w:r>
      <w:r>
        <w:t>37</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"_Toc50221510" </w:instrText>
      </w:r>
      <w:r>
        <w:fldChar w:fldCharType="separate"/>
      </w:r>
      <w:r>
        <w:rPr>
          <w:rStyle w:val="46"/>
        </w:rPr>
        <w:t>4.1</w:t>
      </w:r>
      <w:r>
        <w:rPr>
          <w:rFonts w:eastAsiaTheme="minorEastAsia" w:cstheme="minorBidi"/>
          <w:bCs w:val="0"/>
          <w:smallCaps w:val="0"/>
          <w:kern w:val="2"/>
          <w:sz w:val="21"/>
        </w:rPr>
        <w:tab/>
      </w:r>
      <w:r>
        <w:rPr>
          <w:rStyle w:val="46"/>
          <w:rFonts w:hint="eastAsia"/>
        </w:rPr>
        <w:t>水土流失现状</w:t>
      </w:r>
      <w:r>
        <w:tab/>
      </w:r>
      <w:r>
        <w:fldChar w:fldCharType="begin"/>
      </w:r>
      <w:r>
        <w:instrText xml:space="preserve"> PAGEREF _Toc50221510 \h </w:instrText>
      </w:r>
      <w:r>
        <w:fldChar w:fldCharType="separate"/>
      </w:r>
      <w:r>
        <w:t>37</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"_Toc50221511" </w:instrText>
      </w:r>
      <w:r>
        <w:fldChar w:fldCharType="separate"/>
      </w:r>
      <w:r>
        <w:rPr>
          <w:rStyle w:val="46"/>
        </w:rPr>
        <w:t>4.2</w:t>
      </w:r>
      <w:r>
        <w:rPr>
          <w:rFonts w:eastAsiaTheme="minorEastAsia" w:cstheme="minorBidi"/>
          <w:bCs w:val="0"/>
          <w:smallCaps w:val="0"/>
          <w:kern w:val="2"/>
          <w:sz w:val="21"/>
        </w:rPr>
        <w:tab/>
      </w:r>
      <w:r>
        <w:rPr>
          <w:rStyle w:val="46"/>
          <w:rFonts w:hint="eastAsia"/>
        </w:rPr>
        <w:t>水土流失影响因素分析</w:t>
      </w:r>
      <w:r>
        <w:tab/>
      </w:r>
      <w:r>
        <w:fldChar w:fldCharType="begin"/>
      </w:r>
      <w:r>
        <w:instrText xml:space="preserve"> PAGEREF _Toc50221511 \h </w:instrText>
      </w:r>
      <w:r>
        <w:fldChar w:fldCharType="separate"/>
      </w:r>
      <w:r>
        <w:t>38</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"_Toc50221512" </w:instrText>
      </w:r>
      <w:r>
        <w:fldChar w:fldCharType="separate"/>
      </w:r>
      <w:r>
        <w:rPr>
          <w:rStyle w:val="46"/>
        </w:rPr>
        <w:t>4.3</w:t>
      </w:r>
      <w:r>
        <w:rPr>
          <w:rFonts w:eastAsiaTheme="minorEastAsia" w:cstheme="minorBidi"/>
          <w:bCs w:val="0"/>
          <w:smallCaps w:val="0"/>
          <w:kern w:val="2"/>
          <w:sz w:val="21"/>
        </w:rPr>
        <w:tab/>
      </w:r>
      <w:r>
        <w:rPr>
          <w:rStyle w:val="46"/>
          <w:rFonts w:hint="eastAsia"/>
        </w:rPr>
        <w:t>土壤流失量预测</w:t>
      </w:r>
      <w:r>
        <w:tab/>
      </w:r>
      <w:r>
        <w:fldChar w:fldCharType="begin"/>
      </w:r>
      <w:r>
        <w:instrText xml:space="preserve"> PAGEREF _Toc50221512 \h </w:instrText>
      </w:r>
      <w:r>
        <w:fldChar w:fldCharType="separate"/>
      </w:r>
      <w:r>
        <w:t>39</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"_Toc50221513" </w:instrText>
      </w:r>
      <w:r>
        <w:fldChar w:fldCharType="separate"/>
      </w:r>
      <w:r>
        <w:rPr>
          <w:rStyle w:val="46"/>
        </w:rPr>
        <w:t>4.4</w:t>
      </w:r>
      <w:r>
        <w:rPr>
          <w:rFonts w:eastAsiaTheme="minorEastAsia" w:cstheme="minorBidi"/>
          <w:bCs w:val="0"/>
          <w:smallCaps w:val="0"/>
          <w:kern w:val="2"/>
          <w:sz w:val="21"/>
        </w:rPr>
        <w:tab/>
      </w:r>
      <w:r>
        <w:rPr>
          <w:rStyle w:val="46"/>
          <w:rFonts w:hint="eastAsia"/>
        </w:rPr>
        <w:t>水土流失危害分析</w:t>
      </w:r>
      <w:r>
        <w:tab/>
      </w:r>
      <w:r>
        <w:fldChar w:fldCharType="begin"/>
      </w:r>
      <w:r>
        <w:instrText xml:space="preserve"> PAGEREF _Toc50221513 \h </w:instrText>
      </w:r>
      <w:r>
        <w:fldChar w:fldCharType="separate"/>
      </w:r>
      <w:r>
        <w:t>44</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"_Toc50221514" </w:instrText>
      </w:r>
      <w:r>
        <w:fldChar w:fldCharType="separate"/>
      </w:r>
      <w:r>
        <w:rPr>
          <w:rStyle w:val="46"/>
        </w:rPr>
        <w:t>4.5</w:t>
      </w:r>
      <w:r>
        <w:rPr>
          <w:rFonts w:eastAsiaTheme="minorEastAsia" w:cstheme="minorBidi"/>
          <w:bCs w:val="0"/>
          <w:smallCaps w:val="0"/>
          <w:kern w:val="2"/>
          <w:sz w:val="21"/>
        </w:rPr>
        <w:tab/>
      </w:r>
      <w:r>
        <w:rPr>
          <w:rStyle w:val="46"/>
          <w:rFonts w:hint="eastAsia"/>
        </w:rPr>
        <w:t>指导性意见</w:t>
      </w:r>
      <w:r>
        <w:tab/>
      </w:r>
      <w:r>
        <w:fldChar w:fldCharType="begin"/>
      </w:r>
      <w:r>
        <w:instrText xml:space="preserve"> PAGEREF _Toc50221514 \h </w:instrText>
      </w:r>
      <w:r>
        <w:fldChar w:fldCharType="separate"/>
      </w:r>
      <w:r>
        <w:t>45</w:t>
      </w:r>
      <w:r>
        <w:fldChar w:fldCharType="end"/>
      </w:r>
      <w:r>
        <w:fldChar w:fldCharType="end"/>
      </w:r>
    </w:p>
    <w:p>
      <w:pPr>
        <w:pStyle w:val="28"/>
        <w:tabs>
          <w:tab w:val="left" w:pos="422"/>
          <w:tab w:val="right" w:leader="dot" w:pos="8290"/>
        </w:tabs>
        <w:rPr>
          <w:rFonts w:eastAsiaTheme="minorEastAsia" w:cstheme="minorBidi"/>
          <w:b w:val="0"/>
          <w:bCs w:val="0"/>
          <w:caps w:val="0"/>
          <w:kern w:val="2"/>
          <w:sz w:val="21"/>
        </w:rPr>
      </w:pPr>
      <w:r>
        <w:fldChar w:fldCharType="begin"/>
      </w:r>
      <w:r>
        <w:instrText xml:space="preserve"> HYPERLINK \l "_Toc50221515" </w:instrText>
      </w:r>
      <w:r>
        <w:fldChar w:fldCharType="separate"/>
      </w:r>
      <w:r>
        <w:rPr>
          <w:rStyle w:val="46"/>
        </w:rPr>
        <w:t>5</w:t>
      </w:r>
      <w:r>
        <w:rPr>
          <w:rFonts w:eastAsiaTheme="minorEastAsia" w:cstheme="minorBidi"/>
          <w:b w:val="0"/>
          <w:bCs w:val="0"/>
          <w:caps w:val="0"/>
          <w:kern w:val="2"/>
          <w:sz w:val="21"/>
        </w:rPr>
        <w:tab/>
      </w:r>
      <w:r>
        <w:rPr>
          <w:rStyle w:val="46"/>
          <w:rFonts w:hint="eastAsia"/>
        </w:rPr>
        <w:t>水土保持措施</w:t>
      </w:r>
      <w:r>
        <w:tab/>
      </w:r>
      <w:r>
        <w:fldChar w:fldCharType="begin"/>
      </w:r>
      <w:r>
        <w:instrText xml:space="preserve"> PAGEREF _Toc50221515 \h </w:instrText>
      </w:r>
      <w:r>
        <w:fldChar w:fldCharType="separate"/>
      </w:r>
      <w:r>
        <w:t>47</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"_Toc50221516" </w:instrText>
      </w:r>
      <w:r>
        <w:fldChar w:fldCharType="separate"/>
      </w:r>
      <w:r>
        <w:rPr>
          <w:rStyle w:val="46"/>
        </w:rPr>
        <w:t>5.1</w:t>
      </w:r>
      <w:r>
        <w:rPr>
          <w:rFonts w:eastAsiaTheme="minorEastAsia" w:cstheme="minorBidi"/>
          <w:bCs w:val="0"/>
          <w:smallCaps w:val="0"/>
          <w:kern w:val="2"/>
          <w:sz w:val="21"/>
        </w:rPr>
        <w:tab/>
      </w:r>
      <w:r>
        <w:rPr>
          <w:rStyle w:val="46"/>
          <w:rFonts w:hint="eastAsia"/>
        </w:rPr>
        <w:t>防治区划分</w:t>
      </w:r>
      <w:r>
        <w:tab/>
      </w:r>
      <w:r>
        <w:fldChar w:fldCharType="begin"/>
      </w:r>
      <w:r>
        <w:instrText xml:space="preserve"> PAGEREF _Toc50221516 \h </w:instrText>
      </w:r>
      <w:r>
        <w:fldChar w:fldCharType="separate"/>
      </w:r>
      <w:r>
        <w:t>47</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"_Toc50221517" </w:instrText>
      </w:r>
      <w:r>
        <w:fldChar w:fldCharType="separate"/>
      </w:r>
      <w:r>
        <w:rPr>
          <w:rStyle w:val="46"/>
        </w:rPr>
        <w:t>5.2</w:t>
      </w:r>
      <w:r>
        <w:rPr>
          <w:rFonts w:eastAsiaTheme="minorEastAsia" w:cstheme="minorBidi"/>
          <w:bCs w:val="0"/>
          <w:smallCaps w:val="0"/>
          <w:kern w:val="2"/>
          <w:sz w:val="21"/>
        </w:rPr>
        <w:tab/>
      </w:r>
      <w:r>
        <w:rPr>
          <w:rStyle w:val="46"/>
          <w:rFonts w:hint="eastAsia"/>
        </w:rPr>
        <w:t>措施总体布局</w:t>
      </w:r>
      <w:r>
        <w:tab/>
      </w:r>
      <w:r>
        <w:fldChar w:fldCharType="begin"/>
      </w:r>
      <w:r>
        <w:instrText xml:space="preserve"> PAGEREF _Toc50221517 \h </w:instrText>
      </w:r>
      <w:r>
        <w:fldChar w:fldCharType="separate"/>
      </w:r>
      <w:r>
        <w:t>48</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"_Toc50221518" </w:instrText>
      </w:r>
      <w:r>
        <w:fldChar w:fldCharType="separate"/>
      </w:r>
      <w:r>
        <w:rPr>
          <w:rStyle w:val="46"/>
        </w:rPr>
        <w:t>5.3</w:t>
      </w:r>
      <w:r>
        <w:rPr>
          <w:rFonts w:eastAsiaTheme="minorEastAsia" w:cstheme="minorBidi"/>
          <w:bCs w:val="0"/>
          <w:smallCaps w:val="0"/>
          <w:kern w:val="2"/>
          <w:sz w:val="21"/>
        </w:rPr>
        <w:tab/>
      </w:r>
      <w:r>
        <w:rPr>
          <w:rStyle w:val="46"/>
          <w:rFonts w:hint="eastAsia"/>
        </w:rPr>
        <w:t>分区措施布设</w:t>
      </w:r>
      <w:r>
        <w:tab/>
      </w:r>
      <w:r>
        <w:fldChar w:fldCharType="begin"/>
      </w:r>
      <w:r>
        <w:instrText xml:space="preserve"> PAGEREF _Toc50221518 \h </w:instrText>
      </w:r>
      <w:r>
        <w:fldChar w:fldCharType="separate"/>
      </w:r>
      <w:r>
        <w:t>50</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"_Toc50221519" </w:instrText>
      </w:r>
      <w:r>
        <w:fldChar w:fldCharType="separate"/>
      </w:r>
      <w:r>
        <w:rPr>
          <w:rStyle w:val="46"/>
        </w:rPr>
        <w:t>5.4</w:t>
      </w:r>
      <w:r>
        <w:rPr>
          <w:rFonts w:eastAsiaTheme="minorEastAsia" w:cstheme="minorBidi"/>
          <w:bCs w:val="0"/>
          <w:smallCaps w:val="0"/>
          <w:kern w:val="2"/>
          <w:sz w:val="21"/>
        </w:rPr>
        <w:tab/>
      </w:r>
      <w:r>
        <w:rPr>
          <w:rStyle w:val="46"/>
          <w:rFonts w:hint="eastAsia"/>
        </w:rPr>
        <w:t>施工要求</w:t>
      </w:r>
      <w:r>
        <w:tab/>
      </w:r>
      <w:r>
        <w:fldChar w:fldCharType="begin"/>
      </w:r>
      <w:r>
        <w:instrText xml:space="preserve"> PAGEREF _Toc50221519 \h </w:instrText>
      </w:r>
      <w:r>
        <w:fldChar w:fldCharType="separate"/>
      </w:r>
      <w:r>
        <w:t>52</w:t>
      </w:r>
      <w:r>
        <w:fldChar w:fldCharType="end"/>
      </w:r>
      <w:r>
        <w:fldChar w:fldCharType="end"/>
      </w:r>
    </w:p>
    <w:p>
      <w:pPr>
        <w:pStyle w:val="28"/>
        <w:tabs>
          <w:tab w:val="left" w:pos="422"/>
          <w:tab w:val="right" w:leader="dot" w:pos="8290"/>
        </w:tabs>
        <w:rPr>
          <w:rFonts w:eastAsiaTheme="minorEastAsia" w:cstheme="minorBidi"/>
          <w:b w:val="0"/>
          <w:bCs w:val="0"/>
          <w:caps w:val="0"/>
          <w:kern w:val="2"/>
          <w:sz w:val="21"/>
        </w:rPr>
      </w:pPr>
      <w:r>
        <w:fldChar w:fldCharType="begin"/>
      </w:r>
      <w:r>
        <w:instrText xml:space="preserve"> HYPERLINK \l "_Toc50221520" </w:instrText>
      </w:r>
      <w:r>
        <w:fldChar w:fldCharType="separate"/>
      </w:r>
      <w:r>
        <w:rPr>
          <w:rStyle w:val="46"/>
        </w:rPr>
        <w:t>6</w:t>
      </w:r>
      <w:r>
        <w:rPr>
          <w:rFonts w:eastAsiaTheme="minorEastAsia" w:cstheme="minorBidi"/>
          <w:b w:val="0"/>
          <w:bCs w:val="0"/>
          <w:caps w:val="0"/>
          <w:kern w:val="2"/>
          <w:sz w:val="21"/>
        </w:rPr>
        <w:tab/>
      </w:r>
      <w:r>
        <w:rPr>
          <w:rStyle w:val="46"/>
          <w:rFonts w:hint="eastAsia"/>
        </w:rPr>
        <w:t>水土保持监测</w:t>
      </w:r>
      <w:r>
        <w:tab/>
      </w:r>
      <w:r>
        <w:fldChar w:fldCharType="begin"/>
      </w:r>
      <w:r>
        <w:instrText xml:space="preserve"> PAGEREF _Toc50221520 \h </w:instrText>
      </w:r>
      <w:r>
        <w:fldChar w:fldCharType="separate"/>
      </w:r>
      <w:r>
        <w:t>56</w:t>
      </w:r>
      <w:r>
        <w:fldChar w:fldCharType="end"/>
      </w:r>
      <w:r>
        <w:fldChar w:fldCharType="end"/>
      </w:r>
    </w:p>
    <w:p>
      <w:pPr>
        <w:pStyle w:val="28"/>
        <w:tabs>
          <w:tab w:val="left" w:pos="422"/>
          <w:tab w:val="right" w:leader="dot" w:pos="8290"/>
        </w:tabs>
        <w:rPr>
          <w:rFonts w:eastAsiaTheme="minorEastAsia" w:cstheme="minorBidi"/>
          <w:b w:val="0"/>
          <w:bCs w:val="0"/>
          <w:caps w:val="0"/>
          <w:kern w:val="2"/>
          <w:sz w:val="21"/>
        </w:rPr>
      </w:pPr>
      <w:r>
        <w:fldChar w:fldCharType="begin"/>
      </w:r>
      <w:r>
        <w:instrText xml:space="preserve"> HYPERLINK \l "_Toc50221521" </w:instrText>
      </w:r>
      <w:r>
        <w:fldChar w:fldCharType="separate"/>
      </w:r>
      <w:r>
        <w:rPr>
          <w:rStyle w:val="46"/>
        </w:rPr>
        <w:t>7</w:t>
      </w:r>
      <w:r>
        <w:rPr>
          <w:rFonts w:eastAsiaTheme="minorEastAsia" w:cstheme="minorBidi"/>
          <w:b w:val="0"/>
          <w:bCs w:val="0"/>
          <w:caps w:val="0"/>
          <w:kern w:val="2"/>
          <w:sz w:val="21"/>
        </w:rPr>
        <w:tab/>
      </w:r>
      <w:r>
        <w:rPr>
          <w:rStyle w:val="46"/>
          <w:rFonts w:hint="eastAsia"/>
        </w:rPr>
        <w:t>水土保持投资估算及效益分析</w:t>
      </w:r>
      <w:r>
        <w:tab/>
      </w:r>
      <w:r>
        <w:fldChar w:fldCharType="begin"/>
      </w:r>
      <w:r>
        <w:instrText xml:space="preserve"> PAGEREF _Toc50221521 \h </w:instrText>
      </w:r>
      <w:r>
        <w:fldChar w:fldCharType="separate"/>
      </w:r>
      <w:r>
        <w:t>57</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"_Toc50221522" </w:instrText>
      </w:r>
      <w:r>
        <w:fldChar w:fldCharType="separate"/>
      </w:r>
      <w:r>
        <w:rPr>
          <w:rStyle w:val="46"/>
        </w:rPr>
        <w:t>7.1</w:t>
      </w:r>
      <w:r>
        <w:rPr>
          <w:rFonts w:eastAsiaTheme="minorEastAsia" w:cstheme="minorBidi"/>
          <w:bCs w:val="0"/>
          <w:smallCaps w:val="0"/>
          <w:kern w:val="2"/>
          <w:sz w:val="21"/>
        </w:rPr>
        <w:tab/>
      </w:r>
      <w:r>
        <w:rPr>
          <w:rStyle w:val="46"/>
          <w:rFonts w:hint="eastAsia"/>
        </w:rPr>
        <w:t>投资估算</w:t>
      </w:r>
      <w:r>
        <w:tab/>
      </w:r>
      <w:r>
        <w:fldChar w:fldCharType="begin"/>
      </w:r>
      <w:r>
        <w:instrText xml:space="preserve"> PAGEREF _Toc50221522 \h </w:instrText>
      </w:r>
      <w:r>
        <w:fldChar w:fldCharType="separate"/>
      </w:r>
      <w:r>
        <w:t>57</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"_Toc50221523" </w:instrText>
      </w:r>
      <w:r>
        <w:fldChar w:fldCharType="separate"/>
      </w:r>
      <w:r>
        <w:rPr>
          <w:rStyle w:val="46"/>
        </w:rPr>
        <w:t>7.2</w:t>
      </w:r>
      <w:r>
        <w:rPr>
          <w:rFonts w:eastAsiaTheme="minorEastAsia" w:cstheme="minorBidi"/>
          <w:bCs w:val="0"/>
          <w:smallCaps w:val="0"/>
          <w:kern w:val="2"/>
          <w:sz w:val="21"/>
        </w:rPr>
        <w:tab/>
      </w:r>
      <w:r>
        <w:rPr>
          <w:rStyle w:val="46"/>
          <w:rFonts w:hint="eastAsia"/>
        </w:rPr>
        <w:t>效益分析</w:t>
      </w:r>
      <w:r>
        <w:tab/>
      </w:r>
      <w:r>
        <w:fldChar w:fldCharType="begin"/>
      </w:r>
      <w:r>
        <w:instrText xml:space="preserve"> PAGEREF _Toc50221523 \h </w:instrText>
      </w:r>
      <w:r>
        <w:fldChar w:fldCharType="separate"/>
      </w:r>
      <w:r>
        <w:t>65</w:t>
      </w:r>
      <w:r>
        <w:fldChar w:fldCharType="end"/>
      </w:r>
      <w:r>
        <w:fldChar w:fldCharType="end"/>
      </w:r>
    </w:p>
    <w:p>
      <w:pPr>
        <w:pStyle w:val="28"/>
        <w:tabs>
          <w:tab w:val="left" w:pos="422"/>
          <w:tab w:val="right" w:leader="dot" w:pos="8290"/>
        </w:tabs>
        <w:rPr>
          <w:rFonts w:eastAsiaTheme="minorEastAsia" w:cstheme="minorBidi"/>
          <w:b w:val="0"/>
          <w:bCs w:val="0"/>
          <w:caps w:val="0"/>
          <w:kern w:val="2"/>
          <w:sz w:val="21"/>
        </w:rPr>
      </w:pPr>
      <w:r>
        <w:fldChar w:fldCharType="begin"/>
      </w:r>
      <w:r>
        <w:instrText xml:space="preserve"> HYPERLINK \l "_Toc50221524" </w:instrText>
      </w:r>
      <w:r>
        <w:fldChar w:fldCharType="separate"/>
      </w:r>
      <w:r>
        <w:rPr>
          <w:rStyle w:val="46"/>
        </w:rPr>
        <w:t>8</w:t>
      </w:r>
      <w:r>
        <w:rPr>
          <w:rFonts w:eastAsiaTheme="minorEastAsia" w:cstheme="minorBidi"/>
          <w:b w:val="0"/>
          <w:bCs w:val="0"/>
          <w:caps w:val="0"/>
          <w:kern w:val="2"/>
          <w:sz w:val="21"/>
        </w:rPr>
        <w:tab/>
      </w:r>
      <w:r>
        <w:rPr>
          <w:rStyle w:val="46"/>
          <w:rFonts w:hint="eastAsia"/>
        </w:rPr>
        <w:t>水土保持管理</w:t>
      </w:r>
      <w:r>
        <w:tab/>
      </w:r>
      <w:r>
        <w:fldChar w:fldCharType="begin"/>
      </w:r>
      <w:r>
        <w:instrText xml:space="preserve"> PAGEREF _Toc50221524 \h </w:instrText>
      </w:r>
      <w:r>
        <w:fldChar w:fldCharType="separate"/>
      </w:r>
      <w:r>
        <w:t>68</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"_Toc50221525" </w:instrText>
      </w:r>
      <w:r>
        <w:fldChar w:fldCharType="separate"/>
      </w:r>
      <w:r>
        <w:rPr>
          <w:rStyle w:val="46"/>
        </w:rPr>
        <w:t>8.1</w:t>
      </w:r>
      <w:r>
        <w:rPr>
          <w:rFonts w:eastAsiaTheme="minorEastAsia" w:cstheme="minorBidi"/>
          <w:bCs w:val="0"/>
          <w:smallCaps w:val="0"/>
          <w:kern w:val="2"/>
          <w:sz w:val="21"/>
        </w:rPr>
        <w:tab/>
      </w:r>
      <w:r>
        <w:rPr>
          <w:rStyle w:val="46"/>
          <w:rFonts w:hint="eastAsia"/>
        </w:rPr>
        <w:t>组织管理</w:t>
      </w:r>
      <w:r>
        <w:tab/>
      </w:r>
      <w:r>
        <w:fldChar w:fldCharType="begin"/>
      </w:r>
      <w:r>
        <w:instrText xml:space="preserve"> PAGEREF _Toc50221525 \h </w:instrText>
      </w:r>
      <w:r>
        <w:fldChar w:fldCharType="separate"/>
      </w:r>
      <w:r>
        <w:t>68</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"_Toc50221526" </w:instrText>
      </w:r>
      <w:r>
        <w:fldChar w:fldCharType="separate"/>
      </w:r>
      <w:r>
        <w:rPr>
          <w:rStyle w:val="46"/>
        </w:rPr>
        <w:t>8.2</w:t>
      </w:r>
      <w:r>
        <w:rPr>
          <w:rFonts w:eastAsiaTheme="minorEastAsia" w:cstheme="minorBidi"/>
          <w:bCs w:val="0"/>
          <w:smallCaps w:val="0"/>
          <w:kern w:val="2"/>
          <w:sz w:val="21"/>
        </w:rPr>
        <w:tab/>
      </w:r>
      <w:r>
        <w:rPr>
          <w:rStyle w:val="46"/>
          <w:rFonts w:hint="eastAsia"/>
        </w:rPr>
        <w:t>后续设计</w:t>
      </w:r>
      <w:r>
        <w:tab/>
      </w:r>
      <w:r>
        <w:fldChar w:fldCharType="begin"/>
      </w:r>
      <w:r>
        <w:instrText xml:space="preserve"> PAGEREF _Toc50221526 \h </w:instrText>
      </w:r>
      <w:r>
        <w:fldChar w:fldCharType="separate"/>
      </w:r>
      <w:r>
        <w:t>69</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"_Toc50221527" </w:instrText>
      </w:r>
      <w:r>
        <w:fldChar w:fldCharType="separate"/>
      </w:r>
      <w:r>
        <w:rPr>
          <w:rStyle w:val="46"/>
        </w:rPr>
        <w:t>8.3</w:t>
      </w:r>
      <w:r>
        <w:rPr>
          <w:rFonts w:eastAsiaTheme="minorEastAsia" w:cstheme="minorBidi"/>
          <w:bCs w:val="0"/>
          <w:smallCaps w:val="0"/>
          <w:kern w:val="2"/>
          <w:sz w:val="21"/>
        </w:rPr>
        <w:tab/>
      </w:r>
      <w:r>
        <w:rPr>
          <w:rStyle w:val="46"/>
          <w:rFonts w:hint="eastAsia"/>
        </w:rPr>
        <w:t>水土保持监测</w:t>
      </w:r>
      <w:r>
        <w:tab/>
      </w:r>
      <w:r>
        <w:fldChar w:fldCharType="begin"/>
      </w:r>
      <w:r>
        <w:instrText xml:space="preserve"> PAGEREF _Toc50221527 \h </w:instrText>
      </w:r>
      <w:r>
        <w:fldChar w:fldCharType="separate"/>
      </w:r>
      <w:r>
        <w:t>69</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"_Toc50221528" </w:instrText>
      </w:r>
      <w:r>
        <w:fldChar w:fldCharType="separate"/>
      </w:r>
      <w:r>
        <w:rPr>
          <w:rStyle w:val="46"/>
        </w:rPr>
        <w:t>8.4</w:t>
      </w:r>
      <w:r>
        <w:rPr>
          <w:rFonts w:eastAsiaTheme="minorEastAsia" w:cstheme="minorBidi"/>
          <w:bCs w:val="0"/>
          <w:smallCaps w:val="0"/>
          <w:kern w:val="2"/>
          <w:sz w:val="21"/>
        </w:rPr>
        <w:tab/>
      </w:r>
      <w:r>
        <w:rPr>
          <w:rStyle w:val="46"/>
          <w:rFonts w:hint="eastAsia"/>
        </w:rPr>
        <w:t>水土保持监理</w:t>
      </w:r>
      <w:r>
        <w:tab/>
      </w:r>
      <w:r>
        <w:fldChar w:fldCharType="begin"/>
      </w:r>
      <w:r>
        <w:instrText xml:space="preserve"> PAGEREF _Toc50221528 \h </w:instrText>
      </w:r>
      <w:r>
        <w:fldChar w:fldCharType="separate"/>
      </w:r>
      <w:r>
        <w:t>69</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"_Toc50221529" </w:instrText>
      </w:r>
      <w:r>
        <w:fldChar w:fldCharType="separate"/>
      </w:r>
      <w:r>
        <w:rPr>
          <w:rStyle w:val="46"/>
        </w:rPr>
        <w:t>8.5</w:t>
      </w:r>
      <w:r>
        <w:rPr>
          <w:rFonts w:eastAsiaTheme="minorEastAsia" w:cstheme="minorBidi"/>
          <w:bCs w:val="0"/>
          <w:smallCaps w:val="0"/>
          <w:kern w:val="2"/>
          <w:sz w:val="21"/>
        </w:rPr>
        <w:tab/>
      </w:r>
      <w:r>
        <w:rPr>
          <w:rStyle w:val="46"/>
          <w:rFonts w:hint="eastAsia"/>
        </w:rPr>
        <w:t>水土保持施工</w:t>
      </w:r>
      <w:r>
        <w:tab/>
      </w:r>
      <w:r>
        <w:fldChar w:fldCharType="begin"/>
      </w:r>
      <w:r>
        <w:instrText xml:space="preserve"> PAGEREF _Toc50221529 \h </w:instrText>
      </w:r>
      <w:r>
        <w:fldChar w:fldCharType="separate"/>
      </w:r>
      <w:r>
        <w:t>70</w:t>
      </w:r>
      <w:r>
        <w:fldChar w:fldCharType="end"/>
      </w:r>
      <w: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"_Toc50221530" </w:instrText>
      </w:r>
      <w:r>
        <w:fldChar w:fldCharType="separate"/>
      </w:r>
      <w:r>
        <w:rPr>
          <w:rStyle w:val="46"/>
        </w:rPr>
        <w:t>8.6</w:t>
      </w:r>
      <w:r>
        <w:rPr>
          <w:rFonts w:eastAsiaTheme="minorEastAsia" w:cstheme="minorBidi"/>
          <w:bCs w:val="0"/>
          <w:smallCaps w:val="0"/>
          <w:kern w:val="2"/>
          <w:sz w:val="21"/>
        </w:rPr>
        <w:tab/>
      </w:r>
      <w:r>
        <w:rPr>
          <w:rStyle w:val="46"/>
          <w:rFonts w:hint="eastAsia"/>
        </w:rPr>
        <w:t>水土保持设施验收</w:t>
      </w:r>
      <w:r>
        <w:tab/>
      </w:r>
      <w:r>
        <w:fldChar w:fldCharType="begin"/>
      </w:r>
      <w:r>
        <w:instrText xml:space="preserve"> PAGEREF _Toc50221530 \h </w:instrText>
      </w:r>
      <w:r>
        <w:fldChar w:fldCharType="separate"/>
      </w:r>
      <w:r>
        <w:t>70</w:t>
      </w:r>
      <w:r>
        <w:fldChar w:fldCharType="end"/>
      </w:r>
      <w:r>
        <w:fldChar w:fldCharType="end"/>
      </w:r>
    </w:p>
    <w:p>
      <w:pPr>
        <w:ind w:firstLine="0" w:firstLineChars="0"/>
        <w:rPr>
          <w:rFonts w:eastAsia="仿宋_GB2312"/>
          <w:b/>
          <w:sz w:val="28"/>
        </w:rPr>
        <w:sectPr>
          <w:headerReference r:id="rId7" w:type="default"/>
          <w:footerReference r:id="rId8" w:type="default"/>
          <w:footerReference r:id="rId9" w:type="even"/>
          <w:pgSz w:w="11906" w:h="16838"/>
          <w:pgMar w:top="1440" w:right="1803" w:bottom="1440" w:left="1803" w:header="851" w:footer="1077" w:gutter="0"/>
          <w:pgNumType w:fmt="lowerRoman" w:start="1"/>
          <w:cols w:space="720" w:num="1"/>
          <w:docGrid w:linePitch="326" w:charSpace="0"/>
        </w:sectPr>
      </w:pPr>
      <w:r>
        <w:rPr>
          <w:rFonts w:eastAsia="仿宋_GB2312"/>
          <w:b/>
          <w:sz w:val="28"/>
        </w:rPr>
        <w:fldChar w:fldCharType="end"/>
      </w:r>
    </w:p>
    <w:p>
      <w:pPr>
        <w:ind w:firstLine="0" w:firstLineChars="0"/>
        <w:rPr>
          <w:rFonts w:eastAsia="仿宋_GB2312"/>
          <w:b/>
          <w:sz w:val="28"/>
          <w:szCs w:val="28"/>
        </w:rPr>
      </w:pPr>
      <w:r>
        <w:rPr>
          <w:rFonts w:eastAsia="仿宋_GB2312"/>
          <w:b/>
          <w:sz w:val="28"/>
          <w:szCs w:val="28"/>
        </w:rPr>
        <w:t>附</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rFonts w:eastAsia="仿宋_GB2312"/>
          <w:b/>
          <w:sz w:val="28"/>
          <w:szCs w:val="28"/>
        </w:rPr>
        <w:t>表：</w:t>
      </w:r>
    </w:p>
    <w:p>
      <w:pPr>
        <w:pStyle w:val="148"/>
        <w:ind w:left="480" w:firstLine="0" w:firstLineChars="0"/>
        <w:rPr>
          <w:rFonts w:eastAsia="仿宋_GB2312"/>
          <w:szCs w:val="28"/>
        </w:rPr>
      </w:pPr>
      <w:r>
        <w:rPr>
          <w:rFonts w:hint="eastAsia" w:eastAsia="仿宋_GB2312"/>
          <w:szCs w:val="28"/>
        </w:rPr>
        <w:t>单价分析</w:t>
      </w:r>
      <w:r>
        <w:rPr>
          <w:rFonts w:eastAsia="仿宋_GB2312"/>
          <w:szCs w:val="28"/>
        </w:rPr>
        <w:t>表</w:t>
      </w:r>
    </w:p>
    <w:p>
      <w:pPr>
        <w:pStyle w:val="148"/>
        <w:ind w:left="480" w:firstLine="0" w:firstLineChars="0"/>
        <w:rPr>
          <w:rFonts w:eastAsia="仿宋_GB2312"/>
          <w:szCs w:val="28"/>
        </w:rPr>
      </w:pPr>
    </w:p>
    <w:p>
      <w:pPr>
        <w:ind w:firstLine="0" w:firstLineChars="0"/>
        <w:rPr>
          <w:rFonts w:eastAsia="仿宋_GB2312"/>
          <w:b/>
          <w:sz w:val="28"/>
          <w:szCs w:val="28"/>
        </w:rPr>
      </w:pPr>
      <w:r>
        <w:rPr>
          <w:rFonts w:eastAsia="仿宋_GB2312"/>
          <w:b/>
          <w:sz w:val="28"/>
          <w:szCs w:val="28"/>
        </w:rPr>
        <w:t>附件：</w:t>
      </w:r>
    </w:p>
    <w:p>
      <w:pPr>
        <w:pStyle w:val="148"/>
        <w:ind w:left="480" w:firstLine="0" w:firstLineChars="0"/>
        <w:rPr>
          <w:rFonts w:eastAsia="仿宋_GB2312"/>
          <w:szCs w:val="28"/>
        </w:rPr>
      </w:pPr>
      <w:r>
        <w:rPr>
          <w:rFonts w:eastAsia="仿宋_GB2312"/>
          <w:szCs w:val="28"/>
        </w:rPr>
        <w:t>附件1 水土保持方案编制委托书</w:t>
      </w:r>
      <w:r>
        <w:rPr>
          <w:rFonts w:hint="eastAsia" w:eastAsia="仿宋_GB2312"/>
          <w:szCs w:val="28"/>
        </w:rPr>
        <w:t>；</w:t>
      </w:r>
    </w:p>
    <w:p>
      <w:pPr>
        <w:pStyle w:val="148"/>
        <w:ind w:left="1460" w:leftChars="200" w:hanging="980" w:hangingChars="350"/>
        <w:rPr>
          <w:rFonts w:eastAsia="仿宋_GB2312"/>
          <w:szCs w:val="28"/>
        </w:rPr>
      </w:pPr>
      <w:r>
        <w:rPr>
          <w:rFonts w:hint="eastAsia" w:eastAsia="仿宋_GB2312"/>
          <w:szCs w:val="28"/>
        </w:rPr>
        <w:t>附件2 关于第十四师224团团部污水管网改造项目初步设计（代可研）的批复。</w:t>
      </w:r>
    </w:p>
    <w:p>
      <w:pPr>
        <w:pStyle w:val="176"/>
        <w:ind w:firstLine="0" w:firstLineChars="0"/>
        <w:rPr>
          <w:rFonts w:cs="Times New Roman"/>
          <w:sz w:val="28"/>
        </w:rPr>
      </w:pPr>
    </w:p>
    <w:p>
      <w:pPr>
        <w:ind w:firstLine="0" w:firstLineChars="0"/>
        <w:rPr>
          <w:rFonts w:eastAsia="仿宋_GB2312"/>
          <w:b/>
          <w:sz w:val="28"/>
          <w:szCs w:val="28"/>
        </w:rPr>
      </w:pPr>
      <w:r>
        <w:rPr>
          <w:rFonts w:eastAsia="仿宋_GB2312"/>
          <w:b/>
          <w:sz w:val="28"/>
          <w:szCs w:val="28"/>
        </w:rPr>
        <w:t>附图：</w:t>
      </w:r>
    </w:p>
    <w:p>
      <w:pPr>
        <w:pStyle w:val="148"/>
        <w:ind w:left="480" w:firstLine="0" w:firstLineChars="0"/>
        <w:rPr>
          <w:rFonts w:eastAsia="仿宋_GB2312"/>
          <w:szCs w:val="28"/>
        </w:rPr>
      </w:pPr>
      <w:r>
        <w:rPr>
          <w:rFonts w:eastAsia="仿宋_GB2312"/>
          <w:szCs w:val="28"/>
        </w:rPr>
        <w:t>附图1 项目区地理位置图</w:t>
      </w:r>
    </w:p>
    <w:p>
      <w:pPr>
        <w:pStyle w:val="148"/>
        <w:ind w:left="480" w:firstLine="0" w:firstLineChars="0"/>
        <w:rPr>
          <w:rFonts w:eastAsia="仿宋_GB2312"/>
          <w:szCs w:val="28"/>
        </w:rPr>
      </w:pPr>
      <w:r>
        <w:rPr>
          <w:rFonts w:eastAsia="仿宋_GB2312"/>
          <w:szCs w:val="28"/>
        </w:rPr>
        <w:t>附图2 项目区水系图</w:t>
      </w:r>
    </w:p>
    <w:p>
      <w:pPr>
        <w:pStyle w:val="148"/>
        <w:ind w:left="480" w:firstLine="0" w:firstLineChars="0"/>
        <w:rPr>
          <w:rFonts w:eastAsia="仿宋_GB2312"/>
          <w:szCs w:val="28"/>
        </w:rPr>
      </w:pPr>
      <w:r>
        <w:rPr>
          <w:rFonts w:eastAsia="仿宋_GB2312"/>
          <w:szCs w:val="28"/>
        </w:rPr>
        <w:t>附图3 项目区土壤侵蚀强度分布图</w:t>
      </w:r>
    </w:p>
    <w:p>
      <w:pPr>
        <w:pStyle w:val="148"/>
        <w:ind w:left="480" w:firstLine="0" w:firstLineChars="0"/>
        <w:rPr>
          <w:rFonts w:eastAsia="仿宋_GB2312"/>
          <w:szCs w:val="28"/>
        </w:rPr>
      </w:pPr>
      <w:r>
        <w:rPr>
          <w:rFonts w:eastAsia="仿宋_GB2312"/>
          <w:szCs w:val="28"/>
        </w:rPr>
        <w:t>附图4 项目总体布置图</w:t>
      </w:r>
    </w:p>
    <w:p>
      <w:pPr>
        <w:pStyle w:val="148"/>
        <w:ind w:left="480" w:firstLine="0" w:firstLineChars="0"/>
        <w:rPr>
          <w:rFonts w:eastAsia="仿宋_GB2312"/>
          <w:szCs w:val="28"/>
        </w:rPr>
      </w:pPr>
      <w:r>
        <w:rPr>
          <w:rFonts w:eastAsia="仿宋_GB2312"/>
          <w:szCs w:val="28"/>
        </w:rPr>
        <w:t>附图5 分区防治措施总体布局图</w:t>
      </w:r>
    </w:p>
    <w:p>
      <w:pPr>
        <w:pStyle w:val="148"/>
        <w:ind w:left="480" w:firstLine="0" w:firstLineChars="0"/>
        <w:rPr>
          <w:rFonts w:eastAsia="仿宋_GB2312"/>
          <w:szCs w:val="28"/>
        </w:rPr>
      </w:pPr>
      <w:r>
        <w:rPr>
          <w:rFonts w:eastAsia="仿宋_GB2312"/>
          <w:szCs w:val="28"/>
        </w:rPr>
        <w:t>附图6防尘网苫盖典型设计图</w:t>
      </w:r>
    </w:p>
    <w:p>
      <w:pPr>
        <w:pStyle w:val="148"/>
        <w:ind w:left="480" w:firstLine="0" w:firstLineChars="0"/>
        <w:rPr>
          <w:rFonts w:eastAsia="仿宋_GB2312"/>
          <w:szCs w:val="28"/>
        </w:rPr>
      </w:pPr>
      <w:r>
        <w:rPr>
          <w:rFonts w:hint="eastAsia" w:eastAsia="仿宋_GB2312"/>
          <w:szCs w:val="28"/>
        </w:rPr>
        <w:t>附图7 彩条旗限界典型设计图</w:t>
      </w:r>
    </w:p>
    <w:p>
      <w:pPr>
        <w:pStyle w:val="148"/>
        <w:ind w:left="480" w:firstLine="0" w:firstLineChars="0"/>
        <w:rPr>
          <w:rFonts w:eastAsia="仿宋_GB2312"/>
          <w:szCs w:val="28"/>
        </w:rPr>
      </w:pPr>
      <w:r>
        <w:rPr>
          <w:rFonts w:hint="eastAsia" w:eastAsia="仿宋_GB2312"/>
          <w:szCs w:val="28"/>
        </w:rPr>
        <w:t>附图8 宣传牌典型设计图</w:t>
      </w:r>
    </w:p>
    <w:p>
      <w:pPr>
        <w:pStyle w:val="148"/>
        <w:ind w:left="480" w:firstLine="0" w:firstLineChars="0"/>
        <w:rPr>
          <w:rFonts w:eastAsia="仿宋_GB2312"/>
          <w:szCs w:val="28"/>
        </w:rPr>
      </w:pPr>
    </w:p>
    <w:p>
      <w:pPr>
        <w:ind w:firstLine="480" w:firstLineChars="0"/>
        <w:rPr>
          <w:highlight w:val="yellow"/>
        </w:rPr>
      </w:pPr>
    </w:p>
    <w:p>
      <w:pPr>
        <w:ind w:firstLine="480" w:firstLineChars="0"/>
        <w:rPr>
          <w:highlight w:val="yellow"/>
        </w:rPr>
      </w:pPr>
    </w:p>
    <w:p>
      <w:pPr>
        <w:ind w:firstLine="480"/>
        <w:sectPr>
          <w:pgSz w:w="11906" w:h="16838"/>
          <w:pgMar w:top="1440" w:right="1800" w:bottom="1440" w:left="1800" w:header="851" w:footer="992" w:gutter="0"/>
          <w:pgNumType w:fmt="lowerRoman"/>
          <w:cols w:space="720" w:num="1"/>
          <w:docGrid w:linePitch="326" w:charSpace="0"/>
        </w:sectPr>
      </w:pPr>
      <w:bookmarkStart w:id="383" w:name="_GoBack"/>
      <w:bookmarkEnd w:id="383"/>
    </w:p>
    <w:p>
      <w:pPr>
        <w:ind w:left="0" w:leftChars="0" w:firstLine="0" w:firstLineChars="0"/>
        <w:sectPr>
          <w:pgSz w:w="11906" w:h="16838"/>
          <w:pgMar w:top="1440" w:right="1800" w:bottom="1440" w:left="1800" w:header="851" w:footer="992" w:gutter="0"/>
          <w:pgNumType w:fmt="lowerRoman"/>
          <w:cols w:space="720" w:num="1"/>
          <w:docGrid w:linePitch="326" w:charSpace="0"/>
        </w:sectPr>
      </w:pPr>
    </w:p>
    <w:p>
      <w:pPr>
        <w:pStyle w:val="50"/>
        <w:widowControl/>
        <w:numPr>
          <w:ilvl w:val="0"/>
          <w:numId w:val="1"/>
        </w:numPr>
        <w:tabs>
          <w:tab w:val="clear" w:pos="432"/>
        </w:tabs>
        <w:spacing w:beforeLines="100" w:afterLines="100"/>
        <w:rPr>
          <w:rFonts w:eastAsia="仿宋_GB2312"/>
          <w:sz w:val="32"/>
          <w:szCs w:val="32"/>
        </w:rPr>
      </w:pPr>
      <w:bookmarkStart w:id="26" w:name="_Toc7801375"/>
      <w:bookmarkStart w:id="27" w:name="_Toc211401477"/>
      <w:bookmarkStart w:id="28" w:name="_Toc255304477"/>
      <w:bookmarkStart w:id="29" w:name="_Toc50221485"/>
      <w:bookmarkStart w:id="30" w:name="_Toc7801535"/>
      <w:bookmarkStart w:id="31" w:name="_Toc7801442"/>
      <w:r>
        <w:rPr>
          <w:rFonts w:eastAsia="仿宋_GB2312"/>
          <w:sz w:val="32"/>
          <w:szCs w:val="32"/>
        </w:rPr>
        <w:t>综合说明</w:t>
      </w:r>
      <w:bookmarkEnd w:id="26"/>
      <w:bookmarkEnd w:id="27"/>
      <w:bookmarkEnd w:id="28"/>
      <w:bookmarkEnd w:id="29"/>
      <w:bookmarkEnd w:id="30"/>
      <w:bookmarkEnd w:id="31"/>
    </w:p>
    <w:p>
      <w:pPr>
        <w:pStyle w:val="3"/>
        <w:widowControl/>
        <w:numPr>
          <w:ilvl w:val="1"/>
          <w:numId w:val="1"/>
        </w:numPr>
        <w:tabs>
          <w:tab w:val="clear" w:pos="1002"/>
        </w:tabs>
        <w:topLinePunct w:val="0"/>
        <w:adjustRightInd/>
        <w:snapToGrid/>
        <w:ind w:left="0" w:firstLine="0"/>
        <w:jc w:val="both"/>
        <w:rPr>
          <w:rFonts w:eastAsia="仿宋_GB2312"/>
        </w:rPr>
      </w:pPr>
      <w:bookmarkStart w:id="32" w:name="_Toc394051111"/>
      <w:bookmarkStart w:id="33" w:name="_Toc7801376"/>
      <w:bookmarkStart w:id="34" w:name="_Toc7801536"/>
      <w:bookmarkStart w:id="35" w:name="_Toc7801443"/>
      <w:bookmarkStart w:id="36" w:name="_Toc50221486"/>
      <w:r>
        <w:rPr>
          <w:rFonts w:eastAsia="仿宋_GB2312"/>
        </w:rPr>
        <w:t>项目简况</w:t>
      </w:r>
      <w:bookmarkEnd w:id="32"/>
      <w:bookmarkEnd w:id="33"/>
      <w:bookmarkEnd w:id="34"/>
      <w:bookmarkEnd w:id="35"/>
      <w:bookmarkEnd w:id="36"/>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bookmarkStart w:id="37" w:name="_Toc182194758"/>
      <w:bookmarkStart w:id="38" w:name="_Toc188242305"/>
      <w:bookmarkStart w:id="39" w:name="_Toc184022973"/>
      <w:bookmarkStart w:id="40" w:name="_Toc181680709"/>
      <w:bookmarkStart w:id="41" w:name="_Toc255304480"/>
      <w:bookmarkStart w:id="42" w:name="_Toc237169817"/>
      <w:bookmarkStart w:id="43" w:name="_Toc187631275"/>
      <w:bookmarkStart w:id="44" w:name="_Toc184443623"/>
      <w:r>
        <w:rPr>
          <w:rFonts w:eastAsia="仿宋_GB2312"/>
        </w:rPr>
        <w:t>项目基本情况</w:t>
      </w:r>
    </w:p>
    <w:p>
      <w:pPr>
        <w:ind w:firstLine="480"/>
        <w:rPr>
          <w:rFonts w:eastAsia="仿宋_GB2312"/>
        </w:rPr>
      </w:pPr>
      <w:r>
        <w:rPr>
          <w:rFonts w:eastAsia="仿宋_GB2312"/>
        </w:rPr>
        <w:t>（1）项目建设必要性</w:t>
      </w:r>
    </w:p>
    <w:p>
      <w:pPr>
        <w:ind w:firstLine="480"/>
        <w:rPr>
          <w:rFonts w:eastAsia="仿宋_GB2312"/>
        </w:rPr>
      </w:pPr>
      <w:r>
        <w:rPr>
          <w:rFonts w:eastAsia="仿宋_GB2312"/>
        </w:rPr>
        <w:t>224</w:t>
      </w:r>
      <w:r>
        <w:rPr>
          <w:rFonts w:hint="eastAsia" w:eastAsia="仿宋_GB2312"/>
        </w:rPr>
        <w:t>团地处沙漠边缘，自然环境很差，再加上团场基础设施建设的配套资金主要靠项目单位的利润和职工投劳来承担，资金来源有限，团场的生活基础设施建设较为滞后。目前，第十四师224团各项开发建设工程正在不断建设中，224团正处于快速发展阶段。随着224团镇区的不断建设发展，原有的排水管道已远远不能满足其近期建设排水需求。根据建设方提供的资料，以及现场考察，发现前期敷设的管网管径较小，有部分管段出现了漏水现象，不仅给当地居民带来了严重的不便，对其地下水也会造成严重污染。为了使得224团的建设更好的发展，排水系统的建设也应与其建设相适应，因此对城区排水系统进行改造是必要的，这也是目前团场基础设施建设亟待解决的问题。</w:t>
      </w:r>
    </w:p>
    <w:p>
      <w:pPr>
        <w:ind w:firstLine="480"/>
        <w:rPr>
          <w:rFonts w:eastAsia="仿宋_GB2312"/>
        </w:rPr>
      </w:pPr>
      <w:r>
        <w:rPr>
          <w:rFonts w:hint="eastAsia" w:eastAsia="仿宋_GB2312"/>
        </w:rPr>
        <w:t>为了</w:t>
      </w:r>
      <w:r>
        <w:rPr>
          <w:rFonts w:eastAsia="仿宋_GB2312"/>
        </w:rPr>
        <w:t>224</w:t>
      </w:r>
      <w:r>
        <w:rPr>
          <w:rFonts w:hint="eastAsia" w:eastAsia="仿宋_GB2312"/>
        </w:rPr>
        <w:t>团这面旗帜持续、充分地发挥稳定边疆的作用，必须进一步提高其基础设施水平，改善团部排水现状，对排水管网的管网改造，可以促使其排水系统协调健康的发展，从而促进经济发展，造福224团人民，同时带动周边经济快速发展。</w:t>
      </w:r>
    </w:p>
    <w:p>
      <w:pPr>
        <w:ind w:firstLine="480"/>
        <w:rPr>
          <w:rFonts w:eastAsia="仿宋_GB2312"/>
          <w:color w:val="FF0000"/>
        </w:rPr>
      </w:pPr>
      <w:r>
        <w:rPr>
          <w:rFonts w:hint="eastAsia" w:eastAsia="仿宋_GB2312"/>
        </w:rPr>
        <w:t>2</w:t>
      </w:r>
      <w:r>
        <w:rPr>
          <w:rFonts w:eastAsia="仿宋_GB2312"/>
        </w:rPr>
        <w:t>）项目</w:t>
      </w:r>
      <w:r>
        <w:rPr>
          <w:rFonts w:hint="eastAsia" w:eastAsia="仿宋_GB2312"/>
        </w:rPr>
        <w:t>基本情况</w:t>
      </w:r>
    </w:p>
    <w:p>
      <w:pPr>
        <w:ind w:firstLine="480"/>
        <w:rPr>
          <w:rFonts w:eastAsia="仿宋_GB2312"/>
        </w:rPr>
      </w:pPr>
      <w:r>
        <w:rPr>
          <w:rFonts w:hint="eastAsia" w:eastAsia="仿宋_GB2312"/>
        </w:rPr>
        <w:t>第十四师224团团部污水管网改造项目</w:t>
      </w:r>
      <w:r>
        <w:rPr>
          <w:rFonts w:eastAsia="仿宋_GB2312"/>
        </w:rPr>
        <w:t>位于</w:t>
      </w:r>
      <w:r>
        <w:rPr>
          <w:rFonts w:eastAsia="仿宋_GB2312"/>
          <w:color w:val="000000"/>
        </w:rPr>
        <w:t>新疆</w:t>
      </w:r>
      <w:r>
        <w:rPr>
          <w:rFonts w:hint="eastAsia" w:eastAsia="仿宋_GB2312"/>
          <w:color w:val="000000"/>
        </w:rPr>
        <w:t>生产建设兵团第十四师224团境内，224团距离东侧和田市约60km，</w:t>
      </w:r>
      <w:r>
        <w:rPr>
          <w:rFonts w:hint="eastAsia" w:eastAsia="仿宋_GB2312"/>
        </w:rPr>
        <w:t>224团南侧为G315国道，本项目所在的224</w:t>
      </w:r>
      <w:r>
        <w:rPr>
          <w:rFonts w:eastAsia="仿宋_GB2312"/>
        </w:rPr>
        <w:t>团</w:t>
      </w:r>
      <w:r>
        <w:rPr>
          <w:rFonts w:hint="eastAsia" w:eastAsia="仿宋_GB2312"/>
        </w:rPr>
        <w:t>团部市政道路较为完善，与周边县市的交通来往非常便利</w:t>
      </w:r>
      <w:r>
        <w:rPr>
          <w:rFonts w:eastAsia="仿宋_GB2312"/>
        </w:rPr>
        <w:t>。</w:t>
      </w:r>
    </w:p>
    <w:p>
      <w:pPr>
        <w:ind w:firstLine="480"/>
        <w:rPr>
          <w:rFonts w:eastAsia="仿宋_GB2312"/>
          <w:color w:val="FF0000"/>
        </w:rPr>
      </w:pPr>
      <w:r>
        <w:rPr>
          <w:rFonts w:hint="eastAsia" w:eastAsia="仿宋_GB2312"/>
        </w:rPr>
        <w:t>本项目</w:t>
      </w:r>
      <w:r>
        <w:rPr>
          <w:rFonts w:eastAsia="仿宋_GB2312"/>
        </w:rPr>
        <w:t>主要</w:t>
      </w:r>
      <w:r>
        <w:rPr>
          <w:rFonts w:hint="eastAsia" w:eastAsia="仿宋_GB2312"/>
        </w:rPr>
        <w:t>是对224团团部污水管网进行改造，</w:t>
      </w:r>
      <w:r>
        <w:rPr>
          <w:rFonts w:eastAsia="仿宋_GB2312"/>
        </w:rPr>
        <w:t>改造</w:t>
      </w:r>
      <w:r>
        <w:rPr>
          <w:rFonts w:hint="eastAsia" w:eastAsia="仿宋_GB2312"/>
        </w:rPr>
        <w:t>排水管道4629</w:t>
      </w:r>
      <w:r>
        <w:rPr>
          <w:rFonts w:eastAsia="仿宋_GB2312"/>
        </w:rPr>
        <w:t>m，</w:t>
      </w:r>
      <w:r>
        <w:rPr>
          <w:rFonts w:hint="eastAsia" w:eastAsia="仿宋_GB2312"/>
        </w:rPr>
        <w:t>以及管道附属设施，购买吸污车</w:t>
      </w:r>
      <w:r>
        <w:rPr>
          <w:rFonts w:eastAsia="仿宋_GB2312"/>
        </w:rPr>
        <w:t>1</w:t>
      </w:r>
      <w:r>
        <w:rPr>
          <w:rFonts w:hint="eastAsia" w:eastAsia="仿宋_GB2312"/>
        </w:rPr>
        <w:t>辆、疏通车</w:t>
      </w:r>
      <w:r>
        <w:rPr>
          <w:rFonts w:eastAsia="仿宋_GB2312"/>
        </w:rPr>
        <w:t>1</w:t>
      </w:r>
      <w:r>
        <w:rPr>
          <w:rFonts w:hint="eastAsia" w:eastAsia="仿宋_GB2312"/>
        </w:rPr>
        <w:t>辆</w:t>
      </w:r>
      <w:r>
        <w:rPr>
          <w:rFonts w:eastAsia="仿宋_GB2312"/>
        </w:rPr>
        <w:t>。</w:t>
      </w:r>
    </w:p>
    <w:p>
      <w:pPr>
        <w:ind w:firstLine="480"/>
        <w:rPr>
          <w:rFonts w:eastAsia="仿宋_GB2312"/>
          <w:color w:val="000000"/>
        </w:rPr>
      </w:pPr>
      <w:r>
        <w:rPr>
          <w:rFonts w:eastAsia="仿宋_GB2312"/>
          <w:color w:val="000000"/>
        </w:rPr>
        <w:t>本项目</w:t>
      </w:r>
      <w:r>
        <w:rPr>
          <w:rFonts w:hint="eastAsia" w:eastAsia="仿宋_GB2312"/>
          <w:color w:val="000000"/>
        </w:rPr>
        <w:t>总占地</w:t>
      </w:r>
      <w:r>
        <w:rPr>
          <w:rFonts w:eastAsia="仿宋_GB2312"/>
          <w:color w:val="000000"/>
        </w:rPr>
        <w:t>面积为</w:t>
      </w:r>
      <w:r>
        <w:rPr>
          <w:rFonts w:hint="eastAsia" w:eastAsia="仿宋_GB2312"/>
          <w:color w:val="000000"/>
        </w:rPr>
        <w:t>2.88h</w:t>
      </w:r>
      <w:r>
        <w:rPr>
          <w:rFonts w:eastAsia="仿宋_GB2312"/>
          <w:color w:val="000000"/>
        </w:rPr>
        <w:t>m²，</w:t>
      </w:r>
      <w:r>
        <w:rPr>
          <w:rFonts w:hint="eastAsia" w:eastAsia="仿宋_GB2312"/>
          <w:color w:val="000000"/>
        </w:rPr>
        <w:t>其中</w:t>
      </w:r>
      <w:r>
        <w:rPr>
          <w:rFonts w:eastAsia="仿宋_GB2312"/>
          <w:color w:val="000000"/>
        </w:rPr>
        <w:t>永久占地</w:t>
      </w:r>
      <w:r>
        <w:rPr>
          <w:rFonts w:hint="eastAsia" w:eastAsia="仿宋_GB2312"/>
          <w:color w:val="000000"/>
        </w:rPr>
        <w:t>0.17h</w:t>
      </w:r>
      <w:r>
        <w:rPr>
          <w:rFonts w:eastAsia="仿宋_GB2312"/>
          <w:color w:val="000000"/>
        </w:rPr>
        <w:t>m²</w:t>
      </w:r>
      <w:r>
        <w:rPr>
          <w:rFonts w:hint="eastAsia" w:eastAsia="仿宋_GB2312"/>
          <w:color w:val="000000"/>
        </w:rPr>
        <w:t>，临时占地2.71h</w:t>
      </w:r>
      <w:r>
        <w:rPr>
          <w:rFonts w:eastAsia="仿宋_GB2312"/>
          <w:color w:val="000000"/>
        </w:rPr>
        <w:t>m²</w:t>
      </w:r>
      <w:r>
        <w:rPr>
          <w:rFonts w:hint="eastAsia" w:eastAsia="仿宋_GB2312"/>
          <w:color w:val="000000"/>
        </w:rPr>
        <w:t>，占用土地类型均为建设用地。本工程总挖方共计1.9万</w:t>
      </w:r>
      <w:r>
        <w:rPr>
          <w:rFonts w:eastAsia="仿宋_GB2312"/>
          <w:color w:val="000000"/>
        </w:rPr>
        <w:t>m</w:t>
      </w:r>
      <w:r>
        <w:rPr>
          <w:rFonts w:eastAsia="仿宋_GB2312"/>
          <w:color w:val="000000"/>
          <w:vertAlign w:val="superscript"/>
        </w:rPr>
        <w:t>3</w:t>
      </w:r>
      <w:r>
        <w:rPr>
          <w:rFonts w:hint="eastAsia" w:eastAsia="仿宋_GB2312"/>
          <w:color w:val="000000"/>
        </w:rPr>
        <w:t>，总填方共计1.9万</w:t>
      </w:r>
      <w:r>
        <w:rPr>
          <w:rFonts w:eastAsia="仿宋_GB2312"/>
          <w:color w:val="000000"/>
        </w:rPr>
        <w:t>m</w:t>
      </w:r>
      <w:r>
        <w:rPr>
          <w:rFonts w:eastAsia="仿宋_GB2312"/>
          <w:color w:val="000000"/>
          <w:vertAlign w:val="superscript"/>
        </w:rPr>
        <w:t>3</w:t>
      </w:r>
      <w:r>
        <w:rPr>
          <w:rFonts w:hint="eastAsia" w:eastAsia="仿宋_GB2312"/>
          <w:color w:val="000000"/>
        </w:rPr>
        <w:t>，</w:t>
      </w:r>
      <w:r>
        <w:rPr>
          <w:rFonts w:hint="eastAsia" w:eastAsia="仿宋_GB2312"/>
        </w:rPr>
        <w:t>通过内部调运大部分土方回填利用，剩余土方平摊至施工范围内，全部按填方考虑，挖填基本平衡</w:t>
      </w:r>
      <w:r>
        <w:rPr>
          <w:rFonts w:hint="eastAsia" w:eastAsia="仿宋_GB2312"/>
          <w:color w:val="000000"/>
        </w:rPr>
        <w:t>，本项目仅有少量路面拆除垃圾运至垃圾场处理。本工程不存在移民安置问题。</w:t>
      </w:r>
    </w:p>
    <w:p>
      <w:pPr>
        <w:tabs>
          <w:tab w:val="left" w:pos="851"/>
          <w:tab w:val="left" w:pos="1485"/>
        </w:tabs>
        <w:ind w:firstLine="480"/>
        <w:rPr>
          <w:rFonts w:eastAsia="仿宋_GB2312"/>
        </w:rPr>
      </w:pPr>
      <w:r>
        <w:rPr>
          <w:rFonts w:eastAsia="仿宋_GB2312"/>
        </w:rPr>
        <w:t>主体工程计划于20</w:t>
      </w:r>
      <w:r>
        <w:rPr>
          <w:rFonts w:hint="eastAsia" w:eastAsia="仿宋_GB2312"/>
        </w:rPr>
        <w:t>20</w:t>
      </w:r>
      <w:r>
        <w:rPr>
          <w:rFonts w:eastAsia="仿宋_GB2312"/>
        </w:rPr>
        <w:t>年</w:t>
      </w:r>
      <w:r>
        <w:rPr>
          <w:rFonts w:hint="eastAsia" w:eastAsia="仿宋_GB2312"/>
        </w:rPr>
        <w:t>11</w:t>
      </w:r>
      <w:r>
        <w:rPr>
          <w:rFonts w:eastAsia="仿宋_GB2312"/>
        </w:rPr>
        <w:t>月开工建设，20</w:t>
      </w:r>
      <w:r>
        <w:rPr>
          <w:rFonts w:hint="eastAsia" w:eastAsia="仿宋_GB2312"/>
        </w:rPr>
        <w:t>20</w:t>
      </w:r>
      <w:r>
        <w:rPr>
          <w:rFonts w:eastAsia="仿宋_GB2312"/>
        </w:rPr>
        <w:t>年</w:t>
      </w:r>
      <w:r>
        <w:rPr>
          <w:rFonts w:hint="eastAsia" w:eastAsia="仿宋_GB2312"/>
        </w:rPr>
        <w:t>12</w:t>
      </w:r>
      <w:r>
        <w:rPr>
          <w:rFonts w:eastAsia="仿宋_GB2312"/>
        </w:rPr>
        <w:t>月完工</w:t>
      </w:r>
      <w:r>
        <w:rPr>
          <w:rFonts w:hint="eastAsia" w:eastAsia="仿宋_GB2312"/>
        </w:rPr>
        <w:t>，建设总工期2个月。</w:t>
      </w:r>
      <w:r>
        <w:rPr>
          <w:rFonts w:eastAsia="仿宋_GB2312"/>
        </w:rPr>
        <w:t>本工程总投资</w:t>
      </w:r>
      <w:r>
        <w:rPr>
          <w:rFonts w:hint="eastAsia" w:eastAsia="仿宋_GB2312"/>
        </w:rPr>
        <w:t>650</w:t>
      </w:r>
      <w:r>
        <w:rPr>
          <w:rFonts w:eastAsia="仿宋_GB2312"/>
        </w:rPr>
        <w:t>万元，</w:t>
      </w:r>
      <w:r>
        <w:rPr>
          <w:rFonts w:hint="eastAsia" w:eastAsia="仿宋_GB2312"/>
        </w:rPr>
        <w:t>土建投资528.2万元</w:t>
      </w:r>
      <w:r>
        <w:rPr>
          <w:rFonts w:eastAsia="仿宋_GB2312"/>
        </w:rPr>
        <w:t>，</w:t>
      </w:r>
      <w:r>
        <w:rPr>
          <w:rFonts w:hint="eastAsia" w:eastAsia="仿宋_GB2312"/>
          <w:color w:val="000000"/>
        </w:rPr>
        <w:t>资金来源为申请抗疫特别国债资金600万元，师市本级财政性资金50万元。</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项目前期工作进展情况</w:t>
      </w:r>
    </w:p>
    <w:p>
      <w:pPr>
        <w:tabs>
          <w:tab w:val="left" w:pos="851"/>
          <w:tab w:val="left" w:pos="1485"/>
        </w:tabs>
        <w:ind w:firstLine="480"/>
        <w:rPr>
          <w:rFonts w:eastAsia="仿宋_GB2312"/>
        </w:rPr>
      </w:pPr>
      <w:r>
        <w:rPr>
          <w:rFonts w:eastAsia="仿宋_GB2312"/>
        </w:rPr>
        <w:t>（1）项目前期工作情况</w:t>
      </w:r>
    </w:p>
    <w:p>
      <w:pPr>
        <w:tabs>
          <w:tab w:val="left" w:pos="851"/>
          <w:tab w:val="left" w:pos="1485"/>
        </w:tabs>
        <w:ind w:firstLine="480"/>
        <w:rPr>
          <w:rFonts w:eastAsia="仿宋_GB2312"/>
          <w:color w:val="000000"/>
        </w:rPr>
      </w:pPr>
      <w:r>
        <w:rPr>
          <w:rFonts w:hint="eastAsia" w:eastAsia="仿宋_GB2312"/>
          <w:color w:val="000000"/>
        </w:rPr>
        <w:t>2020年7月23日第十四师昆玉市发改委印发了</w:t>
      </w:r>
      <w:r>
        <w:rPr>
          <w:rFonts w:eastAsia="仿宋_GB2312"/>
        </w:rPr>
        <w:t>《</w:t>
      </w:r>
      <w:r>
        <w:rPr>
          <w:rFonts w:hint="eastAsia" w:eastAsia="仿宋_GB2312"/>
          <w:color w:val="000000"/>
        </w:rPr>
        <w:t>关于第十四师224团团部污水管网改造项目初步设计（代可研）的批复</w:t>
      </w:r>
      <w:r>
        <w:rPr>
          <w:rFonts w:eastAsia="仿宋_GB2312"/>
        </w:rPr>
        <w:t>》</w:t>
      </w:r>
      <w:r>
        <w:rPr>
          <w:rFonts w:hint="eastAsia" w:eastAsia="仿宋_GB2312"/>
          <w:color w:val="000000"/>
        </w:rPr>
        <w:t>。</w:t>
      </w:r>
    </w:p>
    <w:p>
      <w:pPr>
        <w:tabs>
          <w:tab w:val="left" w:pos="851"/>
          <w:tab w:val="left" w:pos="1485"/>
        </w:tabs>
        <w:ind w:firstLine="480"/>
        <w:rPr>
          <w:rFonts w:eastAsia="仿宋_GB2312"/>
        </w:rPr>
      </w:pPr>
      <w:r>
        <w:rPr>
          <w:rFonts w:eastAsia="仿宋_GB2312"/>
        </w:rPr>
        <w:t>（2）方案编制情况</w:t>
      </w:r>
    </w:p>
    <w:p>
      <w:pPr>
        <w:tabs>
          <w:tab w:val="left" w:pos="851"/>
          <w:tab w:val="left" w:pos="1485"/>
        </w:tabs>
        <w:ind w:firstLine="480"/>
        <w:rPr>
          <w:rFonts w:eastAsia="仿宋_GB2312"/>
          <w:color w:val="000000"/>
        </w:rPr>
      </w:pPr>
      <w:r>
        <w:rPr>
          <w:rFonts w:hint="eastAsia" w:eastAsia="仿宋_GB2312"/>
          <w:color w:val="000000"/>
        </w:rPr>
        <w:t>新疆新农丽景环境工程咨询有限公司</w:t>
      </w:r>
      <w:r>
        <w:rPr>
          <w:rFonts w:eastAsia="仿宋_GB2312"/>
          <w:color w:val="000000"/>
        </w:rPr>
        <w:t>于20</w:t>
      </w:r>
      <w:r>
        <w:rPr>
          <w:rFonts w:hint="eastAsia" w:eastAsia="仿宋_GB2312"/>
          <w:color w:val="000000"/>
        </w:rPr>
        <w:t>20</w:t>
      </w:r>
      <w:r>
        <w:rPr>
          <w:rFonts w:eastAsia="仿宋_GB2312"/>
          <w:color w:val="000000"/>
        </w:rPr>
        <w:t>年</w:t>
      </w:r>
      <w:r>
        <w:rPr>
          <w:rFonts w:hint="eastAsia" w:eastAsia="仿宋_GB2312"/>
          <w:color w:val="000000"/>
        </w:rPr>
        <w:t>7</w:t>
      </w:r>
      <w:r>
        <w:rPr>
          <w:rFonts w:eastAsia="仿宋_GB2312"/>
          <w:color w:val="000000"/>
        </w:rPr>
        <w:t>月承担了《</w:t>
      </w:r>
      <w:r>
        <w:rPr>
          <w:rFonts w:hint="eastAsia" w:eastAsia="仿宋_GB2312"/>
          <w:color w:val="000000"/>
        </w:rPr>
        <w:t>第十四师224团团部污水管网改造项目</w:t>
      </w:r>
      <w:r>
        <w:rPr>
          <w:rFonts w:eastAsia="仿宋_GB2312"/>
          <w:color w:val="000000"/>
        </w:rPr>
        <w:t>水土保持方案报告</w:t>
      </w:r>
      <w:r>
        <w:rPr>
          <w:rFonts w:hint="eastAsia" w:eastAsia="仿宋_GB2312"/>
          <w:color w:val="000000"/>
        </w:rPr>
        <w:t>表</w:t>
      </w:r>
      <w:r>
        <w:rPr>
          <w:rFonts w:eastAsia="仿宋_GB2312"/>
          <w:color w:val="000000"/>
        </w:rPr>
        <w:t>》的编制任务，自接受委托即及时组织项目编制人员，对委托方所提供的</w:t>
      </w:r>
      <w:r>
        <w:rPr>
          <w:rFonts w:hint="eastAsia" w:eastAsia="仿宋_GB2312"/>
          <w:color w:val="000000"/>
        </w:rPr>
        <w:t>初设报告</w:t>
      </w:r>
      <w:r>
        <w:rPr>
          <w:rFonts w:eastAsia="仿宋_GB2312"/>
          <w:color w:val="000000"/>
        </w:rPr>
        <w:t>等设计文件进行了深入研究，特别对主体工程的建设内容、征占地情况、工程总体布局、生产工艺、施工工艺等情况进行充分了解，同时查阅了大量相关资料，进行了现状调查，掌握了项目区的地貌条件、水土流失分布、面积、成因、流失程度、危害等，收集并整理了区域内的降水、气温、风力、蒸发及洪水、现有水土保持设施的建设效果和水土流失防治经验等资料。在此基础上依据</w:t>
      </w:r>
      <w:r>
        <w:rPr>
          <w:rFonts w:hint="eastAsia" w:eastAsia="仿宋_GB2312"/>
          <w:color w:val="000000"/>
        </w:rPr>
        <w:t>《生产建设项目水土保持技术标准》（GB50433-2018）</w:t>
      </w:r>
      <w:r>
        <w:rPr>
          <w:rFonts w:eastAsia="仿宋_GB2312"/>
          <w:color w:val="000000"/>
        </w:rPr>
        <w:t>要求，以项目</w:t>
      </w:r>
      <w:r>
        <w:rPr>
          <w:rFonts w:hint="eastAsia" w:eastAsia="仿宋_GB2312"/>
          <w:color w:val="000000"/>
        </w:rPr>
        <w:t>初设报告</w:t>
      </w:r>
      <w:r>
        <w:rPr>
          <w:rFonts w:eastAsia="仿宋_GB2312"/>
          <w:color w:val="000000"/>
        </w:rPr>
        <w:t>为主要基本资料，于20</w:t>
      </w:r>
      <w:r>
        <w:rPr>
          <w:rFonts w:hint="eastAsia" w:eastAsia="仿宋_GB2312"/>
          <w:color w:val="000000"/>
        </w:rPr>
        <w:t>20</w:t>
      </w:r>
      <w:r>
        <w:rPr>
          <w:rFonts w:eastAsia="仿宋_GB2312"/>
          <w:color w:val="000000"/>
        </w:rPr>
        <w:t>年</w:t>
      </w:r>
      <w:r>
        <w:rPr>
          <w:rFonts w:hint="eastAsia" w:eastAsia="仿宋_GB2312"/>
          <w:color w:val="000000"/>
        </w:rPr>
        <w:t>8</w:t>
      </w:r>
      <w:r>
        <w:rPr>
          <w:rFonts w:eastAsia="仿宋_GB2312"/>
          <w:color w:val="000000"/>
        </w:rPr>
        <w:t>月编制完成了《</w:t>
      </w:r>
      <w:r>
        <w:rPr>
          <w:rFonts w:hint="eastAsia" w:eastAsia="仿宋_GB2312"/>
          <w:color w:val="000000"/>
        </w:rPr>
        <w:t>第十四师224团团部污水管网改造项目</w:t>
      </w:r>
      <w:r>
        <w:rPr>
          <w:rFonts w:eastAsia="仿宋_GB2312"/>
          <w:color w:val="000000"/>
        </w:rPr>
        <w:t>水土保持方案报告</w:t>
      </w:r>
      <w:r>
        <w:rPr>
          <w:rFonts w:hint="eastAsia" w:eastAsia="仿宋_GB2312"/>
          <w:color w:val="000000"/>
        </w:rPr>
        <w:t>表（送审稿）</w:t>
      </w:r>
      <w:r>
        <w:rPr>
          <w:rFonts w:eastAsia="仿宋_GB2312"/>
          <w:color w:val="000000"/>
        </w:rPr>
        <w:t>》</w:t>
      </w:r>
      <w:r>
        <w:rPr>
          <w:rFonts w:hint="eastAsia" w:eastAsia="仿宋_GB2312"/>
          <w:color w:val="000000"/>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自然简况</w:t>
      </w:r>
    </w:p>
    <w:p>
      <w:pPr>
        <w:ind w:firstLine="480"/>
        <w:rPr>
          <w:rFonts w:eastAsia="仿宋_GB2312"/>
        </w:rPr>
      </w:pPr>
      <w:r>
        <w:rPr>
          <w:rFonts w:hint="eastAsia" w:eastAsia="仿宋_GB2312"/>
        </w:rPr>
        <w:t>本项目所在224</w:t>
      </w:r>
      <w:r>
        <w:rPr>
          <w:rFonts w:eastAsia="仿宋_GB2312"/>
        </w:rPr>
        <w:t>团</w:t>
      </w:r>
      <w:r>
        <w:rPr>
          <w:rFonts w:hint="eastAsia" w:eastAsia="仿宋_GB2312"/>
        </w:rPr>
        <w:t>团部走势由西南向东北倾</w:t>
      </w:r>
      <w:r>
        <w:rPr>
          <w:rFonts w:eastAsia="仿宋_GB2312"/>
        </w:rPr>
        <w:t>斜，南部坡度较陡，在15‰-17‰之间，中、北部地形坡度较缓，在1‰-2‰范围内</w:t>
      </w:r>
      <w:r>
        <w:rPr>
          <w:rFonts w:hint="eastAsia" w:eastAsia="仿宋_GB2312"/>
        </w:rPr>
        <w:t>，</w:t>
      </w:r>
      <w:r>
        <w:rPr>
          <w:rFonts w:eastAsia="仿宋_GB2312"/>
        </w:rPr>
        <w:t xml:space="preserve">海拔介于1304-1397m </w:t>
      </w:r>
      <w:r>
        <w:rPr>
          <w:rFonts w:hint="eastAsia" w:eastAsia="仿宋_GB2312"/>
        </w:rPr>
        <w:t>之间，</w:t>
      </w:r>
      <w:r>
        <w:rPr>
          <w:rFonts w:eastAsia="仿宋_GB2312"/>
        </w:rPr>
        <w:t>主要</w:t>
      </w:r>
      <w:r>
        <w:rPr>
          <w:rFonts w:hint="eastAsia" w:eastAsia="仿宋_GB2312"/>
        </w:rPr>
        <w:t>为</w:t>
      </w:r>
      <w:r>
        <w:rPr>
          <w:rFonts w:eastAsia="仿宋_GB2312"/>
        </w:rPr>
        <w:t>冲洪积平原</w:t>
      </w:r>
      <w:r>
        <w:rPr>
          <w:rFonts w:hint="eastAsia" w:eastAsia="仿宋_GB2312"/>
        </w:rPr>
        <w:t>地貌</w:t>
      </w:r>
      <w:r>
        <w:rPr>
          <w:rFonts w:eastAsia="仿宋_GB2312"/>
        </w:rPr>
        <w:t>。</w:t>
      </w:r>
    </w:p>
    <w:p>
      <w:pPr>
        <w:ind w:firstLine="480"/>
        <w:rPr>
          <w:rFonts w:eastAsia="仿宋_GB2312"/>
        </w:rPr>
      </w:pPr>
      <w:r>
        <w:rPr>
          <w:rFonts w:hint="eastAsia" w:eastAsia="仿宋_GB2312"/>
          <w:color w:val="000000"/>
        </w:rPr>
        <w:t>拟建场地地层主要为第四系松散堆积物，场地地基土主要由杂填土、粉土及圆砾构成，自然地面以下地层结构自上而下可分为三层。第</w:t>
      </w:r>
      <w:r>
        <w:rPr>
          <w:rFonts w:eastAsia="仿宋_GB2312"/>
          <w:color w:val="000000"/>
        </w:rPr>
        <w:t>1</w:t>
      </w:r>
      <w:r>
        <w:rPr>
          <w:rFonts w:hint="eastAsia" w:eastAsia="仿宋_GB2312"/>
          <w:color w:val="000000"/>
        </w:rPr>
        <w:t>层杂填土，呈松散状态，含大量建筑垃圾；第</w:t>
      </w:r>
      <w:r>
        <w:rPr>
          <w:rFonts w:eastAsia="仿宋_GB2312"/>
          <w:color w:val="000000"/>
        </w:rPr>
        <w:t>2</w:t>
      </w:r>
      <w:r>
        <w:rPr>
          <w:rFonts w:hint="eastAsia" w:eastAsia="仿宋_GB2312"/>
          <w:color w:val="000000"/>
        </w:rPr>
        <w:t>层粉土，灰黄色，呈稍密～中密，稍湿～湿状态；第</w:t>
      </w:r>
      <w:r>
        <w:rPr>
          <w:rFonts w:eastAsia="仿宋_GB2312"/>
          <w:color w:val="000000"/>
        </w:rPr>
        <w:t>3</w:t>
      </w:r>
      <w:r>
        <w:rPr>
          <w:rFonts w:hint="eastAsia" w:eastAsia="仿宋_GB2312"/>
          <w:color w:val="000000"/>
        </w:rPr>
        <w:t>层圆砾，杂色，呈稍密～中密～密实状态。</w:t>
      </w:r>
    </w:p>
    <w:p>
      <w:pPr>
        <w:ind w:firstLine="480"/>
        <w:rPr>
          <w:rFonts w:eastAsia="仿宋_GB2312"/>
        </w:rPr>
      </w:pPr>
      <w:r>
        <w:rPr>
          <w:rFonts w:hint="eastAsia" w:eastAsia="仿宋_GB2312"/>
        </w:rPr>
        <w:t>新疆生产建设兵团第十四师</w:t>
      </w:r>
      <w:r>
        <w:rPr>
          <w:rFonts w:eastAsia="仿宋_GB2312"/>
        </w:rPr>
        <w:t xml:space="preserve">224 </w:t>
      </w:r>
      <w:r>
        <w:rPr>
          <w:rFonts w:hint="eastAsia" w:eastAsia="仿宋_GB2312"/>
        </w:rPr>
        <w:t>团地处欧亚大陆腹地，属极度干旱的暖温带大陆气候，降水稀少、蒸发强烈、干燥多风、光热资源充足是本流域最主要的气候特征。224团</w:t>
      </w:r>
      <w:r>
        <w:rPr>
          <w:rFonts w:eastAsia="仿宋_GB2312"/>
        </w:rPr>
        <w:t>多年平均气温</w:t>
      </w:r>
      <w:r>
        <w:rPr>
          <w:rFonts w:hint="eastAsia" w:eastAsia="仿宋_GB2312"/>
        </w:rPr>
        <w:t>12.2℃</w:t>
      </w:r>
      <w:r>
        <w:rPr>
          <w:rFonts w:eastAsia="仿宋_GB2312"/>
        </w:rPr>
        <w:t>，</w:t>
      </w:r>
      <w:r>
        <w:rPr>
          <w:rFonts w:hint="eastAsia" w:eastAsia="仿宋_GB2312"/>
        </w:rPr>
        <w:t>极端</w:t>
      </w:r>
      <w:r>
        <w:rPr>
          <w:rFonts w:eastAsia="仿宋_GB2312"/>
        </w:rPr>
        <w:t>最高气温</w:t>
      </w:r>
      <w:r>
        <w:rPr>
          <w:rFonts w:hint="eastAsia" w:eastAsia="仿宋_GB2312"/>
        </w:rPr>
        <w:t>40.6℃</w:t>
      </w:r>
      <w:r>
        <w:rPr>
          <w:rFonts w:eastAsia="仿宋_GB2312"/>
        </w:rPr>
        <w:t>，</w:t>
      </w:r>
      <w:r>
        <w:rPr>
          <w:rFonts w:hint="eastAsia" w:eastAsia="仿宋_GB2312"/>
        </w:rPr>
        <w:t>极端</w:t>
      </w:r>
      <w:r>
        <w:rPr>
          <w:rFonts w:eastAsia="仿宋_GB2312"/>
        </w:rPr>
        <w:t>最低气温-</w:t>
      </w:r>
      <w:r>
        <w:rPr>
          <w:rFonts w:hint="eastAsia" w:eastAsia="仿宋_GB2312"/>
        </w:rPr>
        <w:t>21.6℃，</w:t>
      </w:r>
      <w:r>
        <w:rPr>
          <w:rFonts w:eastAsia="仿宋_GB2312"/>
        </w:rPr>
        <w:t>多年平均降水量</w:t>
      </w:r>
      <w:r>
        <w:rPr>
          <w:rFonts w:hint="eastAsia" w:eastAsia="仿宋_GB2312"/>
        </w:rPr>
        <w:t>33.4</w:t>
      </w:r>
      <w:r>
        <w:rPr>
          <w:rFonts w:eastAsia="仿宋_GB2312"/>
        </w:rPr>
        <w:t>mm，多年平均蒸发量</w:t>
      </w:r>
      <w:r>
        <w:rPr>
          <w:rFonts w:hint="eastAsia" w:eastAsia="仿宋_GB2312"/>
        </w:rPr>
        <w:t>2602</w:t>
      </w:r>
      <w:r>
        <w:rPr>
          <w:rFonts w:eastAsia="仿宋_GB2312"/>
        </w:rPr>
        <w:t>mm</w:t>
      </w:r>
      <w:r>
        <w:rPr>
          <w:rFonts w:hint="eastAsia" w:eastAsia="仿宋_GB2312"/>
        </w:rPr>
        <w:t>，</w:t>
      </w:r>
      <w:r>
        <w:rPr>
          <w:rFonts w:eastAsia="仿宋_GB2312"/>
        </w:rPr>
        <w:t>年平均风速</w:t>
      </w:r>
      <w:r>
        <w:rPr>
          <w:rFonts w:hint="eastAsia" w:eastAsia="仿宋_GB2312"/>
        </w:rPr>
        <w:t>2.1</w:t>
      </w:r>
      <w:r>
        <w:rPr>
          <w:rFonts w:eastAsia="仿宋_GB2312"/>
        </w:rPr>
        <w:t>m/s</w:t>
      </w:r>
      <w:r>
        <w:rPr>
          <w:rFonts w:hint="eastAsia" w:eastAsia="仿宋_GB2312"/>
        </w:rPr>
        <w:t>，</w:t>
      </w:r>
      <w:r>
        <w:rPr>
          <w:rFonts w:eastAsia="仿宋_GB2312"/>
        </w:rPr>
        <w:t>最大风速19m/s，最大冻土深度</w:t>
      </w:r>
      <w:r>
        <w:rPr>
          <w:rFonts w:hint="eastAsia" w:eastAsia="仿宋_GB2312"/>
        </w:rPr>
        <w:t>67</w:t>
      </w:r>
      <w:r>
        <w:rPr>
          <w:rFonts w:eastAsia="仿宋_GB2312"/>
        </w:rPr>
        <w:t>cm</w:t>
      </w:r>
      <w:r>
        <w:rPr>
          <w:rFonts w:hint="eastAsia" w:eastAsia="仿宋_GB2312"/>
        </w:rPr>
        <w:t>，最大积雪深度14cm，</w:t>
      </w:r>
      <w:r>
        <w:rPr>
          <w:rFonts w:eastAsia="仿宋_GB2312"/>
        </w:rPr>
        <w:t>年无霜期约</w:t>
      </w:r>
      <w:r>
        <w:rPr>
          <w:rFonts w:hint="eastAsia" w:eastAsia="仿宋_GB2312"/>
        </w:rPr>
        <w:t>244天。</w:t>
      </w:r>
    </w:p>
    <w:p>
      <w:pPr>
        <w:ind w:firstLine="480"/>
        <w:rPr>
          <w:rFonts w:eastAsia="仿宋_GB2312"/>
          <w:color w:val="FF0000"/>
        </w:rPr>
      </w:pPr>
      <w:r>
        <w:rPr>
          <w:rFonts w:eastAsia="仿宋_GB2312"/>
        </w:rPr>
        <w:t>224团属于和田河流域，该流域位于塔里木盆地南缘，东邻克里雅河流域、南以昆仑山和喀喇昆仑山为界与西藏和克什米尔相邻、西与叶尔羌河流域接壤、北接塔克拉玛干沙漠，流域总面积4.887万km</w:t>
      </w:r>
      <w:r>
        <w:rPr>
          <w:rFonts w:eastAsia="仿宋_GB2312"/>
          <w:vertAlign w:val="superscript"/>
        </w:rPr>
        <w:t>2</w:t>
      </w:r>
      <w:r>
        <w:rPr>
          <w:rFonts w:eastAsia="仿宋_GB2312"/>
        </w:rPr>
        <w:t>。和田河有玉龙喀什河和喀拉喀什河两大支流。另外，距224团以西35km的杜瓦河为一独立水系，是皮亚勒玛乡的主要灌溉水源，该河尾端从224团6次干道至7次干道之间进入224团灌区，夏季洪水对灌区有一定影响。</w:t>
      </w:r>
    </w:p>
    <w:p>
      <w:pPr>
        <w:ind w:firstLine="480"/>
        <w:rPr>
          <w:rFonts w:eastAsia="仿宋_GB2312"/>
        </w:rPr>
      </w:pPr>
      <w:r>
        <w:rPr>
          <w:rFonts w:eastAsia="仿宋_GB2312"/>
        </w:rPr>
        <w:t>本工程及周边土壤类型主要为棕漠土。项目区位于平原区，植被类型为</w:t>
      </w:r>
      <w:r>
        <w:rPr>
          <w:rFonts w:hint="eastAsia" w:eastAsia="仿宋_GB2312"/>
        </w:rPr>
        <w:t>人工植被</w:t>
      </w:r>
      <w:r>
        <w:rPr>
          <w:rFonts w:eastAsia="仿宋_GB2312"/>
        </w:rPr>
        <w:t>，</w:t>
      </w:r>
      <w:r>
        <w:rPr>
          <w:rFonts w:hint="eastAsia" w:eastAsia="仿宋_GB2312"/>
        </w:rPr>
        <w:t>植被分布有榆树、榆叶梅、黑麦草等</w:t>
      </w:r>
      <w:r>
        <w:rPr>
          <w:rFonts w:eastAsia="仿宋_GB2312"/>
        </w:rPr>
        <w:t>，植被覆盖度</w:t>
      </w:r>
      <w:r>
        <w:rPr>
          <w:rFonts w:hint="eastAsia" w:eastAsia="仿宋_GB2312"/>
        </w:rPr>
        <w:t>约5</w:t>
      </w:r>
      <w:r>
        <w:rPr>
          <w:rFonts w:eastAsia="仿宋_GB2312"/>
        </w:rPr>
        <w:t>%。</w:t>
      </w:r>
    </w:p>
    <w:p>
      <w:pPr>
        <w:tabs>
          <w:tab w:val="left" w:pos="851"/>
          <w:tab w:val="left" w:pos="1485"/>
        </w:tabs>
        <w:ind w:firstLine="480"/>
        <w:rPr>
          <w:rFonts w:eastAsia="仿宋_GB2312"/>
        </w:rPr>
      </w:pPr>
      <w:r>
        <w:rPr>
          <w:rFonts w:eastAsia="仿宋_GB2312"/>
        </w:rPr>
        <w:t>根据现场踏勘情况，项目区土壤侵蚀类型主要为轻度风力侵蚀、微度水力侵蚀。根据项目区自然环境概况，结合全疆第二次水土流失普查结果，在参考《土壤侵蚀分类分级标准》（SL190-2007）的基础上，结合对项目区水土流失现状调查情况，初步判定原生土壤侵蚀模数为</w:t>
      </w:r>
      <w:r>
        <w:rPr>
          <w:rFonts w:hint="eastAsia" w:eastAsia="仿宋_GB2312"/>
        </w:rPr>
        <w:t>15</w:t>
      </w:r>
      <w:r>
        <w:rPr>
          <w:rFonts w:eastAsia="仿宋_GB2312"/>
        </w:rPr>
        <w:t>00t/km</w:t>
      </w:r>
      <w:r>
        <w:rPr>
          <w:rFonts w:eastAsia="仿宋_GB2312"/>
          <w:vertAlign w:val="superscript"/>
        </w:rPr>
        <w:t>2</w:t>
      </w:r>
      <w:r>
        <w:rPr>
          <w:rFonts w:eastAsia="仿宋_GB2312"/>
        </w:rPr>
        <w:t>·a</w:t>
      </w:r>
      <w:r>
        <w:rPr>
          <w:rFonts w:hint="eastAsia" w:eastAsia="仿宋_GB2312"/>
        </w:rPr>
        <w:t>，</w:t>
      </w:r>
      <w:r>
        <w:rPr>
          <w:rFonts w:eastAsia="仿宋_GB2312"/>
        </w:rPr>
        <w:t>容许土壤流失量</w:t>
      </w:r>
      <w:r>
        <w:rPr>
          <w:rFonts w:hint="eastAsia" w:eastAsia="仿宋_GB2312"/>
        </w:rPr>
        <w:t>为15</w:t>
      </w:r>
      <w:r>
        <w:rPr>
          <w:rFonts w:eastAsia="仿宋_GB2312"/>
        </w:rPr>
        <w:t>00t/km</w:t>
      </w:r>
      <w:r>
        <w:rPr>
          <w:rFonts w:eastAsia="仿宋_GB2312"/>
          <w:vertAlign w:val="superscript"/>
        </w:rPr>
        <w:t>2</w:t>
      </w:r>
      <w:r>
        <w:rPr>
          <w:rFonts w:eastAsia="仿宋_GB2312"/>
        </w:rPr>
        <w:t>·a。</w:t>
      </w:r>
    </w:p>
    <w:p>
      <w:pPr>
        <w:ind w:firstLine="480"/>
        <w:rPr>
          <w:rFonts w:eastAsia="仿宋_GB2312"/>
        </w:rPr>
      </w:pPr>
      <w:r>
        <w:rPr>
          <w:rFonts w:eastAsia="仿宋_GB2312"/>
        </w:rPr>
        <w:t>本项目建设区不涉及饮用水水源保护区、水功能一级保护区，工程建设区内无自然保护区、风景旅游点和国家及地方文物古迹保护单位。</w:t>
      </w:r>
    </w:p>
    <w:p>
      <w:pPr>
        <w:tabs>
          <w:tab w:val="left" w:pos="851"/>
          <w:tab w:val="left" w:pos="1485"/>
        </w:tabs>
        <w:ind w:firstLine="480"/>
        <w:rPr>
          <w:rFonts w:eastAsia="仿宋_GB2312"/>
        </w:rPr>
      </w:pPr>
      <w:r>
        <w:rPr>
          <w:rFonts w:eastAsia="仿宋_GB2312"/>
        </w:rPr>
        <w:t>项目区范围内无自然保护区、国家森林公园、国家地质公园、地质遗迹、重要湿地及生态敏感区等限制项目建设的因素</w:t>
      </w:r>
      <w:r>
        <w:rPr>
          <w:rFonts w:hint="eastAsia" w:eastAsia="仿宋_GB2312"/>
        </w:rPr>
        <w:t>。</w:t>
      </w:r>
    </w:p>
    <w:p>
      <w:pPr>
        <w:pStyle w:val="3"/>
        <w:widowControl/>
        <w:numPr>
          <w:ilvl w:val="1"/>
          <w:numId w:val="1"/>
        </w:numPr>
        <w:tabs>
          <w:tab w:val="clear" w:pos="1002"/>
        </w:tabs>
        <w:topLinePunct w:val="0"/>
        <w:adjustRightInd/>
        <w:snapToGrid/>
        <w:ind w:left="0" w:firstLine="0"/>
        <w:jc w:val="both"/>
        <w:rPr>
          <w:rFonts w:eastAsia="仿宋_GB2312"/>
        </w:rPr>
      </w:pPr>
      <w:bookmarkStart w:id="45" w:name="_Toc7801377"/>
      <w:bookmarkStart w:id="46" w:name="_Toc7801444"/>
      <w:bookmarkStart w:id="47" w:name="_Toc7801537"/>
      <w:bookmarkStart w:id="48" w:name="_Toc255304500"/>
      <w:bookmarkStart w:id="49" w:name="_Toc50221487"/>
      <w:r>
        <w:rPr>
          <w:rFonts w:eastAsia="仿宋_GB2312"/>
        </w:rPr>
        <w:t>编制依据</w:t>
      </w:r>
      <w:bookmarkEnd w:id="45"/>
      <w:bookmarkEnd w:id="46"/>
      <w:bookmarkEnd w:id="47"/>
      <w:bookmarkEnd w:id="48"/>
      <w:bookmarkEnd w:id="49"/>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bookmarkStart w:id="50" w:name="_Toc182948433"/>
      <w:bookmarkStart w:id="51" w:name="_Toc185424349"/>
      <w:bookmarkStart w:id="52" w:name="_Toc211401481"/>
      <w:bookmarkStart w:id="53" w:name="_Toc185586757"/>
      <w:bookmarkStart w:id="54" w:name="_Toc255304501"/>
      <w:r>
        <w:rPr>
          <w:rFonts w:eastAsia="仿宋_GB2312"/>
        </w:rPr>
        <w:t>法律法规</w:t>
      </w:r>
      <w:bookmarkEnd w:id="50"/>
      <w:bookmarkEnd w:id="51"/>
      <w:bookmarkEnd w:id="52"/>
      <w:bookmarkEnd w:id="53"/>
      <w:bookmarkEnd w:id="54"/>
    </w:p>
    <w:p>
      <w:pPr>
        <w:tabs>
          <w:tab w:val="left" w:pos="851"/>
          <w:tab w:val="left" w:pos="1485"/>
        </w:tabs>
        <w:ind w:firstLine="480"/>
        <w:rPr>
          <w:rFonts w:eastAsia="仿宋_GB2312"/>
        </w:rPr>
      </w:pPr>
      <w:r>
        <w:rPr>
          <w:rFonts w:eastAsia="仿宋_GB2312"/>
        </w:rPr>
        <w:t>（1）《中华人民共和国水土保持法》(1991.6颁布，2010.12修订，2011.03.01实施)；</w:t>
      </w:r>
    </w:p>
    <w:p>
      <w:pPr>
        <w:tabs>
          <w:tab w:val="left" w:pos="851"/>
          <w:tab w:val="left" w:pos="1485"/>
        </w:tabs>
        <w:ind w:firstLine="480"/>
        <w:rPr>
          <w:rFonts w:eastAsia="仿宋_GB2312"/>
        </w:rPr>
      </w:pPr>
      <w:r>
        <w:rPr>
          <w:rFonts w:eastAsia="仿宋_GB2312"/>
        </w:rPr>
        <w:t>（</w:t>
      </w:r>
      <w:r>
        <w:rPr>
          <w:rFonts w:hint="eastAsia" w:eastAsia="仿宋_GB2312"/>
        </w:rPr>
        <w:t>2</w:t>
      </w:r>
      <w:r>
        <w:rPr>
          <w:rFonts w:eastAsia="仿宋_GB2312"/>
        </w:rPr>
        <w:t>）《中华人民共和国环境保护法》(2002.10颁布，2014.04修订，2015.01.01实施)；</w:t>
      </w:r>
    </w:p>
    <w:p>
      <w:pPr>
        <w:tabs>
          <w:tab w:val="left" w:pos="851"/>
          <w:tab w:val="left" w:pos="1485"/>
        </w:tabs>
        <w:ind w:firstLine="480"/>
        <w:rPr>
          <w:rFonts w:eastAsia="仿宋_GB2312"/>
        </w:rPr>
      </w:pPr>
      <w:r>
        <w:rPr>
          <w:rFonts w:eastAsia="仿宋_GB2312"/>
        </w:rPr>
        <w:t>（</w:t>
      </w:r>
      <w:r>
        <w:rPr>
          <w:rFonts w:hint="eastAsia" w:eastAsia="仿宋_GB2312"/>
        </w:rPr>
        <w:t>3</w:t>
      </w:r>
      <w:r>
        <w:rPr>
          <w:rFonts w:eastAsia="仿宋_GB2312"/>
        </w:rPr>
        <w:t>）《中华人民共和国土地管理法》（1986年6月25日第六届全国人大常委会第十六次会议通过，20</w:t>
      </w:r>
      <w:r>
        <w:rPr>
          <w:rFonts w:hint="eastAsia" w:eastAsia="仿宋_GB2312"/>
        </w:rPr>
        <w:t>19</w:t>
      </w:r>
      <w:r>
        <w:rPr>
          <w:rFonts w:eastAsia="仿宋_GB2312"/>
        </w:rPr>
        <w:t>年8月2</w:t>
      </w:r>
      <w:r>
        <w:rPr>
          <w:rFonts w:hint="eastAsia" w:eastAsia="仿宋_GB2312"/>
        </w:rPr>
        <w:t>6</w:t>
      </w:r>
      <w:r>
        <w:rPr>
          <w:rFonts w:eastAsia="仿宋_GB2312"/>
        </w:rPr>
        <w:t>日第</w:t>
      </w:r>
      <w:r>
        <w:rPr>
          <w:rFonts w:hint="eastAsia" w:eastAsia="仿宋_GB2312"/>
        </w:rPr>
        <w:t>十三</w:t>
      </w:r>
      <w:r>
        <w:rPr>
          <w:rFonts w:eastAsia="仿宋_GB2312"/>
        </w:rPr>
        <w:t>届全国人民代表大会常务委员会第十</w:t>
      </w:r>
      <w:r>
        <w:rPr>
          <w:rFonts w:hint="eastAsia" w:eastAsia="仿宋_GB2312"/>
        </w:rPr>
        <w:t>二</w:t>
      </w:r>
      <w:r>
        <w:rPr>
          <w:rFonts w:eastAsia="仿宋_GB2312"/>
        </w:rPr>
        <w:t>次会议修订通过，自20</w:t>
      </w:r>
      <w:r>
        <w:rPr>
          <w:rFonts w:hint="eastAsia" w:eastAsia="仿宋_GB2312"/>
        </w:rPr>
        <w:t>20</w:t>
      </w:r>
      <w:r>
        <w:rPr>
          <w:rFonts w:eastAsia="仿宋_GB2312"/>
        </w:rPr>
        <w:t>年1月1日实施）；</w:t>
      </w:r>
    </w:p>
    <w:p>
      <w:pPr>
        <w:tabs>
          <w:tab w:val="left" w:pos="851"/>
          <w:tab w:val="left" w:pos="1485"/>
        </w:tabs>
        <w:ind w:firstLine="480"/>
        <w:rPr>
          <w:rFonts w:eastAsia="仿宋_GB2312"/>
        </w:rPr>
      </w:pPr>
      <w:r>
        <w:rPr>
          <w:rFonts w:hint="eastAsia" w:eastAsia="仿宋_GB2312"/>
        </w:rPr>
        <w:t>（4）</w:t>
      </w:r>
      <w:r>
        <w:rPr>
          <w:rFonts w:eastAsia="仿宋_GB2312"/>
        </w:rPr>
        <w:t>《建设项目环境保护管理条例》(1998年11月29号发布，1988年11月29号实施，2017年7月16号修订)；</w:t>
      </w:r>
    </w:p>
    <w:p>
      <w:pPr>
        <w:tabs>
          <w:tab w:val="left" w:pos="851"/>
          <w:tab w:val="left" w:pos="1485"/>
        </w:tabs>
        <w:ind w:firstLine="480"/>
        <w:rPr>
          <w:rFonts w:eastAsia="仿宋_GB2312"/>
        </w:rPr>
      </w:pPr>
      <w:r>
        <w:rPr>
          <w:rFonts w:eastAsia="仿宋_GB2312"/>
        </w:rPr>
        <w:t>（</w:t>
      </w:r>
      <w:r>
        <w:rPr>
          <w:rFonts w:hint="eastAsia" w:eastAsia="仿宋_GB2312"/>
        </w:rPr>
        <w:t>5</w:t>
      </w:r>
      <w:r>
        <w:rPr>
          <w:rFonts w:eastAsia="仿宋_GB2312"/>
        </w:rPr>
        <w:t>）</w:t>
      </w:r>
      <w:r>
        <w:rPr>
          <w:rFonts w:hint="eastAsia" w:eastAsia="仿宋_GB2312"/>
        </w:rPr>
        <w:t>《中华人民共和国环境影响评价法》</w:t>
      </w:r>
      <w:r>
        <w:rPr>
          <w:rFonts w:eastAsia="仿宋_GB2312"/>
        </w:rPr>
        <w:t xml:space="preserve">(2003.9.1 </w:t>
      </w:r>
      <w:r>
        <w:rPr>
          <w:rFonts w:hint="eastAsia" w:eastAsia="仿宋_GB2312"/>
        </w:rPr>
        <w:t>颁布，</w:t>
      </w:r>
      <w:r>
        <w:rPr>
          <w:rFonts w:eastAsia="仿宋_GB2312"/>
        </w:rPr>
        <w:t xml:space="preserve">2018.12.29 </w:t>
      </w:r>
      <w:r>
        <w:rPr>
          <w:rFonts w:hint="eastAsia" w:eastAsia="仿宋_GB2312"/>
        </w:rPr>
        <w:t>修订</w:t>
      </w:r>
      <w:r>
        <w:rPr>
          <w:rFonts w:eastAsia="仿宋_GB2312"/>
        </w:rPr>
        <w:t>)</w:t>
      </w:r>
      <w:r>
        <w:rPr>
          <w:rFonts w:hint="eastAsia" w:eastAsia="仿宋_GB2312"/>
        </w:rPr>
        <w:t>；</w:t>
      </w:r>
    </w:p>
    <w:p>
      <w:pPr>
        <w:tabs>
          <w:tab w:val="left" w:pos="851"/>
          <w:tab w:val="left" w:pos="1485"/>
        </w:tabs>
        <w:ind w:firstLine="480"/>
        <w:rPr>
          <w:rFonts w:eastAsia="仿宋_GB2312"/>
        </w:rPr>
      </w:pPr>
      <w:r>
        <w:rPr>
          <w:rFonts w:eastAsia="仿宋_GB2312"/>
        </w:rPr>
        <w:t>（</w:t>
      </w:r>
      <w:r>
        <w:rPr>
          <w:rFonts w:hint="eastAsia" w:eastAsia="仿宋_GB2312"/>
        </w:rPr>
        <w:t>6</w:t>
      </w:r>
      <w:r>
        <w:rPr>
          <w:rFonts w:eastAsia="仿宋_GB2312"/>
        </w:rPr>
        <w:t>）《中华人民共和国水法》（2002年8月29日第九届全国人民代表大会常务委员会第二十九次会议修订通过，自2002年10月1日起施行；根据2016年7月2日第十二届全国人民代表大会常务委员会第二十一次会议修订通过，自2016年9月1日起施行）；</w:t>
      </w:r>
    </w:p>
    <w:p>
      <w:pPr>
        <w:tabs>
          <w:tab w:val="left" w:pos="851"/>
          <w:tab w:val="left" w:pos="1485"/>
        </w:tabs>
        <w:ind w:firstLine="480"/>
        <w:rPr>
          <w:rFonts w:eastAsia="仿宋_GB2312"/>
        </w:rPr>
      </w:pPr>
      <w:r>
        <w:rPr>
          <w:rFonts w:eastAsia="仿宋_GB2312"/>
        </w:rPr>
        <w:t>（</w:t>
      </w:r>
      <w:r>
        <w:rPr>
          <w:rFonts w:hint="eastAsia" w:eastAsia="仿宋_GB2312"/>
        </w:rPr>
        <w:t>7</w:t>
      </w:r>
      <w:r>
        <w:rPr>
          <w:rFonts w:eastAsia="仿宋_GB2312"/>
        </w:rPr>
        <w:t>）《新疆维吾尔自治区实施〈中华人民共和国水土保持法〉办法》（2013.10.01实施）</w:t>
      </w:r>
      <w:r>
        <w:rPr>
          <w:rFonts w:hint="eastAsia" w:eastAsia="仿宋_GB2312"/>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bookmarkStart w:id="55" w:name="_Toc255304502"/>
      <w:bookmarkStart w:id="56" w:name="_Toc211401482"/>
      <w:r>
        <w:rPr>
          <w:rFonts w:eastAsia="仿宋_GB2312"/>
        </w:rPr>
        <w:t>部委规章</w:t>
      </w:r>
      <w:bookmarkEnd w:id="55"/>
      <w:bookmarkEnd w:id="56"/>
    </w:p>
    <w:p>
      <w:pPr>
        <w:tabs>
          <w:tab w:val="left" w:pos="851"/>
          <w:tab w:val="left" w:pos="1485"/>
        </w:tabs>
        <w:ind w:firstLine="480"/>
        <w:rPr>
          <w:rFonts w:eastAsia="仿宋_GB2312"/>
        </w:rPr>
      </w:pPr>
      <w:bookmarkStart w:id="57" w:name="_Toc211401483"/>
      <w:bookmarkStart w:id="58" w:name="_Toc255304503"/>
      <w:r>
        <w:rPr>
          <w:rFonts w:eastAsia="仿宋_GB2312"/>
        </w:rPr>
        <w:t>（</w:t>
      </w:r>
      <w:r>
        <w:rPr>
          <w:rFonts w:hint="eastAsia" w:eastAsia="仿宋_GB2312"/>
        </w:rPr>
        <w:t>1</w:t>
      </w:r>
      <w:r>
        <w:rPr>
          <w:rFonts w:eastAsia="仿宋_GB2312"/>
        </w:rPr>
        <w:t>）水利部办公厅关于印发生产建设项目水土保持设施自主验收规程（试行）的通知》（办水保〔2018〕133号）；</w:t>
      </w:r>
    </w:p>
    <w:p>
      <w:pPr>
        <w:tabs>
          <w:tab w:val="left" w:pos="851"/>
          <w:tab w:val="left" w:pos="1485"/>
        </w:tabs>
        <w:ind w:firstLine="480"/>
        <w:rPr>
          <w:rFonts w:eastAsia="仿宋_GB2312"/>
        </w:rPr>
      </w:pPr>
      <w:r>
        <w:rPr>
          <w:rFonts w:eastAsia="仿宋_GB2312"/>
        </w:rPr>
        <w:t>（</w:t>
      </w:r>
      <w:r>
        <w:rPr>
          <w:rFonts w:hint="eastAsia" w:eastAsia="仿宋_GB2312"/>
        </w:rPr>
        <w:t>2</w:t>
      </w:r>
      <w:r>
        <w:rPr>
          <w:rFonts w:eastAsia="仿宋_GB2312"/>
        </w:rPr>
        <w:t>）《政府核准的投资项目目录（2016年本）》（2016年12月12日，国发〔2016〕72号）；</w:t>
      </w:r>
    </w:p>
    <w:p>
      <w:pPr>
        <w:ind w:firstLine="480"/>
        <w:rPr>
          <w:rFonts w:eastAsia="仿宋_GB2312"/>
          <w:spacing w:val="-4"/>
        </w:rPr>
      </w:pPr>
      <w:r>
        <w:rPr>
          <w:rFonts w:eastAsia="仿宋_GB2312"/>
        </w:rPr>
        <w:t>（</w:t>
      </w:r>
      <w:r>
        <w:rPr>
          <w:rFonts w:hint="eastAsia" w:eastAsia="仿宋_GB2312"/>
        </w:rPr>
        <w:t>3</w:t>
      </w:r>
      <w:r>
        <w:rPr>
          <w:rFonts w:eastAsia="仿宋_GB2312"/>
        </w:rPr>
        <w:t>）</w:t>
      </w:r>
      <w:r>
        <w:rPr>
          <w:rFonts w:eastAsia="仿宋_GB2312"/>
          <w:spacing w:val="-4"/>
        </w:rPr>
        <w:t>《开发建设项目水土保持方案编报审批管理规定》</w:t>
      </w:r>
      <w:r>
        <w:rPr>
          <w:rFonts w:eastAsia="仿宋_GB2312"/>
        </w:rPr>
        <w:t>（</w:t>
      </w:r>
      <w:r>
        <w:rPr>
          <w:rFonts w:eastAsia="仿宋_GB2312"/>
          <w:spacing w:val="-4"/>
        </w:rPr>
        <w:t>1995年5月30日水利部令第5号发布，2017年12月22日水利部令第49号修订</w:t>
      </w:r>
      <w:r>
        <w:rPr>
          <w:rFonts w:eastAsia="仿宋_GB2312"/>
        </w:rPr>
        <w:t>）</w:t>
      </w:r>
      <w:r>
        <w:rPr>
          <w:rFonts w:eastAsia="仿宋_GB2312"/>
          <w:spacing w:val="-4"/>
        </w:rPr>
        <w:t>；</w:t>
      </w:r>
    </w:p>
    <w:p>
      <w:pPr>
        <w:ind w:firstLine="480"/>
        <w:rPr>
          <w:rFonts w:eastAsia="仿宋_GB2312"/>
          <w:spacing w:val="-4"/>
        </w:rPr>
      </w:pPr>
      <w:r>
        <w:rPr>
          <w:rFonts w:eastAsia="仿宋_GB2312"/>
        </w:rPr>
        <w:t>（</w:t>
      </w:r>
      <w:r>
        <w:rPr>
          <w:rFonts w:hint="eastAsia" w:eastAsia="仿宋_GB2312"/>
        </w:rPr>
        <w:t>4</w:t>
      </w:r>
      <w:r>
        <w:rPr>
          <w:rFonts w:eastAsia="仿宋_GB2312"/>
        </w:rPr>
        <w:t>）</w:t>
      </w:r>
      <w:r>
        <w:rPr>
          <w:rFonts w:eastAsia="仿宋_GB2312"/>
          <w:spacing w:val="-4"/>
        </w:rPr>
        <w:t>《水土保持生态环境监测网络管理办法》</w:t>
      </w:r>
      <w:r>
        <w:rPr>
          <w:rFonts w:eastAsia="仿宋_GB2312"/>
        </w:rPr>
        <w:t>（</w:t>
      </w:r>
      <w:r>
        <w:rPr>
          <w:rFonts w:eastAsia="仿宋_GB2312"/>
          <w:spacing w:val="-4"/>
        </w:rPr>
        <w:t>2000年1月31日水利部第12号令发布，2014年8月19日修订</w:t>
      </w:r>
      <w:r>
        <w:rPr>
          <w:rFonts w:eastAsia="仿宋_GB2312"/>
        </w:rPr>
        <w:t>）</w:t>
      </w:r>
      <w:r>
        <w:rPr>
          <w:rFonts w:eastAsia="仿宋_GB2312"/>
          <w:spacing w:val="-4"/>
        </w:rPr>
        <w:t>；</w:t>
      </w:r>
    </w:p>
    <w:p>
      <w:pPr>
        <w:tabs>
          <w:tab w:val="left" w:pos="851"/>
          <w:tab w:val="left" w:pos="1485"/>
        </w:tabs>
        <w:ind w:firstLine="480"/>
        <w:rPr>
          <w:rFonts w:eastAsia="仿宋_GB2312"/>
        </w:rPr>
      </w:pPr>
      <w:r>
        <w:rPr>
          <w:rFonts w:eastAsia="仿宋_GB2312"/>
        </w:rPr>
        <w:t>（</w:t>
      </w:r>
      <w:r>
        <w:rPr>
          <w:rFonts w:hint="eastAsia" w:eastAsia="仿宋_GB2312"/>
        </w:rPr>
        <w:t>5</w:t>
      </w:r>
      <w:r>
        <w:rPr>
          <w:rFonts w:eastAsia="仿宋_GB2312"/>
        </w:rPr>
        <w:t>）《水利部关于废止和修改部分规章的决定》（</w:t>
      </w:r>
      <w:r>
        <w:rPr>
          <w:rFonts w:hint="eastAsia" w:eastAsia="仿宋_GB2312"/>
        </w:rPr>
        <w:t>水利部</w:t>
      </w:r>
      <w:r>
        <w:rPr>
          <w:rFonts w:eastAsia="仿宋_GB2312"/>
        </w:rPr>
        <w:t>[2017] 49</w:t>
      </w:r>
      <w:r>
        <w:rPr>
          <w:rFonts w:hint="eastAsia" w:eastAsia="仿宋_GB2312"/>
        </w:rPr>
        <w:t>号令</w:t>
      </w:r>
      <w:r>
        <w:rPr>
          <w:rFonts w:eastAsia="仿宋_GB2312"/>
        </w:rPr>
        <w:t>）</w:t>
      </w:r>
      <w:r>
        <w:rPr>
          <w:rFonts w:hint="eastAsia" w:eastAsia="仿宋_GB2312"/>
        </w:rPr>
        <w:t>；</w:t>
      </w:r>
    </w:p>
    <w:p>
      <w:pPr>
        <w:tabs>
          <w:tab w:val="left" w:pos="851"/>
          <w:tab w:val="left" w:pos="1485"/>
        </w:tabs>
        <w:ind w:firstLine="480"/>
        <w:rPr>
          <w:rFonts w:eastAsia="仿宋_GB2312"/>
        </w:rPr>
      </w:pPr>
      <w:r>
        <w:rPr>
          <w:rFonts w:eastAsia="仿宋_GB2312"/>
          <w:color w:val="FF0000"/>
        </w:rPr>
        <w:t>（</w:t>
      </w:r>
      <w:r>
        <w:rPr>
          <w:rFonts w:hint="eastAsia" w:eastAsia="仿宋_GB2312"/>
          <w:color w:val="FF0000"/>
        </w:rPr>
        <w:t>6</w:t>
      </w:r>
      <w:r>
        <w:rPr>
          <w:rFonts w:eastAsia="仿宋_GB2312"/>
          <w:color w:val="FF0000"/>
        </w:rPr>
        <w:t>）水利部办公厅关于印发生产建设项目水土保持问题分类和责任追究标准的通知（办水保函〔2020〕564号</w:t>
      </w:r>
      <w:r>
        <w:rPr>
          <w:rFonts w:hint="eastAsia" w:eastAsia="仿宋_GB2312"/>
          <w:color w:val="FF0000"/>
        </w:rPr>
        <w:t>，2020年7月24日</w:t>
      </w:r>
      <w:r>
        <w:rPr>
          <w:rFonts w:eastAsia="仿宋_GB2312"/>
          <w:color w:val="FF0000"/>
        </w:rPr>
        <w:t>）</w:t>
      </w:r>
      <w:r>
        <w:rPr>
          <w:rFonts w:eastAsia="仿宋_GB2312"/>
          <w:color w:val="FF0000"/>
          <w:spacing w:val="-4"/>
        </w:rPr>
        <w:t>；</w:t>
      </w:r>
      <w:r>
        <w:rPr>
          <w:rFonts w:eastAsia="仿宋_GB2312"/>
          <w:color w:val="FF0000"/>
        </w:rPr>
        <w:br w:type="textWrapping"/>
      </w:r>
      <w:r>
        <w:rPr>
          <w:rFonts w:eastAsia="仿宋_GB2312"/>
          <w:color w:val="FF0000"/>
        </w:rPr>
        <w:t>（</w:t>
      </w:r>
      <w:r>
        <w:rPr>
          <w:rFonts w:hint="eastAsia" w:eastAsia="仿宋_GB2312"/>
          <w:color w:val="FF0000"/>
        </w:rPr>
        <w:t>7</w:t>
      </w:r>
      <w:r>
        <w:rPr>
          <w:rFonts w:eastAsia="仿宋_GB2312"/>
          <w:color w:val="FF0000"/>
        </w:rPr>
        <w:t>）水利部办公厅关于实施生产建设项目水土保持信用监管“两单”制度的通知（办水保〔2020〕157号</w:t>
      </w:r>
      <w:r>
        <w:rPr>
          <w:rFonts w:hint="eastAsia" w:eastAsia="仿宋_GB2312"/>
          <w:color w:val="FF0000"/>
        </w:rPr>
        <w:t>，2020年7月24日</w:t>
      </w:r>
      <w:r>
        <w:rPr>
          <w:rFonts w:eastAsia="仿宋_GB2312"/>
          <w:color w:val="FF0000"/>
        </w:rPr>
        <w:t>）</w:t>
      </w:r>
      <w:r>
        <w:rPr>
          <w:rFonts w:eastAsia="仿宋_GB2312"/>
          <w:color w:val="FF0000"/>
          <w:spacing w:val="-4"/>
        </w:rPr>
        <w:t>；</w:t>
      </w:r>
      <w:r>
        <w:rPr>
          <w:rFonts w:eastAsia="仿宋_GB2312"/>
          <w:color w:val="FF0000"/>
        </w:rPr>
        <w:br w:type="textWrapping"/>
      </w:r>
      <w:r>
        <w:rPr>
          <w:rFonts w:eastAsia="仿宋_GB2312"/>
          <w:color w:val="FF0000"/>
        </w:rPr>
        <w:t>（</w:t>
      </w:r>
      <w:r>
        <w:rPr>
          <w:rFonts w:hint="eastAsia" w:eastAsia="仿宋_GB2312"/>
          <w:color w:val="FF0000"/>
        </w:rPr>
        <w:t>8</w:t>
      </w:r>
      <w:r>
        <w:rPr>
          <w:rFonts w:eastAsia="仿宋_GB2312"/>
          <w:color w:val="FF0000"/>
        </w:rPr>
        <w:t>）水利部办公厅关于做好生产建设项目水土保持承诺制管理的通知（办水保〔2020〕160号</w:t>
      </w:r>
      <w:r>
        <w:rPr>
          <w:rFonts w:hint="eastAsia" w:eastAsia="仿宋_GB2312"/>
          <w:color w:val="FF0000"/>
        </w:rPr>
        <w:t>，2020年7月28日</w:t>
      </w:r>
      <w:r>
        <w:rPr>
          <w:rFonts w:eastAsia="仿宋_GB2312"/>
          <w:color w:val="FF0000"/>
        </w:rPr>
        <w:t>）</w:t>
      </w:r>
      <w:r>
        <w:rPr>
          <w:rFonts w:eastAsia="仿宋_GB2312"/>
          <w:color w:val="FF0000"/>
          <w:spacing w:val="-4"/>
        </w:rPr>
        <w:t>；</w:t>
      </w:r>
      <w:r>
        <w:rPr>
          <w:rFonts w:eastAsia="仿宋_GB2312"/>
          <w:color w:val="FF0000"/>
        </w:rPr>
        <w:br w:type="textWrapping"/>
      </w:r>
      <w:r>
        <w:rPr>
          <w:rFonts w:eastAsia="仿宋_GB2312"/>
          <w:color w:val="FF0000"/>
        </w:rPr>
        <w:t>（</w:t>
      </w:r>
      <w:r>
        <w:rPr>
          <w:rFonts w:hint="eastAsia" w:eastAsia="仿宋_GB2312"/>
          <w:color w:val="FF0000"/>
        </w:rPr>
        <w:t>9</w:t>
      </w:r>
      <w:r>
        <w:rPr>
          <w:rFonts w:eastAsia="仿宋_GB2312"/>
          <w:color w:val="FF0000"/>
        </w:rPr>
        <w:t>）水利部办公厅关于进一步加强生产建设项目水土保持监测工作的通知（办水保〔2020〕161号</w:t>
      </w:r>
      <w:r>
        <w:rPr>
          <w:rFonts w:hint="eastAsia" w:eastAsia="仿宋_GB2312"/>
          <w:color w:val="FF0000"/>
        </w:rPr>
        <w:t>，2020年7月28日</w:t>
      </w:r>
      <w:r>
        <w:rPr>
          <w:rFonts w:eastAsia="仿宋_GB2312"/>
          <w:color w:val="FF0000"/>
        </w:rPr>
        <w:t>）</w:t>
      </w:r>
      <w:r>
        <w:rPr>
          <w:rFonts w:hint="eastAsia" w:eastAsia="仿宋_GB2312"/>
          <w:color w:val="FF0000"/>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规范性文件</w:t>
      </w:r>
      <w:bookmarkEnd w:id="57"/>
      <w:bookmarkEnd w:id="58"/>
    </w:p>
    <w:p>
      <w:pPr>
        <w:ind w:firstLine="480"/>
        <w:rPr>
          <w:rFonts w:eastAsia="仿宋_GB2312"/>
        </w:rPr>
      </w:pPr>
      <w:bookmarkStart w:id="59" w:name="_Toc211401484"/>
      <w:bookmarkStart w:id="60" w:name="_Toc255304504"/>
      <w:r>
        <w:rPr>
          <w:rFonts w:eastAsia="仿宋_GB2312"/>
        </w:rPr>
        <w:t>（1）“关于颁发《水土保持工程概(估)算编制规定和定额》的通知”(水利部水总[2003]67号，2003年1月25日)；</w:t>
      </w:r>
    </w:p>
    <w:p>
      <w:pPr>
        <w:ind w:firstLine="480"/>
        <w:rPr>
          <w:rFonts w:eastAsia="仿宋_GB2312"/>
        </w:rPr>
      </w:pPr>
      <w:r>
        <w:rPr>
          <w:rFonts w:hint="eastAsia" w:eastAsia="仿宋_GB2312"/>
        </w:rPr>
        <w:t>（2</w:t>
      </w:r>
      <w:r>
        <w:rPr>
          <w:rFonts w:eastAsia="仿宋_GB2312"/>
        </w:rPr>
        <w:t>）</w:t>
      </w:r>
      <w:r>
        <w:rPr>
          <w:rFonts w:hint="eastAsia" w:eastAsia="仿宋_GB2312"/>
        </w:rPr>
        <w:t>《关于加强大中型开发建设项目水土保持监理工作的通知》</w:t>
      </w:r>
      <w:r>
        <w:rPr>
          <w:rFonts w:eastAsia="仿宋_GB2312"/>
        </w:rPr>
        <w:t>(</w:t>
      </w:r>
      <w:r>
        <w:rPr>
          <w:rFonts w:hint="eastAsia" w:eastAsia="仿宋_GB2312"/>
        </w:rPr>
        <w:t>水利部水保</w:t>
      </w:r>
      <w:r>
        <w:rPr>
          <w:rFonts w:eastAsia="仿宋_GB2312"/>
        </w:rPr>
        <w:t>[2003]89</w:t>
      </w:r>
      <w:r>
        <w:rPr>
          <w:rFonts w:hint="eastAsia" w:eastAsia="仿宋_GB2312"/>
        </w:rPr>
        <w:t>号，</w:t>
      </w:r>
      <w:r>
        <w:rPr>
          <w:rFonts w:eastAsia="仿宋_GB2312"/>
        </w:rPr>
        <w:t>2010</w:t>
      </w:r>
      <w:r>
        <w:rPr>
          <w:rFonts w:hint="eastAsia" w:eastAsia="仿宋_GB2312"/>
        </w:rPr>
        <w:t>年</w:t>
      </w:r>
      <w:r>
        <w:rPr>
          <w:rFonts w:eastAsia="仿宋_GB2312"/>
        </w:rPr>
        <w:t>12</w:t>
      </w:r>
      <w:r>
        <w:rPr>
          <w:rFonts w:hint="eastAsia" w:eastAsia="仿宋_GB2312"/>
        </w:rPr>
        <w:t>月</w:t>
      </w:r>
      <w:r>
        <w:rPr>
          <w:rFonts w:eastAsia="仿宋_GB2312"/>
        </w:rPr>
        <w:t>30</w:t>
      </w:r>
      <w:r>
        <w:rPr>
          <w:rFonts w:hint="eastAsia" w:eastAsia="仿宋_GB2312"/>
        </w:rPr>
        <w:t>日修订</w:t>
      </w:r>
      <w:r>
        <w:rPr>
          <w:rFonts w:eastAsia="仿宋_GB2312"/>
        </w:rPr>
        <w:t>)；</w:t>
      </w:r>
    </w:p>
    <w:p>
      <w:pPr>
        <w:ind w:firstLine="480"/>
        <w:rPr>
          <w:rFonts w:eastAsia="仿宋_GB2312"/>
        </w:rPr>
      </w:pPr>
      <w:r>
        <w:rPr>
          <w:rFonts w:eastAsia="仿宋_GB2312"/>
        </w:rPr>
        <w:t>（</w:t>
      </w:r>
      <w:r>
        <w:rPr>
          <w:rFonts w:hint="eastAsia" w:eastAsia="仿宋_GB2312"/>
        </w:rPr>
        <w:t>3</w:t>
      </w:r>
      <w:r>
        <w:rPr>
          <w:rFonts w:eastAsia="仿宋_GB2312"/>
        </w:rPr>
        <w:t>）《关于严格开发建设项目水土保持审查审批工作的通知》(水利部水保[2007]184号文，2007年5月21日)；</w:t>
      </w:r>
    </w:p>
    <w:p>
      <w:pPr>
        <w:ind w:firstLine="480"/>
        <w:jc w:val="left"/>
        <w:rPr>
          <w:rFonts w:eastAsia="仿宋_GB2312"/>
        </w:rPr>
      </w:pPr>
      <w:r>
        <w:rPr>
          <w:rFonts w:eastAsia="仿宋_GB2312"/>
        </w:rPr>
        <w:t>（</w:t>
      </w:r>
      <w:r>
        <w:rPr>
          <w:rFonts w:hint="eastAsia" w:eastAsia="仿宋_GB2312"/>
        </w:rPr>
        <w:t>4</w:t>
      </w:r>
      <w:r>
        <w:rPr>
          <w:rFonts w:eastAsia="仿宋_GB2312"/>
        </w:rPr>
        <w:t>）“关于规范《开发建设项目水土保持监测工作》的意见”(水利部水保[2009]187号，2009年3月25日)；</w:t>
      </w:r>
    </w:p>
    <w:p>
      <w:pPr>
        <w:ind w:firstLine="480"/>
        <w:jc w:val="left"/>
        <w:rPr>
          <w:rFonts w:eastAsia="仿宋_GB2312"/>
        </w:rPr>
      </w:pPr>
      <w:r>
        <w:rPr>
          <w:rFonts w:eastAsia="仿宋_GB2312"/>
        </w:rPr>
        <w:t>（</w:t>
      </w:r>
      <w:r>
        <w:rPr>
          <w:rFonts w:hint="eastAsia" w:eastAsia="仿宋_GB2312"/>
        </w:rPr>
        <w:t>5</w:t>
      </w:r>
      <w:r>
        <w:rPr>
          <w:rFonts w:eastAsia="仿宋_GB2312"/>
        </w:rPr>
        <w:t>）“关于印发《新疆维吾尔自治区水土保持设施补偿费、水土流失防治费收缴使用管理暂行规定》的通知”(新政发[2000]45号，2000年6月12日)；</w:t>
      </w:r>
    </w:p>
    <w:p>
      <w:pPr>
        <w:ind w:firstLine="480"/>
        <w:jc w:val="left"/>
        <w:rPr>
          <w:rFonts w:eastAsia="仿宋_GB2312"/>
        </w:rPr>
      </w:pPr>
      <w:r>
        <w:rPr>
          <w:rFonts w:eastAsia="仿宋_GB2312"/>
        </w:rPr>
        <w:t>（</w:t>
      </w:r>
      <w:r>
        <w:rPr>
          <w:rFonts w:hint="eastAsia" w:eastAsia="仿宋_GB2312"/>
        </w:rPr>
        <w:t>6</w:t>
      </w:r>
      <w:r>
        <w:rPr>
          <w:rFonts w:eastAsia="仿宋_GB2312"/>
        </w:rPr>
        <w:t>）</w:t>
      </w:r>
      <w:r>
        <w:rPr>
          <w:rFonts w:hint="eastAsia" w:eastAsia="仿宋_GB2312"/>
        </w:rPr>
        <w:t>新疆维吾尔自治区水利厅</w:t>
      </w:r>
      <w:r>
        <w:rPr>
          <w:rFonts w:eastAsia="仿宋_GB2312"/>
        </w:rPr>
        <w:t>《</w:t>
      </w:r>
      <w:r>
        <w:rPr>
          <w:rFonts w:hint="eastAsia" w:eastAsia="仿宋_GB2312"/>
        </w:rPr>
        <w:t>关于严格执行国家发展改革委财政部降低部分行政事业性收费标准的通知</w:t>
      </w:r>
      <w:r>
        <w:rPr>
          <w:rFonts w:eastAsia="仿宋_GB2312"/>
        </w:rPr>
        <w:t>》</w:t>
      </w:r>
      <w:r>
        <w:rPr>
          <w:rFonts w:hint="eastAsia" w:eastAsia="仿宋_GB2312"/>
        </w:rPr>
        <w:t>(新水办</w:t>
      </w:r>
      <w:r>
        <w:rPr>
          <w:rFonts w:eastAsia="仿宋_GB2312"/>
        </w:rPr>
        <w:t>[20</w:t>
      </w:r>
      <w:r>
        <w:rPr>
          <w:rFonts w:hint="eastAsia" w:eastAsia="仿宋_GB2312"/>
        </w:rPr>
        <w:t>20</w:t>
      </w:r>
      <w:r>
        <w:rPr>
          <w:rFonts w:eastAsia="仿宋_GB2312"/>
        </w:rPr>
        <w:t>]</w:t>
      </w:r>
      <w:r>
        <w:rPr>
          <w:rFonts w:hint="eastAsia" w:eastAsia="仿宋_GB2312"/>
        </w:rPr>
        <w:t>168号)；</w:t>
      </w:r>
    </w:p>
    <w:p>
      <w:pPr>
        <w:ind w:firstLine="480"/>
        <w:jc w:val="left"/>
        <w:rPr>
          <w:rFonts w:eastAsia="仿宋_GB2312"/>
        </w:rPr>
      </w:pPr>
      <w:r>
        <w:rPr>
          <w:rFonts w:eastAsia="仿宋_GB2312"/>
        </w:rPr>
        <w:t>（</w:t>
      </w:r>
      <w:r>
        <w:rPr>
          <w:rFonts w:hint="eastAsia" w:eastAsia="仿宋_GB2312"/>
        </w:rPr>
        <w:t>7</w:t>
      </w:r>
      <w:r>
        <w:rPr>
          <w:rFonts w:eastAsia="仿宋_GB2312"/>
        </w:rPr>
        <w:t>）“关于印发《</w:t>
      </w:r>
      <w:bookmarkStart w:id="61" w:name="OLE_LINK22"/>
      <w:r>
        <w:rPr>
          <w:rFonts w:eastAsia="仿宋_GB2312"/>
        </w:rPr>
        <w:t>全国水土保持规划国家级水土流失重点预防区和重点治理区复核划分成果</w:t>
      </w:r>
      <w:bookmarkEnd w:id="61"/>
      <w:r>
        <w:rPr>
          <w:rFonts w:eastAsia="仿宋_GB2312"/>
        </w:rPr>
        <w:t>》的通知(水利部办公厅办水保[2013]188号，2013年8月12日)；</w:t>
      </w:r>
    </w:p>
    <w:p>
      <w:pPr>
        <w:ind w:firstLine="480"/>
        <w:rPr>
          <w:rFonts w:eastAsia="仿宋_GB2312"/>
        </w:rPr>
      </w:pPr>
      <w:r>
        <w:rPr>
          <w:rFonts w:eastAsia="仿宋_GB2312"/>
        </w:rPr>
        <w:t>（</w:t>
      </w:r>
      <w:r>
        <w:rPr>
          <w:rFonts w:hint="eastAsia" w:eastAsia="仿宋_GB2312"/>
        </w:rPr>
        <w:t>8</w:t>
      </w:r>
      <w:r>
        <w:rPr>
          <w:rFonts w:eastAsia="仿宋_GB2312"/>
        </w:rPr>
        <w:t>）“国家发展改革委建设部关于印发《建设工程监理与相关服务收费管理规定》的通知”(国家发展改革委员会、建设部发改价格[2007]670号，2007年3月30日)；</w:t>
      </w:r>
    </w:p>
    <w:p>
      <w:pPr>
        <w:ind w:firstLine="480"/>
        <w:rPr>
          <w:rFonts w:eastAsia="仿宋_GB2312"/>
        </w:rPr>
      </w:pPr>
      <w:r>
        <w:rPr>
          <w:rFonts w:eastAsia="仿宋_GB2312"/>
        </w:rPr>
        <w:t>（</w:t>
      </w:r>
      <w:r>
        <w:rPr>
          <w:rFonts w:hint="eastAsia" w:eastAsia="仿宋_GB2312"/>
        </w:rPr>
        <w:t>9</w:t>
      </w:r>
      <w:r>
        <w:rPr>
          <w:rFonts w:eastAsia="仿宋_GB2312"/>
        </w:rPr>
        <w:t>）《水利部关于加强水土保持监测工作的通知》（水保[2017]36号）；</w:t>
      </w:r>
    </w:p>
    <w:p>
      <w:pPr>
        <w:ind w:firstLine="480"/>
        <w:jc w:val="left"/>
        <w:rPr>
          <w:rFonts w:eastAsia="仿宋_GB2312"/>
          <w:sz w:val="23"/>
          <w:szCs w:val="23"/>
        </w:rPr>
      </w:pPr>
      <w:r>
        <w:rPr>
          <w:rFonts w:eastAsia="仿宋_GB2312"/>
        </w:rPr>
        <w:t>（</w:t>
      </w:r>
      <w:r>
        <w:rPr>
          <w:rFonts w:hint="eastAsia" w:eastAsia="仿宋_GB2312"/>
        </w:rPr>
        <w:t>10</w:t>
      </w:r>
      <w:r>
        <w:rPr>
          <w:rFonts w:eastAsia="仿宋_GB2312"/>
        </w:rPr>
        <w:t>）“财政部国家发展改革委水利部中国人民银行关于印发《水土保持补偿费征收使用管理办法》的通知”(财综[2014]8号，2014年5月1日)；</w:t>
      </w:r>
    </w:p>
    <w:p>
      <w:pPr>
        <w:ind w:firstLine="480"/>
        <w:rPr>
          <w:rFonts w:eastAsia="仿宋_GB2312"/>
        </w:rPr>
      </w:pPr>
      <w:r>
        <w:rPr>
          <w:rFonts w:eastAsia="仿宋_GB2312"/>
        </w:rPr>
        <w:t>（</w:t>
      </w:r>
      <w:r>
        <w:rPr>
          <w:rFonts w:hint="eastAsia" w:eastAsia="仿宋_GB2312"/>
        </w:rPr>
        <w:t>11</w:t>
      </w:r>
      <w:r>
        <w:rPr>
          <w:rFonts w:eastAsia="仿宋_GB2312"/>
        </w:rPr>
        <w:t>）“国家发改委财政部水利部《关于水土保持补偿费收费标准(试行)的通知》”(发改价格[2014]886号 2014年5月7日)；</w:t>
      </w:r>
    </w:p>
    <w:p>
      <w:pPr>
        <w:ind w:firstLine="480"/>
        <w:rPr>
          <w:rFonts w:eastAsia="仿宋_GB2312"/>
        </w:rPr>
      </w:pPr>
      <w:r>
        <w:rPr>
          <w:rFonts w:eastAsia="仿宋_GB2312"/>
        </w:rPr>
        <w:t>（</w:t>
      </w:r>
      <w:r>
        <w:rPr>
          <w:rFonts w:hint="eastAsia" w:eastAsia="仿宋_GB2312"/>
        </w:rPr>
        <w:t>12</w:t>
      </w:r>
      <w:r>
        <w:rPr>
          <w:rFonts w:eastAsia="仿宋_GB2312"/>
        </w:rPr>
        <w:t>）“新疆维吾尔自治区水土保持补偿费征收使用管理办法” (新疆维吾尔自治区财政厅、新疆维吾尔自治区发展和改革委员会、新疆维吾尔自治区水利厅，新财非税[2015]10号)；</w:t>
      </w:r>
    </w:p>
    <w:p>
      <w:pPr>
        <w:ind w:firstLine="480"/>
        <w:jc w:val="left"/>
        <w:rPr>
          <w:rFonts w:eastAsia="仿宋_GB2312"/>
        </w:rPr>
      </w:pPr>
      <w:r>
        <w:rPr>
          <w:rFonts w:eastAsia="仿宋_GB2312"/>
        </w:rPr>
        <w:t>（</w:t>
      </w:r>
      <w:r>
        <w:rPr>
          <w:rFonts w:hint="eastAsia" w:eastAsia="仿宋_GB2312"/>
        </w:rPr>
        <w:t>13</w:t>
      </w:r>
      <w:r>
        <w:rPr>
          <w:rFonts w:eastAsia="仿宋_GB2312"/>
        </w:rPr>
        <w:t>）关于印发《新疆维吾尔自治区生产建设项目水土保持方案管理办法》(修订稿)的通知(新水厅[2016]112号，2016年11月17日修订)；</w:t>
      </w:r>
    </w:p>
    <w:p>
      <w:pPr>
        <w:ind w:firstLine="480"/>
        <w:rPr>
          <w:rFonts w:eastAsia="仿宋_GB2312"/>
        </w:rPr>
      </w:pPr>
      <w:r>
        <w:rPr>
          <w:rFonts w:eastAsia="仿宋_GB2312"/>
        </w:rPr>
        <w:t>（</w:t>
      </w:r>
      <w:r>
        <w:rPr>
          <w:rFonts w:hint="eastAsia" w:eastAsia="仿宋_GB2312"/>
        </w:rPr>
        <w:t>14</w:t>
      </w:r>
      <w:r>
        <w:rPr>
          <w:rFonts w:eastAsia="仿宋_GB2312"/>
        </w:rPr>
        <w:t>）《水利部关于加强事中事后监管规范生产建设项目水土保持设施自主验收的通知》(水保[2017]365号，2017.11.13)；</w:t>
      </w:r>
    </w:p>
    <w:p>
      <w:pPr>
        <w:ind w:firstLine="480"/>
        <w:rPr>
          <w:rFonts w:eastAsia="仿宋_GB2312"/>
        </w:rPr>
      </w:pPr>
      <w:r>
        <w:rPr>
          <w:rFonts w:eastAsia="仿宋_GB2312"/>
        </w:rPr>
        <w:t>（</w:t>
      </w:r>
      <w:r>
        <w:rPr>
          <w:rFonts w:hint="eastAsia" w:eastAsia="仿宋_GB2312"/>
        </w:rPr>
        <w:t>15</w:t>
      </w:r>
      <w:r>
        <w:rPr>
          <w:rFonts w:eastAsia="仿宋_GB2312"/>
        </w:rPr>
        <w:t>）《新疆维吾尔自治区水利厅关于加强事中事后监管规范生产建设项目水土保持设施自主验收实施意见的通知》(新水办水保[2017]121号，2017.12.8)；</w:t>
      </w:r>
    </w:p>
    <w:p>
      <w:pPr>
        <w:ind w:firstLine="480"/>
        <w:rPr>
          <w:rFonts w:eastAsia="仿宋_GB2312"/>
        </w:rPr>
      </w:pPr>
      <w:r>
        <w:rPr>
          <w:rFonts w:eastAsia="仿宋_GB2312"/>
        </w:rPr>
        <w:t>（</w:t>
      </w:r>
      <w:r>
        <w:rPr>
          <w:rFonts w:hint="eastAsia" w:eastAsia="仿宋_GB2312"/>
        </w:rPr>
        <w:t>16</w:t>
      </w:r>
      <w:r>
        <w:rPr>
          <w:rFonts w:eastAsia="仿宋_GB2312"/>
        </w:rPr>
        <w:t>）《水利部办公厅关于印发生产建设项目水土保持技术文件编写和印制格式规定(试行)的通知》(办水保[2018]135号，2018.7.12)；</w:t>
      </w:r>
    </w:p>
    <w:p>
      <w:pPr>
        <w:ind w:firstLine="480"/>
        <w:rPr>
          <w:rFonts w:eastAsia="仿宋_GB2312"/>
        </w:rPr>
      </w:pPr>
      <w:r>
        <w:rPr>
          <w:rFonts w:eastAsia="仿宋_GB2312"/>
        </w:rPr>
        <w:t>（</w:t>
      </w:r>
      <w:r>
        <w:rPr>
          <w:rFonts w:hint="eastAsia" w:eastAsia="仿宋_GB2312"/>
        </w:rPr>
        <w:t>17</w:t>
      </w:r>
      <w:r>
        <w:rPr>
          <w:rFonts w:eastAsia="仿宋_GB2312"/>
        </w:rPr>
        <w:t>）《关于印发新疆自治区级水土流失重点预防区和重点治理区复核划分成果的通知》(新水水保[2019]4号，2019.1.21)；</w:t>
      </w:r>
    </w:p>
    <w:p>
      <w:pPr>
        <w:ind w:firstLine="480"/>
        <w:rPr>
          <w:rFonts w:eastAsia="仿宋_GB2312"/>
        </w:rPr>
      </w:pPr>
      <w:r>
        <w:rPr>
          <w:rFonts w:eastAsia="仿宋_GB2312"/>
        </w:rPr>
        <w:t>（</w:t>
      </w:r>
      <w:r>
        <w:rPr>
          <w:rFonts w:hint="eastAsia" w:eastAsia="仿宋_GB2312"/>
        </w:rPr>
        <w:t>18</w:t>
      </w:r>
      <w:r>
        <w:rPr>
          <w:rFonts w:eastAsia="仿宋_GB2312"/>
        </w:rPr>
        <w:t>）《住房和城乡建设部办公厅关于重新调整建设工程计价依据增值税税率的通知》(建办标函[2019]193号文)；</w:t>
      </w:r>
    </w:p>
    <w:p>
      <w:pPr>
        <w:autoSpaceDE w:val="0"/>
        <w:autoSpaceDN w:val="0"/>
        <w:snapToGrid/>
        <w:ind w:firstLine="480"/>
        <w:rPr>
          <w:rFonts w:eastAsia="仿宋_GB2312"/>
        </w:rPr>
      </w:pPr>
      <w:r>
        <w:rPr>
          <w:rFonts w:eastAsia="仿宋_GB2312"/>
        </w:rPr>
        <w:t>（</w:t>
      </w:r>
      <w:r>
        <w:rPr>
          <w:rFonts w:hint="eastAsia" w:eastAsia="仿宋_GB2312"/>
        </w:rPr>
        <w:t>19</w:t>
      </w:r>
      <w:r>
        <w:rPr>
          <w:rFonts w:eastAsia="仿宋_GB2312"/>
        </w:rPr>
        <w:t>）《水利部关于进一步深化“放管服”改革全面加强水土保持监管的意见》(水保[2019]160号，2019.5.31)</w:t>
      </w:r>
      <w:r>
        <w:rPr>
          <w:rFonts w:hint="eastAsia" w:eastAsia="仿宋_GB2312"/>
        </w:rPr>
        <w:t>；</w:t>
      </w:r>
    </w:p>
    <w:p>
      <w:pPr>
        <w:autoSpaceDE w:val="0"/>
        <w:autoSpaceDN w:val="0"/>
        <w:snapToGrid/>
        <w:ind w:firstLine="480"/>
        <w:rPr>
          <w:rFonts w:eastAsia="仿宋_GB2312"/>
        </w:rPr>
      </w:pPr>
      <w:r>
        <w:rPr>
          <w:rFonts w:eastAsia="仿宋_GB2312"/>
        </w:rPr>
        <w:t>（</w:t>
      </w:r>
      <w:r>
        <w:rPr>
          <w:rFonts w:hint="eastAsia" w:eastAsia="仿宋_GB2312"/>
        </w:rPr>
        <w:t>20</w:t>
      </w:r>
      <w:r>
        <w:rPr>
          <w:rFonts w:eastAsia="仿宋_GB2312"/>
        </w:rPr>
        <w:t>）</w:t>
      </w:r>
      <w:r>
        <w:rPr>
          <w:rFonts w:hint="eastAsia" w:eastAsia="仿宋_GB2312"/>
        </w:rPr>
        <w:t>《水利部办公厅关于印发生产建设项目水土保持监督管理办法的通知》（办水保</w:t>
      </w:r>
      <w:r>
        <w:rPr>
          <w:rFonts w:eastAsia="仿宋_GB2312"/>
        </w:rPr>
        <w:t>[201</w:t>
      </w:r>
      <w:r>
        <w:rPr>
          <w:rFonts w:hint="eastAsia" w:eastAsia="仿宋_GB2312"/>
        </w:rPr>
        <w:t>9</w:t>
      </w:r>
      <w:r>
        <w:rPr>
          <w:rFonts w:eastAsia="仿宋_GB2312"/>
        </w:rPr>
        <w:t xml:space="preserve">] </w:t>
      </w:r>
      <w:r>
        <w:rPr>
          <w:rFonts w:hint="eastAsia" w:eastAsia="仿宋_GB2312"/>
        </w:rPr>
        <w:t>172号文）；</w:t>
      </w:r>
    </w:p>
    <w:p>
      <w:pPr>
        <w:ind w:firstLine="480"/>
        <w:rPr>
          <w:rFonts w:eastAsia="仿宋_GB2312"/>
        </w:rPr>
      </w:pPr>
      <w:r>
        <w:rPr>
          <w:rFonts w:eastAsia="仿宋_GB2312"/>
        </w:rPr>
        <w:t>（</w:t>
      </w:r>
      <w:r>
        <w:rPr>
          <w:rFonts w:hint="eastAsia" w:eastAsia="仿宋_GB2312"/>
        </w:rPr>
        <w:t>21</w:t>
      </w:r>
      <w:r>
        <w:rPr>
          <w:rFonts w:eastAsia="仿宋_GB2312"/>
        </w:rPr>
        <w:t>）</w:t>
      </w:r>
      <w:r>
        <w:rPr>
          <w:rFonts w:hint="eastAsia" w:eastAsia="仿宋_GB2312"/>
        </w:rPr>
        <w:t>水利部办公厅关于印发《水利部生产建设项目水土保持方案技术评审细则（试行）的通知》（办水保</w:t>
      </w:r>
      <w:r>
        <w:rPr>
          <w:rFonts w:eastAsia="仿宋_GB2312"/>
        </w:rPr>
        <w:t>[201</w:t>
      </w:r>
      <w:r>
        <w:rPr>
          <w:rFonts w:hint="eastAsia" w:eastAsia="仿宋_GB2312"/>
        </w:rPr>
        <w:t>8</w:t>
      </w:r>
      <w:r>
        <w:rPr>
          <w:rFonts w:eastAsia="仿宋_GB2312"/>
        </w:rPr>
        <w:t xml:space="preserve">] </w:t>
      </w:r>
      <w:r>
        <w:rPr>
          <w:rFonts w:hint="eastAsia" w:eastAsia="仿宋_GB2312"/>
        </w:rPr>
        <w:t>47号文）。</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规范标准</w:t>
      </w:r>
      <w:bookmarkEnd w:id="59"/>
      <w:bookmarkEnd w:id="60"/>
    </w:p>
    <w:p>
      <w:pPr>
        <w:tabs>
          <w:tab w:val="left" w:pos="851"/>
          <w:tab w:val="left" w:pos="1485"/>
        </w:tabs>
        <w:ind w:firstLine="480"/>
        <w:rPr>
          <w:rFonts w:eastAsia="仿宋_GB2312"/>
        </w:rPr>
      </w:pPr>
      <w:r>
        <w:rPr>
          <w:rFonts w:hint="eastAsia" w:eastAsia="仿宋_GB2312"/>
        </w:rPr>
        <w:t>（1）</w:t>
      </w:r>
      <w:bookmarkStart w:id="62" w:name="_Toc211401485"/>
      <w:bookmarkStart w:id="63" w:name="_Toc255304505"/>
      <w:r>
        <w:rPr>
          <w:rFonts w:hint="eastAsia" w:eastAsia="仿宋_GB2312"/>
        </w:rPr>
        <w:t>《</w:t>
      </w:r>
      <w:r>
        <w:rPr>
          <w:rFonts w:hint="eastAsia" w:eastAsia="仿宋_GB2312"/>
          <w:lang w:val="zh-CN"/>
        </w:rPr>
        <w:t>生产</w:t>
      </w:r>
      <w:r>
        <w:rPr>
          <w:rFonts w:eastAsia="仿宋_GB2312"/>
          <w:lang w:val="zh-CN"/>
        </w:rPr>
        <w:t>建设项目水土保持技术</w:t>
      </w:r>
      <w:r>
        <w:rPr>
          <w:rFonts w:hint="eastAsia" w:eastAsia="仿宋_GB2312"/>
          <w:lang w:val="zh-CN"/>
        </w:rPr>
        <w:t>标准</w:t>
      </w:r>
      <w:r>
        <w:rPr>
          <w:rFonts w:hint="eastAsia" w:eastAsia="仿宋_GB2312"/>
        </w:rPr>
        <w:t>》（GB50433-2018）；</w:t>
      </w:r>
    </w:p>
    <w:p>
      <w:pPr>
        <w:tabs>
          <w:tab w:val="left" w:pos="851"/>
          <w:tab w:val="left" w:pos="1485"/>
        </w:tabs>
        <w:ind w:firstLine="480"/>
        <w:rPr>
          <w:rFonts w:eastAsia="仿宋_GB2312"/>
        </w:rPr>
      </w:pPr>
      <w:r>
        <w:rPr>
          <w:rFonts w:hint="eastAsia" w:eastAsia="仿宋_GB2312"/>
        </w:rPr>
        <w:t>（2）《生产建设项目水土流失防治标准》（GB/T50434-2018）；</w:t>
      </w:r>
    </w:p>
    <w:p>
      <w:pPr>
        <w:tabs>
          <w:tab w:val="left" w:pos="851"/>
          <w:tab w:val="left" w:pos="1485"/>
        </w:tabs>
        <w:ind w:firstLine="480"/>
        <w:rPr>
          <w:rFonts w:eastAsia="仿宋_GB2312"/>
        </w:rPr>
      </w:pPr>
      <w:r>
        <w:rPr>
          <w:rFonts w:hint="eastAsia" w:eastAsia="仿宋_GB2312"/>
        </w:rPr>
        <w:t>（3）《土壤侵蚀分类分级标准》（SL190-2007）；</w:t>
      </w:r>
    </w:p>
    <w:p>
      <w:pPr>
        <w:tabs>
          <w:tab w:val="left" w:pos="851"/>
          <w:tab w:val="left" w:pos="1485"/>
        </w:tabs>
        <w:ind w:firstLine="480"/>
        <w:rPr>
          <w:rFonts w:eastAsia="仿宋_GB2312"/>
        </w:rPr>
      </w:pPr>
      <w:r>
        <w:rPr>
          <w:rFonts w:hint="eastAsia" w:eastAsia="仿宋_GB2312"/>
        </w:rPr>
        <w:t>（4）</w:t>
      </w:r>
      <w:r>
        <w:rPr>
          <w:rFonts w:eastAsia="仿宋_GB2312"/>
        </w:rPr>
        <w:t>《生产建设项目水土保持监测与评价标准》(GB/T51240-2018)</w:t>
      </w:r>
      <w:r>
        <w:rPr>
          <w:rFonts w:hint="eastAsia" w:eastAsia="仿宋_GB2312"/>
        </w:rPr>
        <w:t>；</w:t>
      </w:r>
    </w:p>
    <w:p>
      <w:pPr>
        <w:tabs>
          <w:tab w:val="left" w:pos="851"/>
          <w:tab w:val="left" w:pos="1485"/>
        </w:tabs>
        <w:ind w:firstLine="480"/>
        <w:rPr>
          <w:rFonts w:eastAsia="仿宋_GB2312"/>
        </w:rPr>
      </w:pPr>
      <w:r>
        <w:rPr>
          <w:rFonts w:hint="eastAsia" w:eastAsia="仿宋_GB2312"/>
        </w:rPr>
        <w:t>（5）《水利水电工程制图标准水土保持图》（SL73.6-2015）；</w:t>
      </w:r>
    </w:p>
    <w:p>
      <w:pPr>
        <w:tabs>
          <w:tab w:val="left" w:pos="851"/>
          <w:tab w:val="left" w:pos="1485"/>
        </w:tabs>
        <w:ind w:firstLine="480"/>
        <w:rPr>
          <w:rFonts w:eastAsia="仿宋_GB2312"/>
        </w:rPr>
      </w:pPr>
      <w:r>
        <w:rPr>
          <w:rFonts w:hint="eastAsia" w:eastAsia="仿宋_GB2312"/>
        </w:rPr>
        <w:t>（6）《水土保持工程概算定额》，水利部水总[2003]67号；</w:t>
      </w:r>
    </w:p>
    <w:p>
      <w:pPr>
        <w:tabs>
          <w:tab w:val="left" w:pos="851"/>
          <w:tab w:val="left" w:pos="1485"/>
        </w:tabs>
        <w:ind w:firstLine="480"/>
        <w:rPr>
          <w:rFonts w:eastAsia="仿宋_GB2312"/>
        </w:rPr>
      </w:pPr>
      <w:r>
        <w:rPr>
          <w:rFonts w:hint="eastAsia" w:eastAsia="仿宋_GB2312"/>
        </w:rPr>
        <w:t>（7）《工程勘察设计收费标准》，国家计委，建设部[2002]10号；</w:t>
      </w:r>
    </w:p>
    <w:p>
      <w:pPr>
        <w:tabs>
          <w:tab w:val="left" w:pos="851"/>
          <w:tab w:val="left" w:pos="1485"/>
        </w:tabs>
        <w:ind w:firstLine="480"/>
        <w:rPr>
          <w:rFonts w:eastAsia="仿宋_GB2312"/>
        </w:rPr>
      </w:pPr>
      <w:r>
        <w:rPr>
          <w:rFonts w:hint="eastAsia" w:eastAsia="仿宋_GB2312"/>
        </w:rPr>
        <w:t>（8）《水土保持工程质量评定规程》（SL336-2006）；</w:t>
      </w:r>
    </w:p>
    <w:p>
      <w:pPr>
        <w:tabs>
          <w:tab w:val="left" w:pos="851"/>
          <w:tab w:val="left" w:pos="1485"/>
        </w:tabs>
        <w:ind w:firstLine="480"/>
        <w:rPr>
          <w:rFonts w:eastAsia="仿宋_GB2312"/>
        </w:rPr>
      </w:pPr>
      <w:r>
        <w:rPr>
          <w:rFonts w:eastAsia="仿宋_GB2312"/>
        </w:rPr>
        <w:t>（</w:t>
      </w:r>
      <w:r>
        <w:rPr>
          <w:rFonts w:hint="eastAsia" w:eastAsia="仿宋_GB2312"/>
        </w:rPr>
        <w:t>9</w:t>
      </w:r>
      <w:r>
        <w:rPr>
          <w:rFonts w:eastAsia="仿宋_GB2312"/>
        </w:rPr>
        <w:t>）《建设工程监理与相关服务收费管理规定》(发改价格[2007]670号文)</w:t>
      </w:r>
      <w:r>
        <w:rPr>
          <w:rFonts w:hint="eastAsia" w:eastAsia="仿宋_GB2312"/>
        </w:rPr>
        <w:t>；</w:t>
      </w:r>
    </w:p>
    <w:p>
      <w:pPr>
        <w:tabs>
          <w:tab w:val="left" w:pos="851"/>
          <w:tab w:val="left" w:pos="1485"/>
        </w:tabs>
        <w:ind w:firstLine="480"/>
        <w:rPr>
          <w:rFonts w:eastAsia="仿宋_GB2312"/>
        </w:rPr>
      </w:pPr>
      <w:r>
        <w:rPr>
          <w:rFonts w:hint="eastAsia" w:eastAsia="仿宋_GB2312"/>
        </w:rPr>
        <w:t>(10) 《水土保持工程设计规范》（GB51018-2014）。</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技术资料</w:t>
      </w:r>
      <w:bookmarkEnd w:id="62"/>
      <w:bookmarkEnd w:id="63"/>
    </w:p>
    <w:p>
      <w:pPr>
        <w:tabs>
          <w:tab w:val="left" w:pos="851"/>
          <w:tab w:val="left" w:pos="1485"/>
        </w:tabs>
        <w:ind w:firstLine="480"/>
        <w:rPr>
          <w:rFonts w:eastAsia="仿宋_GB2312"/>
        </w:rPr>
      </w:pPr>
      <w:r>
        <w:rPr>
          <w:rFonts w:hint="eastAsia" w:eastAsia="仿宋_GB2312"/>
        </w:rPr>
        <w:t>（1）</w:t>
      </w:r>
      <w:r>
        <w:rPr>
          <w:rFonts w:eastAsia="仿宋_GB2312"/>
        </w:rPr>
        <w:t>《</w:t>
      </w:r>
      <w:r>
        <w:rPr>
          <w:rFonts w:hint="eastAsia" w:eastAsia="仿宋_GB2312"/>
        </w:rPr>
        <w:t>第十四师224团团部污水管网改造项目初步设计报告</w:t>
      </w:r>
      <w:r>
        <w:rPr>
          <w:rFonts w:eastAsia="仿宋_GB2312"/>
        </w:rPr>
        <w:t>》</w:t>
      </w:r>
      <w:r>
        <w:rPr>
          <w:rFonts w:hint="eastAsia" w:eastAsia="仿宋_GB2312"/>
        </w:rPr>
        <w:t>（容海川城乡规划设计有限公司，2020年7月）</w:t>
      </w:r>
      <w:r>
        <w:rPr>
          <w:rFonts w:eastAsia="仿宋_GB2312"/>
        </w:rPr>
        <w:t>；</w:t>
      </w:r>
    </w:p>
    <w:p>
      <w:pPr>
        <w:tabs>
          <w:tab w:val="left" w:pos="851"/>
          <w:tab w:val="left" w:pos="1485"/>
        </w:tabs>
        <w:ind w:firstLine="480"/>
        <w:rPr>
          <w:rFonts w:eastAsia="仿宋_GB2312"/>
        </w:rPr>
      </w:pPr>
      <w:r>
        <w:rPr>
          <w:rFonts w:eastAsia="仿宋_GB2312"/>
        </w:rPr>
        <w:t>（</w:t>
      </w:r>
      <w:r>
        <w:rPr>
          <w:rFonts w:hint="eastAsia" w:eastAsia="仿宋_GB2312"/>
        </w:rPr>
        <w:t>2</w:t>
      </w:r>
      <w:r>
        <w:rPr>
          <w:rFonts w:eastAsia="仿宋_GB2312"/>
        </w:rPr>
        <w:t>）其它与工程有关的设计资料</w:t>
      </w:r>
      <w:r>
        <w:rPr>
          <w:rFonts w:hint="eastAsia" w:eastAsia="仿宋_GB2312"/>
        </w:rPr>
        <w:t>；</w:t>
      </w:r>
    </w:p>
    <w:p>
      <w:pPr>
        <w:tabs>
          <w:tab w:val="left" w:pos="851"/>
          <w:tab w:val="left" w:pos="1485"/>
        </w:tabs>
        <w:ind w:firstLine="480"/>
        <w:rPr>
          <w:rFonts w:eastAsia="仿宋_GB2312"/>
        </w:rPr>
      </w:pPr>
      <w:r>
        <w:rPr>
          <w:rFonts w:eastAsia="仿宋_GB2312"/>
        </w:rPr>
        <w:t>（</w:t>
      </w:r>
      <w:r>
        <w:rPr>
          <w:rFonts w:hint="eastAsia" w:eastAsia="仿宋_GB2312"/>
        </w:rPr>
        <w:t>3</w:t>
      </w:r>
      <w:r>
        <w:rPr>
          <w:rFonts w:eastAsia="仿宋_GB2312"/>
        </w:rPr>
        <w:t>）《新疆生产建设兵团水土保持规划2015-2030年》（新疆生产建设兵团，2017年）</w:t>
      </w:r>
      <w:r>
        <w:rPr>
          <w:rFonts w:hint="eastAsia" w:eastAsia="仿宋_GB2312"/>
        </w:rPr>
        <w:t>。</w:t>
      </w:r>
    </w:p>
    <w:p>
      <w:pPr>
        <w:pStyle w:val="3"/>
        <w:widowControl/>
        <w:numPr>
          <w:ilvl w:val="1"/>
          <w:numId w:val="1"/>
        </w:numPr>
        <w:tabs>
          <w:tab w:val="clear" w:pos="1002"/>
        </w:tabs>
        <w:topLinePunct w:val="0"/>
        <w:adjustRightInd/>
        <w:snapToGrid/>
        <w:ind w:left="0" w:firstLine="0"/>
        <w:jc w:val="both"/>
        <w:rPr>
          <w:rFonts w:eastAsia="仿宋_GB2312"/>
        </w:rPr>
      </w:pPr>
      <w:bookmarkStart w:id="64" w:name="_Toc7801445"/>
      <w:bookmarkStart w:id="65" w:name="_Toc7801378"/>
      <w:bookmarkStart w:id="66" w:name="_Toc50221488"/>
      <w:bookmarkStart w:id="67" w:name="_Toc7801538"/>
      <w:r>
        <w:rPr>
          <w:rFonts w:eastAsia="仿宋_GB2312"/>
        </w:rPr>
        <w:t>设计水平年</w:t>
      </w:r>
      <w:bookmarkEnd w:id="64"/>
      <w:bookmarkEnd w:id="65"/>
      <w:bookmarkEnd w:id="66"/>
      <w:bookmarkEnd w:id="67"/>
    </w:p>
    <w:p>
      <w:pPr>
        <w:tabs>
          <w:tab w:val="left" w:pos="851"/>
          <w:tab w:val="left" w:pos="1485"/>
        </w:tabs>
        <w:ind w:firstLine="480"/>
        <w:rPr>
          <w:rFonts w:eastAsia="仿宋_GB2312"/>
        </w:rPr>
      </w:pPr>
      <w:r>
        <w:rPr>
          <w:rFonts w:eastAsia="仿宋_GB2312"/>
        </w:rPr>
        <w:t>根据《水土保持法》第二十七条</w:t>
      </w:r>
      <w:r>
        <w:rPr>
          <w:rFonts w:hint="eastAsia" w:eastAsia="仿宋_GB2312"/>
        </w:rPr>
        <w:t>“</w:t>
      </w:r>
      <w:r>
        <w:rPr>
          <w:rFonts w:eastAsia="仿宋_GB2312"/>
        </w:rPr>
        <w:t>依法应当编制水土保持方案的生产建设项目中的水土保持设施，必须与主体工程同时设计、同时施工、同时投产、使用；生产建设项目竣工验收，应当验收水土保持设施；水土保持设施未经验收或者验收不合格的，生产建设项目不得投产使用。</w:t>
      </w:r>
      <w:r>
        <w:rPr>
          <w:rFonts w:hint="eastAsia" w:eastAsia="仿宋_GB2312"/>
        </w:rPr>
        <w:t>”</w:t>
      </w:r>
      <w:r>
        <w:rPr>
          <w:rFonts w:eastAsia="仿宋_GB2312"/>
        </w:rPr>
        <w:t>的要求，水土保持方案设计深度与主体工程设计深度同步，方案编制深度为</w:t>
      </w:r>
      <w:r>
        <w:rPr>
          <w:rFonts w:hint="eastAsia" w:eastAsia="仿宋_GB2312"/>
        </w:rPr>
        <w:t>可研设计</w:t>
      </w:r>
      <w:r>
        <w:rPr>
          <w:rFonts w:eastAsia="仿宋_GB2312"/>
        </w:rPr>
        <w:t>深度。</w:t>
      </w:r>
    </w:p>
    <w:p>
      <w:pPr>
        <w:tabs>
          <w:tab w:val="left" w:pos="851"/>
          <w:tab w:val="left" w:pos="1485"/>
        </w:tabs>
        <w:ind w:firstLine="480"/>
        <w:rPr>
          <w:rFonts w:eastAsia="仿宋_GB2312"/>
        </w:rPr>
      </w:pPr>
      <w:r>
        <w:rPr>
          <w:rFonts w:eastAsia="仿宋_GB2312"/>
        </w:rPr>
        <w:t>本项目</w:t>
      </w:r>
      <w:r>
        <w:rPr>
          <w:rFonts w:hint="eastAsia" w:eastAsia="仿宋_GB2312"/>
        </w:rPr>
        <w:t>计划</w:t>
      </w:r>
      <w:r>
        <w:rPr>
          <w:rFonts w:eastAsia="仿宋_GB2312"/>
        </w:rPr>
        <w:t>于20</w:t>
      </w:r>
      <w:r>
        <w:rPr>
          <w:rFonts w:hint="eastAsia" w:eastAsia="仿宋_GB2312"/>
        </w:rPr>
        <w:t>20</w:t>
      </w:r>
      <w:r>
        <w:rPr>
          <w:rFonts w:eastAsia="仿宋_GB2312"/>
        </w:rPr>
        <w:t>年</w:t>
      </w:r>
      <w:r>
        <w:rPr>
          <w:rFonts w:hint="eastAsia" w:eastAsia="仿宋_GB2312"/>
        </w:rPr>
        <w:t>11</w:t>
      </w:r>
      <w:r>
        <w:rPr>
          <w:rFonts w:eastAsia="仿宋_GB2312"/>
        </w:rPr>
        <w:t>月开工建设，于20</w:t>
      </w:r>
      <w:r>
        <w:rPr>
          <w:rFonts w:hint="eastAsia" w:eastAsia="仿宋_GB2312"/>
        </w:rPr>
        <w:t>20</w:t>
      </w:r>
      <w:r>
        <w:rPr>
          <w:rFonts w:eastAsia="仿宋_GB2312"/>
        </w:rPr>
        <w:t>年</w:t>
      </w:r>
      <w:r>
        <w:rPr>
          <w:rFonts w:hint="eastAsia" w:eastAsia="仿宋_GB2312"/>
        </w:rPr>
        <w:t>12</w:t>
      </w:r>
      <w:r>
        <w:rPr>
          <w:rFonts w:eastAsia="仿宋_GB2312"/>
        </w:rPr>
        <w:t>月竣工，水土保持方案的设计水平年为主体工程</w:t>
      </w:r>
      <w:r>
        <w:rPr>
          <w:rFonts w:hint="eastAsia" w:eastAsia="仿宋_GB2312"/>
        </w:rPr>
        <w:t>完工后当年</w:t>
      </w:r>
      <w:r>
        <w:rPr>
          <w:rFonts w:eastAsia="仿宋_GB2312"/>
        </w:rPr>
        <w:t>，即</w:t>
      </w:r>
      <w:r>
        <w:rPr>
          <w:rFonts w:hint="eastAsia" w:eastAsia="仿宋_GB2312"/>
        </w:rPr>
        <w:t>2020</w:t>
      </w:r>
      <w:r>
        <w:rPr>
          <w:rFonts w:eastAsia="仿宋_GB2312"/>
        </w:rPr>
        <w:t>年。</w:t>
      </w:r>
    </w:p>
    <w:p>
      <w:pPr>
        <w:pStyle w:val="3"/>
        <w:widowControl/>
        <w:numPr>
          <w:ilvl w:val="1"/>
          <w:numId w:val="1"/>
        </w:numPr>
        <w:tabs>
          <w:tab w:val="clear" w:pos="1002"/>
        </w:tabs>
        <w:topLinePunct w:val="0"/>
        <w:adjustRightInd/>
        <w:snapToGrid/>
        <w:ind w:left="0" w:firstLine="0"/>
        <w:jc w:val="both"/>
        <w:rPr>
          <w:rFonts w:eastAsia="仿宋_GB2312"/>
        </w:rPr>
      </w:pPr>
      <w:bookmarkStart w:id="68" w:name="_Toc7801379"/>
      <w:bookmarkStart w:id="69" w:name="_Toc50221489"/>
      <w:bookmarkStart w:id="70" w:name="_Toc7801446"/>
      <w:bookmarkStart w:id="71" w:name="_Toc7801539"/>
      <w:r>
        <w:rPr>
          <w:rFonts w:eastAsia="仿宋_GB2312"/>
        </w:rPr>
        <w:t>水土流失防治责任范围</w:t>
      </w:r>
      <w:bookmarkEnd w:id="68"/>
      <w:bookmarkEnd w:id="69"/>
      <w:bookmarkEnd w:id="70"/>
      <w:bookmarkEnd w:id="71"/>
    </w:p>
    <w:p>
      <w:pPr>
        <w:tabs>
          <w:tab w:val="left" w:pos="851"/>
          <w:tab w:val="left" w:pos="1485"/>
        </w:tabs>
        <w:ind w:firstLine="480"/>
        <w:rPr>
          <w:rFonts w:eastAsia="仿宋_GB2312"/>
        </w:rPr>
      </w:pPr>
      <w:r>
        <w:rPr>
          <w:rFonts w:eastAsia="仿宋_GB2312"/>
        </w:rPr>
        <w:t>根据水土保持法律法规规定的“谁开发谁保护，谁造成水土流失谁治理”的原则，按照</w:t>
      </w:r>
      <w:r>
        <w:rPr>
          <w:rFonts w:hint="eastAsia" w:eastAsia="仿宋_GB2312"/>
        </w:rPr>
        <w:t>《生产建设项目水土保持技术标准》（GB 50433-2018）</w:t>
      </w:r>
      <w:r>
        <w:rPr>
          <w:rFonts w:eastAsia="仿宋_GB2312"/>
        </w:rPr>
        <w:t>规定和实地调查勘测结果，确定本工程水土流失防治责任范围</w:t>
      </w:r>
      <w:r>
        <w:rPr>
          <w:rFonts w:hint="eastAsia" w:eastAsia="仿宋_GB2312"/>
        </w:rPr>
        <w:t>。</w:t>
      </w:r>
      <w:r>
        <w:rPr>
          <w:rFonts w:eastAsia="仿宋_GB2312"/>
        </w:rPr>
        <w:t>水土流失防治责任范围应包括项目永久征地、临时占地以及其他使用及管辖区域。</w:t>
      </w:r>
    </w:p>
    <w:p>
      <w:pPr>
        <w:tabs>
          <w:tab w:val="left" w:pos="851"/>
          <w:tab w:val="left" w:pos="1485"/>
        </w:tabs>
        <w:ind w:firstLine="480"/>
        <w:rPr>
          <w:rFonts w:eastAsia="仿宋_GB2312"/>
        </w:rPr>
      </w:pPr>
      <w:r>
        <w:rPr>
          <w:rFonts w:eastAsia="仿宋_GB2312"/>
        </w:rPr>
        <w:t>本项目水土流失防治责任范围为</w:t>
      </w:r>
      <w:r>
        <w:rPr>
          <w:rFonts w:hint="eastAsia" w:eastAsia="仿宋_GB2312"/>
        </w:rPr>
        <w:t>2.88h</w:t>
      </w:r>
      <w:r>
        <w:rPr>
          <w:rFonts w:eastAsia="仿宋_GB2312"/>
        </w:rPr>
        <w:t>m²，</w:t>
      </w:r>
      <w:r>
        <w:rPr>
          <w:rFonts w:hint="eastAsia" w:eastAsia="仿宋_GB2312"/>
        </w:rPr>
        <w:t>其中</w:t>
      </w:r>
      <w:r>
        <w:rPr>
          <w:rFonts w:eastAsia="仿宋_GB2312"/>
        </w:rPr>
        <w:t>永久占地</w:t>
      </w:r>
      <w:r>
        <w:rPr>
          <w:rFonts w:hint="eastAsia" w:eastAsia="仿宋_GB2312"/>
        </w:rPr>
        <w:t>0.17h</w:t>
      </w:r>
      <w:r>
        <w:rPr>
          <w:rFonts w:eastAsia="仿宋_GB2312"/>
        </w:rPr>
        <w:t>m²</w:t>
      </w:r>
      <w:r>
        <w:rPr>
          <w:rFonts w:hint="eastAsia" w:eastAsia="仿宋_GB2312"/>
        </w:rPr>
        <w:t>，临时</w:t>
      </w:r>
      <w:r>
        <w:rPr>
          <w:rFonts w:eastAsia="仿宋_GB2312"/>
        </w:rPr>
        <w:t>占地</w:t>
      </w:r>
      <w:r>
        <w:rPr>
          <w:rFonts w:hint="eastAsia" w:eastAsia="仿宋_GB2312"/>
        </w:rPr>
        <w:t>2.71h</w:t>
      </w:r>
      <w:r>
        <w:rPr>
          <w:rFonts w:eastAsia="仿宋_GB2312"/>
        </w:rPr>
        <w:t>m²</w:t>
      </w:r>
      <w:r>
        <w:rPr>
          <w:rFonts w:hint="eastAsia" w:eastAsia="仿宋_GB2312"/>
        </w:rPr>
        <w:t>，</w:t>
      </w:r>
      <w:r>
        <w:rPr>
          <w:rFonts w:eastAsia="仿宋_GB2312"/>
        </w:rPr>
        <w:t>均为项目建设区面积。</w:t>
      </w:r>
    </w:p>
    <w:p>
      <w:pPr>
        <w:pStyle w:val="3"/>
        <w:widowControl/>
        <w:numPr>
          <w:ilvl w:val="1"/>
          <w:numId w:val="1"/>
        </w:numPr>
        <w:tabs>
          <w:tab w:val="clear" w:pos="1002"/>
        </w:tabs>
        <w:topLinePunct w:val="0"/>
        <w:adjustRightInd/>
        <w:snapToGrid/>
        <w:ind w:left="0" w:firstLine="0"/>
        <w:jc w:val="both"/>
        <w:rPr>
          <w:rFonts w:eastAsia="仿宋_GB2312"/>
        </w:rPr>
      </w:pPr>
      <w:bookmarkStart w:id="72" w:name="_Toc50221490"/>
      <w:bookmarkStart w:id="73" w:name="_Toc7801540"/>
      <w:bookmarkStart w:id="74" w:name="_Toc7801380"/>
      <w:bookmarkStart w:id="75" w:name="_Toc7801447"/>
      <w:r>
        <w:rPr>
          <w:rFonts w:eastAsia="仿宋_GB2312"/>
        </w:rPr>
        <w:t>水土流失防治目标</w:t>
      </w:r>
      <w:bookmarkEnd w:id="72"/>
      <w:bookmarkEnd w:id="73"/>
      <w:bookmarkEnd w:id="74"/>
      <w:bookmarkEnd w:id="75"/>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执行标准等级</w:t>
      </w:r>
    </w:p>
    <w:p>
      <w:pPr>
        <w:tabs>
          <w:tab w:val="left" w:pos="851"/>
          <w:tab w:val="left" w:pos="1485"/>
        </w:tabs>
        <w:ind w:firstLine="480"/>
        <w:rPr>
          <w:rFonts w:eastAsia="仿宋_GB2312"/>
        </w:rPr>
      </w:pPr>
      <w:r>
        <w:rPr>
          <w:rFonts w:eastAsia="仿宋_GB2312"/>
        </w:rPr>
        <w:t>项目区地处</w:t>
      </w:r>
      <w:r>
        <w:rPr>
          <w:rFonts w:hint="eastAsia" w:eastAsia="仿宋_GB2312"/>
        </w:rPr>
        <w:t>新疆生产建设兵团第十四师224团境内</w:t>
      </w:r>
      <w:r>
        <w:rPr>
          <w:rFonts w:eastAsia="仿宋_GB2312"/>
        </w:rPr>
        <w:t>，位于《全国水土保持区域（试行）》中划定的“北方风沙区”。</w:t>
      </w:r>
      <w:r>
        <w:rPr>
          <w:rFonts w:hint="eastAsia" w:eastAsia="仿宋_GB2312"/>
        </w:rPr>
        <w:t>224团距离墨玉县约40km，224团</w:t>
      </w:r>
      <w:r>
        <w:rPr>
          <w:rFonts w:eastAsia="仿宋_GB2312"/>
        </w:rPr>
        <w:t>水土流失重点预防区和重点治理区划分</w:t>
      </w:r>
      <w:r>
        <w:rPr>
          <w:rFonts w:hint="eastAsia" w:eastAsia="仿宋_GB2312"/>
        </w:rPr>
        <w:t>可按墨玉县考虑，</w:t>
      </w:r>
      <w:r>
        <w:rPr>
          <w:rFonts w:eastAsia="仿宋_GB2312"/>
        </w:rPr>
        <w:t>根据《全国水土保持规划国家级水土流失重点预防区和重点治理区复核划分成果》，</w:t>
      </w:r>
      <w:r>
        <w:rPr>
          <w:rFonts w:hint="eastAsia" w:eastAsia="仿宋_GB2312"/>
        </w:rPr>
        <w:t>224团（按墨玉县考虑）</w:t>
      </w:r>
      <w:r>
        <w:rPr>
          <w:rFonts w:eastAsia="仿宋_GB2312"/>
        </w:rPr>
        <w:t>属于塔里木河国家级水土流失重点预防区。</w:t>
      </w:r>
      <w:r>
        <w:rPr>
          <w:rFonts w:hint="eastAsia" w:eastAsia="仿宋_GB2312"/>
        </w:rPr>
        <w:t>根据</w:t>
      </w:r>
      <w:r>
        <w:rPr>
          <w:rFonts w:eastAsia="仿宋_GB2312"/>
        </w:rPr>
        <w:t>《关于印发新疆自治区级水土流失重点预防区和重点治理区复核划分成果的通知》（新水水保[2019]4号）</w:t>
      </w:r>
      <w:r>
        <w:rPr>
          <w:rFonts w:hint="eastAsia" w:eastAsia="仿宋_GB2312"/>
        </w:rPr>
        <w:t>，224团（按墨玉县考虑）不属于</w:t>
      </w:r>
      <w:r>
        <w:rPr>
          <w:rFonts w:eastAsia="仿宋_GB2312"/>
        </w:rPr>
        <w:t>新疆自治区级水土流失重点预防区和重点治理区</w:t>
      </w:r>
      <w:r>
        <w:rPr>
          <w:rFonts w:hint="eastAsia" w:eastAsia="仿宋_GB2312"/>
        </w:rPr>
        <w:t>。</w:t>
      </w:r>
      <w:r>
        <w:rPr>
          <w:rFonts w:eastAsia="仿宋_GB2312"/>
        </w:rPr>
        <w:t>根据《新疆生产建设兵团水土保持规划（2015-2030）》，</w:t>
      </w:r>
      <w:r>
        <w:rPr>
          <w:rFonts w:hint="eastAsia" w:eastAsia="仿宋_GB2312"/>
        </w:rPr>
        <w:t>第十四师224团</w:t>
      </w:r>
      <w:r>
        <w:rPr>
          <w:rFonts w:eastAsia="仿宋_GB2312"/>
        </w:rPr>
        <w:t>属于</w:t>
      </w:r>
      <w:r>
        <w:rPr>
          <w:rFonts w:hint="eastAsia" w:eastAsia="仿宋_GB2312"/>
        </w:rPr>
        <w:t>塔里木河流域兵团级水土流失重点治理区。</w:t>
      </w:r>
      <w:r>
        <w:rPr>
          <w:rFonts w:eastAsia="仿宋_GB2312"/>
        </w:rPr>
        <w:t>按照《生产建设项目水土流失防治标准》（GB/T50434-2018）</w:t>
      </w:r>
      <w:r>
        <w:rPr>
          <w:rFonts w:hint="eastAsia" w:eastAsia="仿宋_GB2312"/>
        </w:rPr>
        <w:t>及《全国水土保持区划（试行）》</w:t>
      </w:r>
      <w:r>
        <w:rPr>
          <w:rFonts w:eastAsia="仿宋_GB2312"/>
        </w:rPr>
        <w:t>的基本要求和规定，本工程水土流失防治执行北方风沙区建设类一级防治标准。</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防治目标</w:t>
      </w:r>
    </w:p>
    <w:p>
      <w:pPr>
        <w:tabs>
          <w:tab w:val="left" w:pos="851"/>
          <w:tab w:val="left" w:pos="1485"/>
        </w:tabs>
        <w:ind w:firstLine="480"/>
        <w:rPr>
          <w:rFonts w:eastAsia="仿宋_GB2312"/>
        </w:rPr>
      </w:pPr>
      <w:r>
        <w:rPr>
          <w:rFonts w:eastAsia="仿宋_GB2312"/>
        </w:rPr>
        <w:t>本工程水土流失防治执行北方风沙区</w:t>
      </w:r>
      <w:r>
        <w:rPr>
          <w:rFonts w:hint="eastAsia" w:eastAsia="仿宋_GB2312"/>
        </w:rPr>
        <w:t>建设项目一</w:t>
      </w:r>
      <w:r>
        <w:rPr>
          <w:rFonts w:eastAsia="仿宋_GB2312"/>
        </w:rPr>
        <w:t>级标准</w:t>
      </w:r>
      <w:r>
        <w:rPr>
          <w:rFonts w:hint="eastAsia" w:eastAsia="仿宋_GB2312"/>
        </w:rPr>
        <w:t>，根据</w:t>
      </w:r>
      <w:r>
        <w:rPr>
          <w:rFonts w:eastAsia="仿宋_GB2312"/>
        </w:rPr>
        <w:t>《</w:t>
      </w:r>
      <w:r>
        <w:rPr>
          <w:rFonts w:hint="eastAsia" w:eastAsia="仿宋_GB2312"/>
        </w:rPr>
        <w:t>生产</w:t>
      </w:r>
      <w:r>
        <w:rPr>
          <w:rFonts w:eastAsia="仿宋_GB2312"/>
        </w:rPr>
        <w:t>建设项目水土流失防治标准》（GB</w:t>
      </w:r>
      <w:r>
        <w:rPr>
          <w:rFonts w:hint="eastAsia" w:eastAsia="仿宋_GB2312"/>
        </w:rPr>
        <w:t>/T</w:t>
      </w:r>
      <w:r>
        <w:rPr>
          <w:rFonts w:eastAsia="仿宋_GB2312"/>
        </w:rPr>
        <w:t>50434－2018）</w:t>
      </w:r>
      <w:r>
        <w:rPr>
          <w:rFonts w:hint="eastAsia" w:eastAsia="仿宋_GB2312"/>
        </w:rPr>
        <w:t>确定</w:t>
      </w:r>
      <w:r>
        <w:rPr>
          <w:rFonts w:hint="eastAsia" w:ascii="仿宋_GB2312" w:hAnsi="Calibri" w:eastAsia="仿宋_GB2312" w:cs="仿宋_GB2312"/>
        </w:rPr>
        <w:t>本项目</w:t>
      </w:r>
      <w:r>
        <w:rPr>
          <w:rFonts w:eastAsia="仿宋_GB2312"/>
        </w:rPr>
        <w:t>设计水平年的防治目标值为：水土流失治理度</w:t>
      </w:r>
      <w:r>
        <w:rPr>
          <w:rFonts w:hint="eastAsia" w:eastAsia="仿宋_GB2312"/>
        </w:rPr>
        <w:t>85</w:t>
      </w:r>
      <w:r>
        <w:rPr>
          <w:rFonts w:eastAsia="仿宋_GB2312"/>
        </w:rPr>
        <w:t>%，水土流失控制比</w:t>
      </w:r>
      <w:r>
        <w:rPr>
          <w:rFonts w:hint="eastAsia" w:eastAsia="仿宋_GB2312"/>
        </w:rPr>
        <w:t>1.0</w:t>
      </w:r>
      <w:r>
        <w:rPr>
          <w:rFonts w:eastAsia="仿宋_GB2312"/>
        </w:rPr>
        <w:t>，渣土防护率8</w:t>
      </w:r>
      <w:r>
        <w:rPr>
          <w:rFonts w:hint="eastAsia" w:eastAsia="仿宋_GB2312"/>
        </w:rPr>
        <w:t>7</w:t>
      </w:r>
      <w:r>
        <w:rPr>
          <w:rFonts w:eastAsia="仿宋_GB2312"/>
        </w:rPr>
        <w:t>%</w:t>
      </w:r>
      <w:r>
        <w:rPr>
          <w:rFonts w:hint="eastAsia" w:eastAsia="仿宋_GB2312"/>
        </w:rPr>
        <w:t>，林草植被恢复率、林草覆盖率、</w:t>
      </w:r>
      <w:r>
        <w:rPr>
          <w:rFonts w:eastAsia="仿宋_GB2312"/>
        </w:rPr>
        <w:t>表土保护率不作要求</w:t>
      </w:r>
      <w:r>
        <w:rPr>
          <w:rFonts w:hint="eastAsia" w:eastAsia="仿宋_GB2312"/>
        </w:rPr>
        <w:t>。</w:t>
      </w:r>
    </w:p>
    <w:p>
      <w:pPr>
        <w:tabs>
          <w:tab w:val="left" w:pos="840"/>
          <w:tab w:val="left" w:pos="1485"/>
        </w:tabs>
        <w:spacing w:line="240" w:lineRule="auto"/>
        <w:ind w:firstLine="0" w:firstLineChars="0"/>
        <w:jc w:val="center"/>
        <w:rPr>
          <w:rFonts w:eastAsia="仿宋_GB2312"/>
          <w:b/>
        </w:rPr>
      </w:pPr>
      <w:r>
        <w:rPr>
          <w:rFonts w:eastAsia="仿宋_GB2312"/>
          <w:b/>
        </w:rPr>
        <w:t>表</w:t>
      </w:r>
      <w:r>
        <w:rPr>
          <w:rFonts w:hint="eastAsia" w:eastAsia="仿宋_GB2312"/>
          <w:b/>
        </w:rPr>
        <w:t>1.5</w:t>
      </w:r>
      <w:r>
        <w:rPr>
          <w:rFonts w:eastAsia="仿宋_GB2312"/>
          <w:b/>
        </w:rPr>
        <w:t>-</w:t>
      </w:r>
      <w:r>
        <w:rPr>
          <w:rFonts w:hint="eastAsia" w:eastAsia="仿宋_GB2312"/>
          <w:b/>
        </w:rPr>
        <w:t>1    项目区</w:t>
      </w:r>
      <w:r>
        <w:rPr>
          <w:rFonts w:eastAsia="仿宋_GB2312"/>
          <w:b/>
        </w:rPr>
        <w:t>水土流失防治指标值</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36"/>
        <w:gridCol w:w="1046"/>
        <w:gridCol w:w="1047"/>
        <w:gridCol w:w="1047"/>
        <w:gridCol w:w="1112"/>
        <w:gridCol w:w="981"/>
        <w:gridCol w:w="10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3" w:type="pct"/>
            <w:vMerge w:val="restar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防治指标</w:t>
            </w:r>
          </w:p>
        </w:tc>
        <w:tc>
          <w:tcPr>
            <w:tcW w:w="1229" w:type="pct"/>
            <w:gridSpan w:val="2"/>
            <w:vAlign w:val="center"/>
          </w:tcPr>
          <w:p>
            <w:pPr>
              <w:widowControl/>
              <w:spacing w:line="240" w:lineRule="auto"/>
              <w:ind w:firstLine="0" w:firstLineChars="0"/>
              <w:jc w:val="center"/>
              <w:rPr>
                <w:rFonts w:eastAsia="仿宋_GB2312"/>
                <w:sz w:val="21"/>
                <w:szCs w:val="21"/>
              </w:rPr>
            </w:pPr>
            <w:r>
              <w:rPr>
                <w:rFonts w:eastAsia="仿宋_GB2312"/>
                <w:sz w:val="21"/>
                <w:szCs w:val="21"/>
              </w:rPr>
              <w:t>规范标准</w:t>
            </w:r>
          </w:p>
        </w:tc>
        <w:tc>
          <w:tcPr>
            <w:tcW w:w="615" w:type="pct"/>
            <w:vMerge w:val="restart"/>
            <w:vAlign w:val="center"/>
          </w:tcPr>
          <w:p>
            <w:pPr>
              <w:widowControl/>
              <w:spacing w:line="240" w:lineRule="auto"/>
              <w:ind w:firstLine="0" w:firstLineChars="0"/>
              <w:jc w:val="center"/>
              <w:rPr>
                <w:rFonts w:eastAsia="仿宋_GB2312"/>
                <w:sz w:val="21"/>
                <w:szCs w:val="21"/>
              </w:rPr>
            </w:pPr>
            <w:r>
              <w:rPr>
                <w:rFonts w:eastAsia="仿宋_GB2312"/>
                <w:sz w:val="21"/>
                <w:szCs w:val="21"/>
              </w:rPr>
              <w:t>按干旱程度修正</w:t>
            </w:r>
          </w:p>
        </w:tc>
        <w:tc>
          <w:tcPr>
            <w:tcW w:w="653" w:type="pct"/>
            <w:vMerge w:val="restart"/>
            <w:vAlign w:val="center"/>
          </w:tcPr>
          <w:p>
            <w:pPr>
              <w:widowControl/>
              <w:spacing w:line="240" w:lineRule="auto"/>
              <w:ind w:firstLine="0" w:firstLineChars="0"/>
              <w:jc w:val="center"/>
              <w:rPr>
                <w:rFonts w:eastAsia="仿宋_GB2312"/>
                <w:sz w:val="21"/>
                <w:szCs w:val="21"/>
              </w:rPr>
            </w:pPr>
            <w:r>
              <w:rPr>
                <w:rFonts w:eastAsia="仿宋_GB2312"/>
                <w:sz w:val="21"/>
                <w:szCs w:val="21"/>
              </w:rPr>
              <w:t>按土壤侵蚀强度修正</w:t>
            </w:r>
          </w:p>
        </w:tc>
        <w:tc>
          <w:tcPr>
            <w:tcW w:w="1190" w:type="pct"/>
            <w:gridSpan w:val="2"/>
            <w:vAlign w:val="center"/>
          </w:tcPr>
          <w:p>
            <w:pPr>
              <w:widowControl/>
              <w:spacing w:line="240" w:lineRule="auto"/>
              <w:ind w:firstLine="0" w:firstLineChars="0"/>
              <w:jc w:val="center"/>
              <w:rPr>
                <w:rFonts w:eastAsia="仿宋_GB2312"/>
                <w:sz w:val="21"/>
                <w:szCs w:val="21"/>
              </w:rPr>
            </w:pPr>
            <w:r>
              <w:rPr>
                <w:rFonts w:eastAsia="仿宋_GB2312"/>
                <w:sz w:val="21"/>
                <w:szCs w:val="21"/>
              </w:rPr>
              <w:t>采用标准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3" w:type="pct"/>
            <w:vMerge w:val="continue"/>
            <w:vAlign w:val="center"/>
          </w:tcPr>
          <w:p>
            <w:pPr>
              <w:widowControl/>
              <w:spacing w:line="240" w:lineRule="auto"/>
              <w:ind w:firstLine="420"/>
              <w:jc w:val="center"/>
              <w:rPr>
                <w:rFonts w:eastAsia="仿宋_GB2312"/>
                <w:sz w:val="21"/>
                <w:szCs w:val="21"/>
              </w:rPr>
            </w:pPr>
          </w:p>
        </w:tc>
        <w:tc>
          <w:tcPr>
            <w:tcW w:w="614" w:type="pct"/>
            <w:vAlign w:val="center"/>
          </w:tcPr>
          <w:p>
            <w:pPr>
              <w:spacing w:line="240" w:lineRule="auto"/>
              <w:ind w:firstLine="0" w:firstLineChars="0"/>
              <w:jc w:val="center"/>
              <w:rPr>
                <w:rFonts w:eastAsia="仿宋_GB2312"/>
                <w:sz w:val="21"/>
                <w:szCs w:val="21"/>
              </w:rPr>
            </w:pPr>
            <w:r>
              <w:rPr>
                <w:rFonts w:eastAsia="仿宋_GB2312"/>
                <w:sz w:val="21"/>
                <w:szCs w:val="21"/>
              </w:rPr>
              <w:t>施工期</w:t>
            </w:r>
          </w:p>
        </w:tc>
        <w:tc>
          <w:tcPr>
            <w:tcW w:w="615" w:type="pct"/>
            <w:vAlign w:val="center"/>
          </w:tcPr>
          <w:p>
            <w:pPr>
              <w:widowControl/>
              <w:spacing w:line="240" w:lineRule="auto"/>
              <w:ind w:firstLine="0" w:firstLineChars="0"/>
              <w:jc w:val="center"/>
              <w:rPr>
                <w:rFonts w:eastAsia="仿宋_GB2312"/>
                <w:sz w:val="21"/>
                <w:szCs w:val="21"/>
              </w:rPr>
            </w:pPr>
            <w:r>
              <w:rPr>
                <w:rFonts w:eastAsia="仿宋_GB2312"/>
                <w:sz w:val="21"/>
                <w:szCs w:val="21"/>
              </w:rPr>
              <w:t>设计水平年</w:t>
            </w:r>
          </w:p>
        </w:tc>
        <w:tc>
          <w:tcPr>
            <w:tcW w:w="615" w:type="pct"/>
            <w:vMerge w:val="continue"/>
            <w:vAlign w:val="center"/>
          </w:tcPr>
          <w:p>
            <w:pPr>
              <w:widowControl/>
              <w:spacing w:line="240" w:lineRule="auto"/>
              <w:ind w:firstLine="0" w:firstLineChars="0"/>
              <w:jc w:val="center"/>
              <w:rPr>
                <w:rFonts w:eastAsia="仿宋_GB2312"/>
                <w:sz w:val="21"/>
                <w:szCs w:val="21"/>
              </w:rPr>
            </w:pPr>
          </w:p>
        </w:tc>
        <w:tc>
          <w:tcPr>
            <w:tcW w:w="653" w:type="pct"/>
            <w:vMerge w:val="continue"/>
            <w:vAlign w:val="center"/>
          </w:tcPr>
          <w:p>
            <w:pPr>
              <w:widowControl/>
              <w:spacing w:line="240" w:lineRule="auto"/>
              <w:ind w:firstLine="0" w:firstLineChars="0"/>
              <w:jc w:val="center"/>
              <w:rPr>
                <w:rFonts w:eastAsia="仿宋_GB2312"/>
                <w:sz w:val="21"/>
                <w:szCs w:val="21"/>
              </w:rPr>
            </w:pPr>
          </w:p>
        </w:tc>
        <w:tc>
          <w:tcPr>
            <w:tcW w:w="576" w:type="pct"/>
            <w:vAlign w:val="center"/>
          </w:tcPr>
          <w:p>
            <w:pPr>
              <w:spacing w:line="240" w:lineRule="auto"/>
              <w:ind w:firstLine="0" w:firstLineChars="0"/>
              <w:jc w:val="center"/>
              <w:rPr>
                <w:rFonts w:eastAsia="仿宋_GB2312"/>
                <w:sz w:val="21"/>
                <w:szCs w:val="21"/>
              </w:rPr>
            </w:pPr>
            <w:r>
              <w:rPr>
                <w:rFonts w:eastAsia="仿宋_GB2312"/>
                <w:sz w:val="21"/>
                <w:szCs w:val="21"/>
              </w:rPr>
              <w:t>施工期</w:t>
            </w:r>
          </w:p>
        </w:tc>
        <w:tc>
          <w:tcPr>
            <w:tcW w:w="614" w:type="pct"/>
            <w:vAlign w:val="center"/>
          </w:tcPr>
          <w:p>
            <w:pPr>
              <w:widowControl/>
              <w:spacing w:line="240" w:lineRule="auto"/>
              <w:ind w:firstLine="0" w:firstLineChars="0"/>
              <w:jc w:val="center"/>
              <w:rPr>
                <w:rFonts w:eastAsia="仿宋_GB2312"/>
                <w:sz w:val="21"/>
                <w:szCs w:val="21"/>
              </w:rPr>
            </w:pPr>
            <w:r>
              <w:rPr>
                <w:rFonts w:eastAsia="仿宋_GB2312"/>
                <w:sz w:val="21"/>
                <w:szCs w:val="21"/>
              </w:rPr>
              <w:t>设计水平年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3" w:type="pct"/>
            <w:vAlign w:val="center"/>
          </w:tcPr>
          <w:p>
            <w:pPr>
              <w:widowControl/>
              <w:spacing w:line="240" w:lineRule="auto"/>
              <w:ind w:firstLine="0" w:firstLineChars="0"/>
              <w:jc w:val="center"/>
              <w:rPr>
                <w:rFonts w:eastAsia="仿宋_GB2312"/>
                <w:sz w:val="21"/>
                <w:szCs w:val="21"/>
              </w:rPr>
            </w:pPr>
            <w:r>
              <w:rPr>
                <w:rFonts w:eastAsia="仿宋_GB2312"/>
                <w:sz w:val="21"/>
                <w:szCs w:val="21"/>
              </w:rPr>
              <w:t>水土流失治理度（%）</w:t>
            </w:r>
          </w:p>
        </w:tc>
        <w:tc>
          <w:tcPr>
            <w:tcW w:w="614"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15"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85</w:t>
            </w:r>
          </w:p>
        </w:tc>
        <w:tc>
          <w:tcPr>
            <w:tcW w:w="615"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0</w:t>
            </w:r>
          </w:p>
        </w:tc>
        <w:tc>
          <w:tcPr>
            <w:tcW w:w="653" w:type="pct"/>
            <w:vAlign w:val="center"/>
          </w:tcPr>
          <w:p>
            <w:pPr>
              <w:widowControl/>
              <w:spacing w:line="240" w:lineRule="auto"/>
              <w:ind w:firstLine="0" w:firstLineChars="0"/>
              <w:jc w:val="center"/>
              <w:rPr>
                <w:rFonts w:eastAsia="仿宋_GB2312"/>
                <w:sz w:val="21"/>
                <w:szCs w:val="21"/>
              </w:rPr>
            </w:pPr>
            <w:r>
              <w:rPr>
                <w:rFonts w:eastAsia="仿宋_GB2312"/>
                <w:sz w:val="21"/>
                <w:szCs w:val="21"/>
              </w:rPr>
              <w:t>0</w:t>
            </w:r>
          </w:p>
        </w:tc>
        <w:tc>
          <w:tcPr>
            <w:tcW w:w="576"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1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3" w:type="pct"/>
            <w:vAlign w:val="center"/>
          </w:tcPr>
          <w:p>
            <w:pPr>
              <w:widowControl/>
              <w:spacing w:line="240" w:lineRule="auto"/>
              <w:ind w:firstLine="0" w:firstLineChars="0"/>
              <w:jc w:val="center"/>
              <w:rPr>
                <w:rFonts w:eastAsia="仿宋_GB2312"/>
                <w:sz w:val="21"/>
                <w:szCs w:val="21"/>
              </w:rPr>
            </w:pPr>
            <w:r>
              <w:rPr>
                <w:rFonts w:eastAsia="仿宋_GB2312"/>
                <w:sz w:val="21"/>
                <w:szCs w:val="21"/>
              </w:rPr>
              <w:t>土壤流失控制比</w:t>
            </w:r>
          </w:p>
        </w:tc>
        <w:tc>
          <w:tcPr>
            <w:tcW w:w="614"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15"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0.80</w:t>
            </w:r>
          </w:p>
        </w:tc>
        <w:tc>
          <w:tcPr>
            <w:tcW w:w="615" w:type="pct"/>
            <w:vAlign w:val="center"/>
          </w:tcPr>
          <w:p>
            <w:pPr>
              <w:widowControl/>
              <w:spacing w:line="240" w:lineRule="auto"/>
              <w:ind w:firstLine="0" w:firstLineChars="0"/>
              <w:jc w:val="center"/>
              <w:rPr>
                <w:rFonts w:eastAsia="仿宋_GB2312"/>
                <w:sz w:val="21"/>
                <w:szCs w:val="21"/>
              </w:rPr>
            </w:pPr>
            <w:r>
              <w:rPr>
                <w:rFonts w:eastAsia="仿宋_GB2312"/>
                <w:sz w:val="21"/>
                <w:szCs w:val="21"/>
              </w:rPr>
              <w:t>0</w:t>
            </w:r>
          </w:p>
        </w:tc>
        <w:tc>
          <w:tcPr>
            <w:tcW w:w="653" w:type="pct"/>
            <w:vAlign w:val="center"/>
          </w:tcPr>
          <w:p>
            <w:pPr>
              <w:widowControl/>
              <w:spacing w:line="240" w:lineRule="auto"/>
              <w:ind w:firstLine="0" w:firstLineChars="0"/>
              <w:jc w:val="center"/>
              <w:rPr>
                <w:rFonts w:eastAsia="仿宋_GB2312"/>
                <w:sz w:val="21"/>
                <w:szCs w:val="21"/>
              </w:rPr>
            </w:pPr>
            <w:r>
              <w:rPr>
                <w:rFonts w:eastAsia="仿宋_GB2312"/>
                <w:sz w:val="21"/>
                <w:szCs w:val="21"/>
              </w:rPr>
              <w:t>+0.2</w:t>
            </w:r>
            <w:r>
              <w:rPr>
                <w:rFonts w:hint="eastAsia" w:eastAsia="仿宋_GB2312"/>
                <w:sz w:val="21"/>
                <w:szCs w:val="21"/>
              </w:rPr>
              <w:t>0</w:t>
            </w:r>
          </w:p>
        </w:tc>
        <w:tc>
          <w:tcPr>
            <w:tcW w:w="576"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14" w:type="pct"/>
            <w:vAlign w:val="center"/>
          </w:tcPr>
          <w:p>
            <w:pPr>
              <w:widowControl/>
              <w:spacing w:line="240" w:lineRule="auto"/>
              <w:ind w:firstLine="0" w:firstLineChars="0"/>
              <w:jc w:val="center"/>
              <w:rPr>
                <w:rFonts w:eastAsia="仿宋_GB2312"/>
                <w:sz w:val="21"/>
                <w:szCs w:val="21"/>
              </w:rPr>
            </w:pPr>
            <w:r>
              <w:rPr>
                <w:rFonts w:eastAsia="仿宋_GB2312"/>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3" w:type="pct"/>
            <w:vAlign w:val="center"/>
          </w:tcPr>
          <w:p>
            <w:pPr>
              <w:widowControl/>
              <w:spacing w:line="240" w:lineRule="auto"/>
              <w:ind w:firstLine="0" w:firstLineChars="0"/>
              <w:jc w:val="center"/>
              <w:rPr>
                <w:rFonts w:eastAsia="仿宋_GB2312"/>
                <w:sz w:val="21"/>
                <w:szCs w:val="21"/>
              </w:rPr>
            </w:pPr>
            <w:r>
              <w:rPr>
                <w:rFonts w:eastAsia="仿宋_GB2312"/>
                <w:sz w:val="21"/>
                <w:szCs w:val="21"/>
              </w:rPr>
              <w:t>渣土防护率（%）</w:t>
            </w:r>
          </w:p>
        </w:tc>
        <w:tc>
          <w:tcPr>
            <w:tcW w:w="614" w:type="pct"/>
            <w:vAlign w:val="center"/>
          </w:tcPr>
          <w:p>
            <w:pPr>
              <w:widowControl/>
              <w:spacing w:line="240" w:lineRule="auto"/>
              <w:ind w:firstLine="0" w:firstLineChars="0"/>
              <w:jc w:val="center"/>
              <w:rPr>
                <w:rFonts w:eastAsia="仿宋_GB2312"/>
                <w:sz w:val="21"/>
                <w:szCs w:val="21"/>
              </w:rPr>
            </w:pPr>
            <w:r>
              <w:rPr>
                <w:rFonts w:eastAsia="仿宋_GB2312"/>
                <w:sz w:val="21"/>
                <w:szCs w:val="21"/>
              </w:rPr>
              <w:t>8</w:t>
            </w:r>
            <w:r>
              <w:rPr>
                <w:rFonts w:hint="eastAsia" w:eastAsia="仿宋_GB2312"/>
                <w:sz w:val="21"/>
                <w:szCs w:val="21"/>
              </w:rPr>
              <w:t>5</w:t>
            </w:r>
          </w:p>
        </w:tc>
        <w:tc>
          <w:tcPr>
            <w:tcW w:w="615"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87</w:t>
            </w:r>
          </w:p>
        </w:tc>
        <w:tc>
          <w:tcPr>
            <w:tcW w:w="615" w:type="pct"/>
            <w:vAlign w:val="center"/>
          </w:tcPr>
          <w:p>
            <w:pPr>
              <w:widowControl/>
              <w:spacing w:line="240" w:lineRule="auto"/>
              <w:ind w:firstLine="0" w:firstLineChars="0"/>
              <w:jc w:val="center"/>
              <w:rPr>
                <w:rFonts w:eastAsia="仿宋_GB2312"/>
                <w:sz w:val="21"/>
                <w:szCs w:val="21"/>
              </w:rPr>
            </w:pPr>
            <w:r>
              <w:rPr>
                <w:rFonts w:eastAsia="仿宋_GB2312"/>
                <w:sz w:val="21"/>
                <w:szCs w:val="21"/>
              </w:rPr>
              <w:t>0</w:t>
            </w:r>
          </w:p>
        </w:tc>
        <w:tc>
          <w:tcPr>
            <w:tcW w:w="653" w:type="pct"/>
            <w:vAlign w:val="center"/>
          </w:tcPr>
          <w:p>
            <w:pPr>
              <w:widowControl/>
              <w:spacing w:line="240" w:lineRule="auto"/>
              <w:ind w:firstLine="0" w:firstLineChars="0"/>
              <w:jc w:val="center"/>
              <w:rPr>
                <w:rFonts w:eastAsia="仿宋_GB2312"/>
                <w:sz w:val="21"/>
                <w:szCs w:val="21"/>
              </w:rPr>
            </w:pPr>
            <w:r>
              <w:rPr>
                <w:rFonts w:eastAsia="仿宋_GB2312"/>
                <w:sz w:val="21"/>
                <w:szCs w:val="21"/>
              </w:rPr>
              <w:t>0</w:t>
            </w:r>
          </w:p>
        </w:tc>
        <w:tc>
          <w:tcPr>
            <w:tcW w:w="576"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85</w:t>
            </w:r>
          </w:p>
        </w:tc>
        <w:tc>
          <w:tcPr>
            <w:tcW w:w="61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3" w:type="pct"/>
            <w:vAlign w:val="center"/>
          </w:tcPr>
          <w:p>
            <w:pPr>
              <w:widowControl/>
              <w:spacing w:line="240" w:lineRule="auto"/>
              <w:ind w:firstLine="0" w:firstLineChars="0"/>
              <w:jc w:val="center"/>
              <w:rPr>
                <w:rFonts w:eastAsia="仿宋_GB2312"/>
                <w:sz w:val="21"/>
                <w:szCs w:val="21"/>
              </w:rPr>
            </w:pPr>
            <w:r>
              <w:rPr>
                <w:rFonts w:eastAsia="仿宋_GB2312"/>
                <w:sz w:val="21"/>
                <w:szCs w:val="21"/>
              </w:rPr>
              <w:t>表土保护率（%）</w:t>
            </w:r>
          </w:p>
        </w:tc>
        <w:tc>
          <w:tcPr>
            <w:tcW w:w="614"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15"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15"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53"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576"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14"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3" w:type="pct"/>
            <w:vAlign w:val="center"/>
          </w:tcPr>
          <w:p>
            <w:pPr>
              <w:widowControl/>
              <w:spacing w:line="240" w:lineRule="auto"/>
              <w:ind w:firstLine="0" w:firstLineChars="0"/>
              <w:jc w:val="center"/>
              <w:rPr>
                <w:rFonts w:eastAsia="仿宋_GB2312"/>
                <w:sz w:val="21"/>
                <w:szCs w:val="21"/>
              </w:rPr>
            </w:pPr>
            <w:r>
              <w:rPr>
                <w:rFonts w:eastAsia="仿宋_GB2312"/>
                <w:sz w:val="21"/>
                <w:szCs w:val="21"/>
              </w:rPr>
              <w:t>林草植被恢复率（%）</w:t>
            </w:r>
          </w:p>
        </w:tc>
        <w:tc>
          <w:tcPr>
            <w:tcW w:w="614"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15"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93</w:t>
            </w:r>
          </w:p>
        </w:tc>
        <w:tc>
          <w:tcPr>
            <w:tcW w:w="615"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r>
              <w:rPr>
                <w:rFonts w:hint="eastAsia" w:eastAsia="仿宋_GB2312"/>
                <w:sz w:val="21"/>
                <w:szCs w:val="21"/>
              </w:rPr>
              <w:t>93</w:t>
            </w:r>
          </w:p>
        </w:tc>
        <w:tc>
          <w:tcPr>
            <w:tcW w:w="653" w:type="pct"/>
            <w:vAlign w:val="center"/>
          </w:tcPr>
          <w:p>
            <w:pPr>
              <w:widowControl/>
              <w:spacing w:line="240" w:lineRule="auto"/>
              <w:ind w:firstLine="0" w:firstLineChars="0"/>
              <w:jc w:val="center"/>
              <w:rPr>
                <w:rFonts w:eastAsia="仿宋_GB2312"/>
                <w:sz w:val="21"/>
                <w:szCs w:val="21"/>
              </w:rPr>
            </w:pPr>
            <w:r>
              <w:rPr>
                <w:rFonts w:eastAsia="仿宋_GB2312"/>
                <w:sz w:val="21"/>
                <w:szCs w:val="21"/>
              </w:rPr>
              <w:t>0</w:t>
            </w:r>
          </w:p>
        </w:tc>
        <w:tc>
          <w:tcPr>
            <w:tcW w:w="576"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14"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3" w:type="pct"/>
            <w:vAlign w:val="center"/>
          </w:tcPr>
          <w:p>
            <w:pPr>
              <w:widowControl/>
              <w:spacing w:line="240" w:lineRule="auto"/>
              <w:ind w:firstLine="0" w:firstLineChars="0"/>
              <w:jc w:val="center"/>
              <w:rPr>
                <w:rFonts w:eastAsia="仿宋_GB2312"/>
                <w:sz w:val="21"/>
                <w:szCs w:val="21"/>
              </w:rPr>
            </w:pPr>
            <w:r>
              <w:rPr>
                <w:rFonts w:eastAsia="仿宋_GB2312"/>
                <w:sz w:val="21"/>
                <w:szCs w:val="21"/>
              </w:rPr>
              <w:t>林草覆盖率（%）</w:t>
            </w:r>
          </w:p>
        </w:tc>
        <w:tc>
          <w:tcPr>
            <w:tcW w:w="614"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15"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20</w:t>
            </w:r>
          </w:p>
        </w:tc>
        <w:tc>
          <w:tcPr>
            <w:tcW w:w="615"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r>
              <w:rPr>
                <w:rFonts w:hint="eastAsia" w:eastAsia="仿宋_GB2312"/>
                <w:sz w:val="21"/>
                <w:szCs w:val="21"/>
              </w:rPr>
              <w:t>20</w:t>
            </w:r>
          </w:p>
        </w:tc>
        <w:tc>
          <w:tcPr>
            <w:tcW w:w="653" w:type="pct"/>
            <w:vAlign w:val="center"/>
          </w:tcPr>
          <w:p>
            <w:pPr>
              <w:widowControl/>
              <w:spacing w:line="240" w:lineRule="auto"/>
              <w:ind w:firstLine="0" w:firstLineChars="0"/>
              <w:jc w:val="center"/>
              <w:rPr>
                <w:rFonts w:eastAsia="仿宋_GB2312"/>
                <w:sz w:val="21"/>
                <w:szCs w:val="21"/>
              </w:rPr>
            </w:pPr>
            <w:r>
              <w:rPr>
                <w:rFonts w:eastAsia="仿宋_GB2312"/>
                <w:sz w:val="21"/>
                <w:szCs w:val="21"/>
              </w:rPr>
              <w:t>0</w:t>
            </w:r>
          </w:p>
        </w:tc>
        <w:tc>
          <w:tcPr>
            <w:tcW w:w="576"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14"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r>
    </w:tbl>
    <w:p>
      <w:pPr>
        <w:tabs>
          <w:tab w:val="left" w:pos="851"/>
          <w:tab w:val="left" w:pos="1485"/>
        </w:tabs>
        <w:spacing w:beforeLines="100"/>
        <w:ind w:firstLine="480"/>
        <w:rPr>
          <w:rFonts w:eastAsia="仿宋_GB2312"/>
        </w:rPr>
      </w:pPr>
      <w:r>
        <w:rPr>
          <w:rFonts w:hint="eastAsia" w:eastAsia="仿宋_GB2312"/>
        </w:rPr>
        <w:t>修正过程：</w:t>
      </w:r>
      <w:r>
        <w:rPr>
          <w:rFonts w:eastAsia="仿宋_GB2312"/>
        </w:rPr>
        <w:t>由于项目区属于北方风沙区，</w:t>
      </w:r>
      <w:r>
        <w:rPr>
          <w:rFonts w:hint="eastAsia" w:eastAsia="仿宋_GB2312"/>
        </w:rPr>
        <w:t>项目未占用耕地、园地等生产力较高的土地，</w:t>
      </w:r>
      <w:r>
        <w:rPr>
          <w:rFonts w:eastAsia="仿宋_GB2312"/>
        </w:rPr>
        <w:t>因此表土保护率不作要求</w:t>
      </w:r>
      <w:r>
        <w:rPr>
          <w:rFonts w:hint="eastAsia" w:eastAsia="仿宋_GB2312"/>
        </w:rPr>
        <w:t>；根据</w:t>
      </w:r>
      <w:r>
        <w:rPr>
          <w:rFonts w:eastAsia="仿宋_GB2312"/>
        </w:rPr>
        <w:t>《</w:t>
      </w:r>
      <w:r>
        <w:rPr>
          <w:rFonts w:hint="eastAsia" w:eastAsia="仿宋_GB2312"/>
        </w:rPr>
        <w:t>生产</w:t>
      </w:r>
      <w:r>
        <w:rPr>
          <w:rFonts w:eastAsia="仿宋_GB2312"/>
        </w:rPr>
        <w:t>建设项目水土流失防治标准》（GB</w:t>
      </w:r>
      <w:r>
        <w:rPr>
          <w:rFonts w:hint="eastAsia" w:eastAsia="仿宋_GB2312"/>
        </w:rPr>
        <w:t>/T</w:t>
      </w:r>
      <w:r>
        <w:rPr>
          <w:rFonts w:eastAsia="仿宋_GB2312"/>
        </w:rPr>
        <w:t>50434－2018）</w:t>
      </w:r>
      <w:r>
        <w:rPr>
          <w:rFonts w:hint="eastAsia" w:eastAsia="仿宋_GB2312"/>
        </w:rPr>
        <w:t>4.0.7条“土壤流失控制比在轻度侵蚀为主的区域不应小于1，中度以上侵蚀为主的区域可降低0.1~0.2”，本项目</w:t>
      </w:r>
      <w:r>
        <w:rPr>
          <w:rFonts w:eastAsia="仿宋_GB2312"/>
        </w:rPr>
        <w:t>土壤侵蚀类型</w:t>
      </w:r>
      <w:r>
        <w:rPr>
          <w:rFonts w:hint="eastAsia" w:eastAsia="仿宋_GB2312"/>
        </w:rPr>
        <w:t>以</w:t>
      </w:r>
      <w:r>
        <w:rPr>
          <w:rFonts w:eastAsia="仿宋_GB2312"/>
        </w:rPr>
        <w:t>轻度</w:t>
      </w:r>
      <w:r>
        <w:rPr>
          <w:rFonts w:hint="eastAsia" w:eastAsia="仿宋_GB2312"/>
        </w:rPr>
        <w:t>为主，因此土壤流失控制比确定为1.0；</w:t>
      </w:r>
      <w:r>
        <w:rPr>
          <w:rFonts w:eastAsia="仿宋_GB2312"/>
        </w:rPr>
        <w:t>根据</w:t>
      </w:r>
      <w:r>
        <w:rPr>
          <w:rFonts w:hint="eastAsia" w:eastAsia="仿宋_GB2312"/>
        </w:rPr>
        <w:t>《中国气候区划名称与代码—气候带和气候大区》（GB/T17297—1998），项目区属于暖温带极干旱性气候大区，代码为13E，根据</w:t>
      </w:r>
      <w:r>
        <w:rPr>
          <w:rFonts w:eastAsia="仿宋_GB2312"/>
        </w:rPr>
        <w:t>《</w:t>
      </w:r>
      <w:r>
        <w:rPr>
          <w:rFonts w:hint="eastAsia" w:eastAsia="仿宋_GB2312"/>
        </w:rPr>
        <w:t>生产</w:t>
      </w:r>
      <w:r>
        <w:rPr>
          <w:rFonts w:eastAsia="仿宋_GB2312"/>
        </w:rPr>
        <w:t>建设项目水土流失防治标准》（GB</w:t>
      </w:r>
      <w:r>
        <w:rPr>
          <w:rFonts w:hint="eastAsia" w:eastAsia="仿宋_GB2312"/>
        </w:rPr>
        <w:t>/T</w:t>
      </w:r>
      <w:r>
        <w:rPr>
          <w:rFonts w:eastAsia="仿宋_GB2312"/>
        </w:rPr>
        <w:t>50434－2018）</w:t>
      </w:r>
      <w:r>
        <w:rPr>
          <w:rFonts w:hint="eastAsia" w:eastAsia="仿宋_GB2312"/>
        </w:rPr>
        <w:t>4.0.6条“位于极干旱地区的，林草植被恢复率和林草覆盖率可不作要求，水土流失治理度可降低5</w:t>
      </w:r>
      <w:r>
        <w:rPr>
          <w:rFonts w:eastAsia="仿宋_GB2312"/>
        </w:rPr>
        <w:t>%~</w:t>
      </w:r>
      <w:r>
        <w:rPr>
          <w:rFonts w:hint="eastAsia" w:eastAsia="仿宋_GB2312"/>
        </w:rPr>
        <w:t>8</w:t>
      </w:r>
      <w:r>
        <w:rPr>
          <w:rFonts w:eastAsia="仿宋_GB2312"/>
        </w:rPr>
        <w:t>%</w:t>
      </w:r>
      <w:r>
        <w:rPr>
          <w:rFonts w:hint="eastAsia" w:eastAsia="仿宋_GB2312"/>
        </w:rPr>
        <w:t>”，且施工作业区大部分位于硬化道路下，因此，本项目不考虑采取植物措施，林草植被恢复率、林草覆盖率</w:t>
      </w:r>
      <w:r>
        <w:rPr>
          <w:rFonts w:eastAsia="仿宋_GB2312"/>
        </w:rPr>
        <w:t>不作要求</w:t>
      </w:r>
      <w:r>
        <w:rPr>
          <w:rFonts w:hint="eastAsia" w:eastAsia="仿宋_GB2312"/>
        </w:rPr>
        <w:t>。</w:t>
      </w:r>
    </w:p>
    <w:bookmarkEnd w:id="37"/>
    <w:bookmarkEnd w:id="38"/>
    <w:bookmarkEnd w:id="39"/>
    <w:bookmarkEnd w:id="40"/>
    <w:bookmarkEnd w:id="41"/>
    <w:bookmarkEnd w:id="42"/>
    <w:bookmarkEnd w:id="43"/>
    <w:bookmarkEnd w:id="44"/>
    <w:p>
      <w:pPr>
        <w:pStyle w:val="3"/>
        <w:widowControl/>
        <w:numPr>
          <w:ilvl w:val="1"/>
          <w:numId w:val="1"/>
        </w:numPr>
        <w:tabs>
          <w:tab w:val="clear" w:pos="1002"/>
        </w:tabs>
        <w:topLinePunct w:val="0"/>
        <w:adjustRightInd/>
        <w:snapToGrid/>
        <w:ind w:left="0" w:firstLine="0"/>
        <w:jc w:val="both"/>
        <w:rPr>
          <w:rFonts w:eastAsia="仿宋_GB2312"/>
        </w:rPr>
      </w:pPr>
      <w:bookmarkStart w:id="76" w:name="_Toc4951110"/>
      <w:bookmarkStart w:id="77" w:name="_Toc7801448"/>
      <w:bookmarkStart w:id="78" w:name="_Toc50221491"/>
      <w:bookmarkStart w:id="79" w:name="_Toc7801381"/>
      <w:bookmarkStart w:id="80" w:name="_Toc7801541"/>
      <w:bookmarkStart w:id="81" w:name="_Toc184022978"/>
      <w:bookmarkStart w:id="82" w:name="_Toc181680714"/>
      <w:bookmarkStart w:id="83" w:name="_Toc184443628"/>
      <w:bookmarkStart w:id="84" w:name="_Toc187631280"/>
      <w:bookmarkStart w:id="85" w:name="_Toc188242310"/>
      <w:bookmarkStart w:id="86" w:name="_Toc182194763"/>
      <w:r>
        <w:rPr>
          <w:rFonts w:eastAsia="仿宋_GB2312"/>
        </w:rPr>
        <w:t>项目水土保持评价结论</w:t>
      </w:r>
      <w:bookmarkEnd w:id="76"/>
      <w:bookmarkEnd w:id="77"/>
      <w:bookmarkEnd w:id="78"/>
      <w:bookmarkEnd w:id="79"/>
      <w:bookmarkEnd w:id="80"/>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主体工程选址（线）评价</w:t>
      </w:r>
    </w:p>
    <w:p>
      <w:pPr>
        <w:tabs>
          <w:tab w:val="left" w:pos="851"/>
          <w:tab w:val="left" w:pos="1485"/>
        </w:tabs>
        <w:ind w:firstLine="480"/>
        <w:rPr>
          <w:rFonts w:eastAsia="仿宋_GB2312"/>
        </w:rPr>
      </w:pPr>
      <w:r>
        <w:rPr>
          <w:rFonts w:hint="eastAsia" w:eastAsia="仿宋_GB2312"/>
        </w:rPr>
        <w:t>（1）</w:t>
      </w:r>
      <w:r>
        <w:rPr>
          <w:rFonts w:eastAsia="仿宋_GB2312"/>
        </w:rPr>
        <w:t>项目建设</w:t>
      </w:r>
      <w:r>
        <w:rPr>
          <w:rFonts w:hint="eastAsia" w:eastAsia="仿宋_GB2312"/>
        </w:rPr>
        <w:t>内容基本</w:t>
      </w:r>
      <w:r>
        <w:rPr>
          <w:rFonts w:eastAsia="仿宋_GB2312"/>
        </w:rPr>
        <w:t>符合水保[2007]184号文、《</w:t>
      </w:r>
      <w:r>
        <w:rPr>
          <w:rFonts w:hint="eastAsia" w:eastAsia="仿宋_GB2312"/>
        </w:rPr>
        <w:t>生产</w:t>
      </w:r>
      <w:r>
        <w:rPr>
          <w:rFonts w:eastAsia="仿宋_GB2312"/>
        </w:rPr>
        <w:t>建设项目水土保持技术</w:t>
      </w:r>
      <w:r>
        <w:rPr>
          <w:rFonts w:hint="eastAsia" w:eastAsia="仿宋_GB2312"/>
        </w:rPr>
        <w:t>标准</w:t>
      </w:r>
      <w:r>
        <w:rPr>
          <w:rFonts w:eastAsia="仿宋_GB2312"/>
        </w:rPr>
        <w:t>》(GB50433-2018)及《中华人民共和国水土保持法》的要求，虽然在工程建设中可能会产生一定的水土流失危害，但是工程的建设符合国家产业政策和地方规划</w:t>
      </w:r>
      <w:r>
        <w:rPr>
          <w:rFonts w:hint="eastAsia" w:eastAsia="仿宋_GB2312"/>
        </w:rPr>
        <w:t>，</w:t>
      </w:r>
      <w:r>
        <w:rPr>
          <w:rFonts w:eastAsia="仿宋_GB2312"/>
        </w:rPr>
        <w:t>不存在制约工程建设的水土保持因素，工程建设是可行的。</w:t>
      </w:r>
    </w:p>
    <w:p>
      <w:pPr>
        <w:tabs>
          <w:tab w:val="left" w:pos="851"/>
          <w:tab w:val="left" w:pos="1485"/>
        </w:tabs>
        <w:ind w:firstLine="480"/>
        <w:rPr>
          <w:rFonts w:eastAsia="仿宋_GB2312"/>
        </w:rPr>
      </w:pPr>
      <w:r>
        <w:rPr>
          <w:rFonts w:hint="eastAsia" w:eastAsia="仿宋_GB2312"/>
        </w:rPr>
        <w:t>（2）</w:t>
      </w:r>
      <w:r>
        <w:rPr>
          <w:rFonts w:eastAsia="仿宋_GB2312"/>
        </w:rPr>
        <w:t>项目区地处</w:t>
      </w:r>
      <w:r>
        <w:rPr>
          <w:rFonts w:hint="eastAsia" w:eastAsia="仿宋_GB2312"/>
        </w:rPr>
        <w:t>新疆生产建设兵团第十四师224团，</w:t>
      </w:r>
      <w:r>
        <w:rPr>
          <w:rFonts w:eastAsia="仿宋_GB2312"/>
        </w:rPr>
        <w:t>根据《全国水土保持规划国家级水土流失重点预防区和重点治理区复核划分成果》，</w:t>
      </w:r>
      <w:r>
        <w:rPr>
          <w:rFonts w:hint="eastAsia" w:eastAsia="仿宋_GB2312"/>
        </w:rPr>
        <w:t>224团（按墨玉县考虑）</w:t>
      </w:r>
      <w:r>
        <w:rPr>
          <w:rFonts w:eastAsia="仿宋_GB2312"/>
        </w:rPr>
        <w:t>属于塔里木河国家级水土流失重点预防区</w:t>
      </w:r>
      <w:r>
        <w:rPr>
          <w:rFonts w:hint="eastAsia" w:eastAsia="仿宋_GB2312"/>
        </w:rPr>
        <w:t>；</w:t>
      </w:r>
      <w:r>
        <w:rPr>
          <w:rFonts w:eastAsia="仿宋_GB2312"/>
        </w:rPr>
        <w:t>根据《新疆生产建设兵团水土保持规划（2015-2030）》，</w:t>
      </w:r>
      <w:r>
        <w:rPr>
          <w:rFonts w:hint="eastAsia" w:eastAsia="仿宋_GB2312"/>
        </w:rPr>
        <w:t>第十四师224团</w:t>
      </w:r>
      <w:r>
        <w:rPr>
          <w:rFonts w:eastAsia="仿宋_GB2312"/>
        </w:rPr>
        <w:t>属于</w:t>
      </w:r>
      <w:r>
        <w:rPr>
          <w:rFonts w:hint="eastAsia" w:eastAsia="仿宋_GB2312"/>
        </w:rPr>
        <w:t>塔里木河流域兵团级水土流失重点治理区；</w:t>
      </w:r>
      <w:r>
        <w:rPr>
          <w:rFonts w:eastAsia="仿宋_GB2312"/>
        </w:rPr>
        <w:t>工程征占地范围内不占用国家水土保持定位观测站</w:t>
      </w:r>
      <w:r>
        <w:rPr>
          <w:rFonts w:hint="eastAsia" w:eastAsia="仿宋_GB2312"/>
        </w:rPr>
        <w:t>。</w:t>
      </w:r>
    </w:p>
    <w:p>
      <w:pPr>
        <w:tabs>
          <w:tab w:val="left" w:pos="851"/>
          <w:tab w:val="left" w:pos="1485"/>
        </w:tabs>
        <w:ind w:firstLine="480"/>
        <w:rPr>
          <w:rFonts w:eastAsia="仿宋_GB2312"/>
        </w:rPr>
      </w:pPr>
      <w:r>
        <w:rPr>
          <w:rFonts w:hint="eastAsia" w:eastAsia="仿宋_GB2312"/>
        </w:rPr>
        <w:t>（3）</w:t>
      </w:r>
      <w:r>
        <w:rPr>
          <w:rFonts w:eastAsia="仿宋_GB2312"/>
        </w:rPr>
        <w:t>工程选址也不涉及当地县级以上人民政府规划确定和已建的水土保持重点试验区、监测站点；工程选址不在泥石流易发区、崩塌滑坡危险区等易引起严重水土流失的地区。</w:t>
      </w:r>
    </w:p>
    <w:p>
      <w:pPr>
        <w:tabs>
          <w:tab w:val="left" w:pos="851"/>
          <w:tab w:val="left" w:pos="1485"/>
        </w:tabs>
        <w:ind w:firstLine="480"/>
        <w:rPr>
          <w:rFonts w:eastAsia="仿宋_GB2312"/>
        </w:rPr>
      </w:pPr>
      <w:r>
        <w:rPr>
          <w:rFonts w:hint="eastAsia" w:eastAsia="仿宋_GB2312"/>
        </w:rPr>
        <w:t>（4）</w:t>
      </w:r>
      <w:r>
        <w:rPr>
          <w:rFonts w:eastAsia="仿宋_GB2312"/>
        </w:rPr>
        <w:t>本项目选址不涉及饮用水水源保护区、水功能一级区的保护区和保留区、自然保护区、世界文化和自然遗产地等区域。</w:t>
      </w:r>
      <w:r>
        <w:rPr>
          <w:rFonts w:eastAsia="仿宋_GB2312"/>
        </w:rPr>
        <w:br w:type="textWrapping"/>
      </w:r>
      <w:r>
        <w:rPr>
          <w:rFonts w:eastAsia="仿宋_GB2312"/>
        </w:rPr>
        <w:t> 综上所述，</w:t>
      </w:r>
      <w:r>
        <w:rPr>
          <w:rFonts w:hint="eastAsia" w:eastAsia="仿宋_GB2312"/>
        </w:rPr>
        <w:t>虽然本工程选址无法避让</w:t>
      </w:r>
      <w:r>
        <w:rPr>
          <w:rFonts w:eastAsia="仿宋_GB2312"/>
        </w:rPr>
        <w:t>塔里木河国家级水土流失重点预防区</w:t>
      </w:r>
      <w:r>
        <w:rPr>
          <w:rFonts w:hint="eastAsia" w:eastAsia="仿宋_GB2312"/>
        </w:rPr>
        <w:t>和塔里木河流域兵团级水土流失重点治理区</w:t>
      </w:r>
      <w:r>
        <w:rPr>
          <w:rFonts w:eastAsia="仿宋_GB2312"/>
        </w:rPr>
        <w:t>，</w:t>
      </w:r>
      <w:r>
        <w:rPr>
          <w:rFonts w:hint="eastAsia" w:eastAsia="仿宋_GB2312"/>
        </w:rPr>
        <w:t>但通过执行</w:t>
      </w:r>
      <w:r>
        <w:rPr>
          <w:rFonts w:eastAsia="仿宋_GB2312"/>
        </w:rPr>
        <w:t>北方风沙区</w:t>
      </w:r>
      <w:r>
        <w:rPr>
          <w:rFonts w:hint="eastAsia" w:eastAsia="仿宋_GB2312"/>
        </w:rPr>
        <w:t>建设项目一</w:t>
      </w:r>
      <w:r>
        <w:rPr>
          <w:rFonts w:eastAsia="仿宋_GB2312"/>
        </w:rPr>
        <w:t>级标准</w:t>
      </w:r>
      <w:r>
        <w:rPr>
          <w:rFonts w:hint="eastAsia" w:eastAsia="仿宋_GB2312"/>
        </w:rPr>
        <w:t>，</w:t>
      </w:r>
      <w:r>
        <w:rPr>
          <w:rFonts w:eastAsia="仿宋_GB2312"/>
        </w:rPr>
        <w:t>建设期加强管理，减少地表扰动</w:t>
      </w:r>
      <w:r>
        <w:rPr>
          <w:rFonts w:hint="eastAsia" w:eastAsia="仿宋_GB2312"/>
        </w:rPr>
        <w:t>，</w:t>
      </w:r>
      <w:r>
        <w:rPr>
          <w:rFonts w:eastAsia="仿宋_GB2312"/>
        </w:rPr>
        <w:t>项目建设</w:t>
      </w:r>
      <w:r>
        <w:rPr>
          <w:rFonts w:hint="eastAsia" w:eastAsia="仿宋_GB2312"/>
        </w:rPr>
        <w:t>还是</w:t>
      </w:r>
      <w:r>
        <w:rPr>
          <w:rFonts w:eastAsia="仿宋_GB2312"/>
        </w:rPr>
        <w:t>可行</w:t>
      </w:r>
      <w:r>
        <w:rPr>
          <w:rFonts w:hint="eastAsia" w:eastAsia="仿宋_GB2312"/>
        </w:rPr>
        <w:t>的</w:t>
      </w:r>
      <w:r>
        <w:rPr>
          <w:rFonts w:eastAsia="仿宋_GB2312"/>
        </w:rPr>
        <w:t>。主体工程在设计时已充分考虑减少工程占地，节约利用土地资源等因素合理布设项目区布局，</w:t>
      </w:r>
      <w:r>
        <w:rPr>
          <w:rFonts w:hint="eastAsia" w:eastAsia="仿宋_GB2312"/>
        </w:rPr>
        <w:t>基本</w:t>
      </w:r>
      <w:r>
        <w:rPr>
          <w:rFonts w:eastAsia="仿宋_GB2312"/>
        </w:rPr>
        <w:t>符合水土保持要求。</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建设方案与布局评价</w:t>
      </w:r>
    </w:p>
    <w:p>
      <w:pPr>
        <w:tabs>
          <w:tab w:val="left" w:pos="851"/>
          <w:tab w:val="left" w:pos="1485"/>
        </w:tabs>
        <w:ind w:firstLine="480"/>
        <w:rPr>
          <w:rFonts w:eastAsia="仿宋_GB2312"/>
        </w:rPr>
      </w:pPr>
      <w:r>
        <w:rPr>
          <w:rFonts w:hint="eastAsia" w:eastAsia="仿宋_GB2312"/>
        </w:rPr>
        <w:t>一</w:t>
      </w:r>
      <w:r>
        <w:rPr>
          <w:rFonts w:eastAsia="仿宋_GB2312"/>
        </w:rPr>
        <w:t>、本项目总占地面积</w:t>
      </w:r>
      <w:r>
        <w:rPr>
          <w:rFonts w:hint="eastAsia" w:eastAsia="仿宋_GB2312"/>
        </w:rPr>
        <w:t>2.88h</w:t>
      </w:r>
      <w:r>
        <w:rPr>
          <w:rFonts w:eastAsia="仿宋_GB2312"/>
        </w:rPr>
        <w:t>m²，</w:t>
      </w:r>
      <w:r>
        <w:rPr>
          <w:rFonts w:hint="eastAsia" w:eastAsia="仿宋_GB2312"/>
        </w:rPr>
        <w:t>其中</w:t>
      </w:r>
      <w:r>
        <w:rPr>
          <w:rFonts w:eastAsia="仿宋_GB2312"/>
        </w:rPr>
        <w:t>永久占地</w:t>
      </w:r>
      <w:r>
        <w:rPr>
          <w:rFonts w:hint="eastAsia" w:eastAsia="仿宋_GB2312"/>
        </w:rPr>
        <w:t>0.17h</w:t>
      </w:r>
      <w:r>
        <w:rPr>
          <w:rFonts w:eastAsia="仿宋_GB2312"/>
        </w:rPr>
        <w:t>m²，</w:t>
      </w:r>
      <w:r>
        <w:rPr>
          <w:rFonts w:hint="eastAsia" w:eastAsia="仿宋_GB2312"/>
        </w:rPr>
        <w:t>临时</w:t>
      </w:r>
      <w:r>
        <w:rPr>
          <w:rFonts w:eastAsia="仿宋_GB2312"/>
        </w:rPr>
        <w:t>占地</w:t>
      </w:r>
      <w:r>
        <w:rPr>
          <w:rFonts w:hint="eastAsia" w:eastAsia="仿宋_GB2312"/>
        </w:rPr>
        <w:t>2.71h</w:t>
      </w:r>
      <w:r>
        <w:rPr>
          <w:rFonts w:eastAsia="仿宋_GB2312"/>
        </w:rPr>
        <w:t>m²，工程占地均为</w:t>
      </w:r>
      <w:r>
        <w:rPr>
          <w:rFonts w:hint="eastAsia" w:eastAsia="仿宋_GB2312"/>
        </w:rPr>
        <w:t>建设用地</w:t>
      </w:r>
      <w:r>
        <w:rPr>
          <w:rFonts w:eastAsia="仿宋_GB2312"/>
        </w:rPr>
        <w:t>，不会对区域</w:t>
      </w:r>
      <w:r>
        <w:rPr>
          <w:rFonts w:hint="eastAsia" w:eastAsia="仿宋_GB2312"/>
        </w:rPr>
        <w:t>周边</w:t>
      </w:r>
      <w:r>
        <w:rPr>
          <w:rFonts w:eastAsia="仿宋_GB2312"/>
        </w:rPr>
        <w:t>的土地生产力产生巨大影响。工程占地是根据工程建设和管理需要确定的，尽量利用工程拟建场地和永久占地，减少扰动范围。总体上，在做好防护工作后，工程占地符合水土保持的要求。</w:t>
      </w:r>
    </w:p>
    <w:p>
      <w:pPr>
        <w:tabs>
          <w:tab w:val="left" w:pos="851"/>
          <w:tab w:val="left" w:pos="1485"/>
        </w:tabs>
        <w:ind w:firstLine="480"/>
        <w:rPr>
          <w:rFonts w:eastAsia="仿宋_GB2312"/>
        </w:rPr>
      </w:pPr>
      <w:r>
        <w:rPr>
          <w:rFonts w:hint="eastAsia" w:eastAsia="仿宋_GB2312"/>
        </w:rPr>
        <w:t>二</w:t>
      </w:r>
      <w:r>
        <w:rPr>
          <w:rFonts w:eastAsia="仿宋_GB2312"/>
        </w:rPr>
        <w:t>、本工程开挖总量为</w:t>
      </w:r>
      <w:r>
        <w:rPr>
          <w:rFonts w:hint="eastAsia" w:eastAsia="仿宋_GB2312"/>
        </w:rPr>
        <w:t>1.90万</w:t>
      </w:r>
      <w:r>
        <w:rPr>
          <w:rFonts w:eastAsia="仿宋_GB2312"/>
        </w:rPr>
        <w:t>m</w:t>
      </w:r>
      <w:r>
        <w:rPr>
          <w:rFonts w:eastAsia="仿宋_GB2312"/>
          <w:vertAlign w:val="superscript"/>
        </w:rPr>
        <w:t>3</w:t>
      </w:r>
      <w:r>
        <w:rPr>
          <w:rFonts w:eastAsia="仿宋_GB2312"/>
        </w:rPr>
        <w:t>，土方填筑总量为</w:t>
      </w:r>
      <w:r>
        <w:rPr>
          <w:rFonts w:hint="eastAsia" w:eastAsia="仿宋_GB2312"/>
        </w:rPr>
        <w:t>1.90万</w:t>
      </w:r>
      <w:r>
        <w:rPr>
          <w:rFonts w:eastAsia="仿宋_GB2312"/>
        </w:rPr>
        <w:t>m</w:t>
      </w:r>
      <w:r>
        <w:rPr>
          <w:rFonts w:eastAsia="仿宋_GB2312"/>
          <w:vertAlign w:val="superscript"/>
        </w:rPr>
        <w:t>3</w:t>
      </w:r>
      <w:r>
        <w:rPr>
          <w:rFonts w:eastAsia="仿宋_GB2312"/>
        </w:rPr>
        <w:t>，项目建设过程中通过移挖作填、合理调配利用，</w:t>
      </w:r>
      <w:r>
        <w:rPr>
          <w:rFonts w:hint="eastAsia" w:eastAsia="仿宋_GB2312"/>
        </w:rPr>
        <w:t>通过内部调运大部分土方回填利用，剩余土方平摊至施工范围内，全部按填方考虑，挖填基本平衡</w:t>
      </w:r>
      <w:r>
        <w:rPr>
          <w:rFonts w:eastAsia="仿宋_GB2312"/>
        </w:rPr>
        <w:t>，</w:t>
      </w:r>
      <w:r>
        <w:rPr>
          <w:rFonts w:hint="eastAsia" w:eastAsia="仿宋_GB2312"/>
        </w:rPr>
        <w:t>无外借，无弃方</w:t>
      </w:r>
      <w:r>
        <w:rPr>
          <w:rFonts w:eastAsia="仿宋_GB2312"/>
        </w:rPr>
        <w:t>。不需设置专门的永久弃渣场，从总量上看，整个项目建设区土石方配置合理。</w:t>
      </w:r>
      <w:r>
        <w:rPr>
          <w:rFonts w:hint="eastAsia" w:eastAsia="仿宋_GB2312"/>
          <w:color w:val="000000"/>
        </w:rPr>
        <w:t>本项目仅有少量路面拆除垃圾运至垃圾场处理。</w:t>
      </w:r>
    </w:p>
    <w:p>
      <w:pPr>
        <w:tabs>
          <w:tab w:val="left" w:pos="851"/>
          <w:tab w:val="left" w:pos="1485"/>
        </w:tabs>
        <w:ind w:firstLine="480"/>
        <w:rPr>
          <w:rFonts w:eastAsia="仿宋_GB2312"/>
        </w:rPr>
      </w:pPr>
      <w:r>
        <w:rPr>
          <w:rFonts w:hint="eastAsia" w:eastAsia="仿宋_GB2312"/>
        </w:rPr>
        <w:t>三</w:t>
      </w:r>
      <w:r>
        <w:rPr>
          <w:rFonts w:eastAsia="仿宋_GB2312"/>
        </w:rPr>
        <w:t>、本项目施工布置充分利用工程征地，工程施工道路和营地均利用既有场地，不新增占地。砂砾石料采取外购方式，尽量减少征占地面积。总体来看，工程施工布置均是以施工过程中扰动面积最小为原则，尽量减少新增占地进行布设的，符合水土保持要求。</w:t>
      </w:r>
    </w:p>
    <w:p>
      <w:pPr>
        <w:tabs>
          <w:tab w:val="left" w:pos="851"/>
          <w:tab w:val="left" w:pos="1485"/>
        </w:tabs>
        <w:ind w:firstLine="480"/>
        <w:rPr>
          <w:rFonts w:eastAsia="仿宋_GB2312"/>
        </w:rPr>
      </w:pPr>
      <w:r>
        <w:rPr>
          <w:rFonts w:hint="eastAsia" w:eastAsia="仿宋_GB2312"/>
        </w:rPr>
        <w:t>四</w:t>
      </w:r>
      <w:r>
        <w:rPr>
          <w:rFonts w:eastAsia="仿宋_GB2312"/>
        </w:rPr>
        <w:t>、工程主要采用机械化施工，以加快工程进度，有助于减轻水土流失影响。</w:t>
      </w:r>
    </w:p>
    <w:p>
      <w:pPr>
        <w:tabs>
          <w:tab w:val="left" w:pos="851"/>
          <w:tab w:val="left" w:pos="1485"/>
        </w:tabs>
        <w:ind w:firstLine="480"/>
        <w:rPr>
          <w:rFonts w:eastAsia="仿宋_GB2312"/>
        </w:rPr>
      </w:pPr>
      <w:r>
        <w:rPr>
          <w:rFonts w:hint="eastAsia" w:eastAsia="仿宋_GB2312"/>
        </w:rPr>
        <w:t>五</w:t>
      </w:r>
      <w:r>
        <w:rPr>
          <w:rFonts w:eastAsia="仿宋_GB2312"/>
        </w:rPr>
        <w:t>、为保证工程的安全运行，主体工程设计考虑了</w:t>
      </w:r>
      <w:r>
        <w:rPr>
          <w:rFonts w:hint="eastAsia" w:eastAsia="仿宋_GB2312"/>
        </w:rPr>
        <w:t>土地平整</w:t>
      </w:r>
      <w:r>
        <w:rPr>
          <w:rFonts w:eastAsia="仿宋_GB2312"/>
        </w:rPr>
        <w:t>措施，这些措施一方面保障了主体工程安全运行，另一方面也起到了一定的水土保持作用，满足相应的水土保持要求。</w:t>
      </w:r>
    </w:p>
    <w:p>
      <w:pPr>
        <w:tabs>
          <w:tab w:val="left" w:pos="840"/>
          <w:tab w:val="left" w:pos="1485"/>
        </w:tabs>
        <w:ind w:firstLine="480"/>
        <w:rPr>
          <w:rFonts w:eastAsia="仿宋_GB2312"/>
        </w:rPr>
      </w:pPr>
      <w:r>
        <w:rPr>
          <w:rFonts w:eastAsia="仿宋_GB2312"/>
        </w:rPr>
        <w:t>工程建设施工会对建设区植被、土壤、原始地表等水土保持设施产生不利影响，但是通过采取合理的工程措施并辅以临时措施，将使工程建设产生的水土流失影响降到最低。综合分析表明，无制约本项目建设的因素，主体工程建设方案合理可行，主体工程设计中占地及土石方调配利用合理，本项目建设是可行的。</w:t>
      </w:r>
    </w:p>
    <w:p>
      <w:pPr>
        <w:pStyle w:val="3"/>
        <w:widowControl/>
        <w:numPr>
          <w:ilvl w:val="1"/>
          <w:numId w:val="1"/>
        </w:numPr>
        <w:tabs>
          <w:tab w:val="clear" w:pos="1002"/>
        </w:tabs>
        <w:topLinePunct w:val="0"/>
        <w:adjustRightInd/>
        <w:snapToGrid/>
        <w:ind w:left="0" w:firstLine="0"/>
        <w:jc w:val="both"/>
        <w:rPr>
          <w:rFonts w:eastAsia="仿宋_GB2312"/>
        </w:rPr>
      </w:pPr>
      <w:bookmarkStart w:id="87" w:name="_Toc255304489"/>
      <w:bookmarkStart w:id="88" w:name="_Toc237169825"/>
      <w:bookmarkStart w:id="89" w:name="_Toc7801449"/>
      <w:bookmarkStart w:id="90" w:name="_Toc50221492"/>
      <w:bookmarkStart w:id="91" w:name="_Toc7801542"/>
      <w:bookmarkStart w:id="92" w:name="_Toc7801382"/>
      <w:r>
        <w:rPr>
          <w:rFonts w:eastAsia="仿宋_GB2312"/>
        </w:rPr>
        <w:t>水土流失预测结果</w:t>
      </w:r>
      <w:bookmarkEnd w:id="87"/>
      <w:bookmarkEnd w:id="88"/>
      <w:bookmarkEnd w:id="89"/>
      <w:bookmarkEnd w:id="90"/>
      <w:bookmarkEnd w:id="91"/>
      <w:bookmarkEnd w:id="92"/>
    </w:p>
    <w:p>
      <w:pPr>
        <w:tabs>
          <w:tab w:val="left" w:pos="840"/>
          <w:tab w:val="left" w:pos="1485"/>
        </w:tabs>
        <w:ind w:firstLine="480"/>
        <w:rPr>
          <w:rFonts w:eastAsia="仿宋_GB2312"/>
        </w:rPr>
      </w:pPr>
      <w:bookmarkStart w:id="93" w:name="_Toc255304490"/>
      <w:bookmarkStart w:id="94" w:name="_Toc237169826"/>
      <w:r>
        <w:rPr>
          <w:rFonts w:hint="eastAsia" w:eastAsia="仿宋_GB2312"/>
        </w:rPr>
        <w:t>预测时段内可能造成的水土流失量为191</w:t>
      </w:r>
      <w:r>
        <w:rPr>
          <w:rFonts w:eastAsia="仿宋_GB2312"/>
        </w:rPr>
        <w:t>t</w:t>
      </w:r>
      <w:r>
        <w:rPr>
          <w:rFonts w:hint="eastAsia" w:eastAsia="仿宋_GB2312"/>
        </w:rPr>
        <w:t>，新增土壤侵蚀量为46</w:t>
      </w:r>
      <w:r>
        <w:rPr>
          <w:rFonts w:eastAsia="仿宋_GB2312"/>
        </w:rPr>
        <w:t>t</w:t>
      </w:r>
      <w:r>
        <w:rPr>
          <w:rFonts w:hint="eastAsia" w:eastAsia="仿宋_GB2312"/>
        </w:rPr>
        <w:t>。</w:t>
      </w:r>
      <w:r>
        <w:rPr>
          <w:rFonts w:eastAsia="仿宋_GB2312"/>
          <w:color w:val="000000"/>
        </w:rPr>
        <w:t>水土流失重点时段是施工期，重点部位为</w:t>
      </w:r>
      <w:r>
        <w:rPr>
          <w:rFonts w:hint="eastAsia" w:eastAsia="仿宋_GB2312"/>
          <w:snapToGrid w:val="0"/>
          <w:color w:val="000000"/>
        </w:rPr>
        <w:t>管道工程区</w:t>
      </w:r>
      <w:r>
        <w:rPr>
          <w:rFonts w:eastAsia="仿宋_GB2312"/>
          <w:color w:val="000000"/>
        </w:rPr>
        <w:t>。</w:t>
      </w:r>
    </w:p>
    <w:p>
      <w:pPr>
        <w:tabs>
          <w:tab w:val="left" w:pos="840"/>
          <w:tab w:val="left" w:pos="1485"/>
        </w:tabs>
        <w:ind w:firstLine="480"/>
        <w:rPr>
          <w:rFonts w:eastAsia="仿宋_GB2312"/>
        </w:rPr>
      </w:pPr>
      <w:r>
        <w:rPr>
          <w:rFonts w:eastAsia="仿宋_GB2312"/>
        </w:rPr>
        <w:t>各地面设施建设区场地平整、</w:t>
      </w:r>
      <w:r>
        <w:rPr>
          <w:rFonts w:hint="eastAsia" w:eastAsia="仿宋_GB2312"/>
        </w:rPr>
        <w:t>基础</w:t>
      </w:r>
      <w:r>
        <w:rPr>
          <w:rFonts w:eastAsia="仿宋_GB2312"/>
        </w:rPr>
        <w:t>开挖和临时堆土等，将加剧项目区水土流失，对项目区生态环境造成不良的影响。根据项目区地形地貌和施工建设特点，本项目建设不易引发泥石流、地面塌陷、大型滑坡等严重生态影响。项目建设引起的水土流失可能造成以下几个方面的危害：</w:t>
      </w:r>
    </w:p>
    <w:p>
      <w:pPr>
        <w:tabs>
          <w:tab w:val="left" w:pos="840"/>
          <w:tab w:val="left" w:pos="1485"/>
        </w:tabs>
        <w:ind w:firstLine="480"/>
        <w:rPr>
          <w:rFonts w:eastAsia="仿宋_GB2312"/>
        </w:rPr>
      </w:pPr>
      <w:r>
        <w:rPr>
          <w:rFonts w:eastAsia="仿宋_GB2312"/>
        </w:rPr>
        <w:t>（1）损毁土地和植被、加剧水土流失发展</w:t>
      </w:r>
      <w:r>
        <w:rPr>
          <w:rFonts w:hint="eastAsia" w:eastAsia="仿宋_GB2312"/>
        </w:rPr>
        <w:t>；</w:t>
      </w:r>
    </w:p>
    <w:p>
      <w:pPr>
        <w:tabs>
          <w:tab w:val="left" w:pos="840"/>
          <w:tab w:val="left" w:pos="1485"/>
        </w:tabs>
        <w:ind w:firstLine="480"/>
        <w:rPr>
          <w:rFonts w:eastAsia="仿宋_GB2312"/>
        </w:rPr>
      </w:pPr>
      <w:r>
        <w:rPr>
          <w:rFonts w:eastAsia="仿宋_GB2312"/>
        </w:rPr>
        <w:t>（2）降低土地生产力</w:t>
      </w:r>
      <w:r>
        <w:rPr>
          <w:rFonts w:hint="eastAsia" w:eastAsia="仿宋_GB2312"/>
        </w:rPr>
        <w:t>；</w:t>
      </w:r>
    </w:p>
    <w:bookmarkEnd w:id="93"/>
    <w:bookmarkEnd w:id="94"/>
    <w:p>
      <w:pPr>
        <w:pStyle w:val="3"/>
        <w:widowControl/>
        <w:numPr>
          <w:ilvl w:val="1"/>
          <w:numId w:val="1"/>
        </w:numPr>
        <w:tabs>
          <w:tab w:val="clear" w:pos="1002"/>
        </w:tabs>
        <w:topLinePunct w:val="0"/>
        <w:adjustRightInd/>
        <w:snapToGrid/>
        <w:ind w:left="0" w:firstLine="0"/>
        <w:jc w:val="both"/>
        <w:rPr>
          <w:rFonts w:eastAsia="仿宋_GB2312"/>
        </w:rPr>
      </w:pPr>
      <w:bookmarkStart w:id="95" w:name="_Toc394051116"/>
      <w:bookmarkStart w:id="96" w:name="_Toc50221493"/>
      <w:bookmarkStart w:id="97" w:name="_Toc7801450"/>
      <w:bookmarkStart w:id="98" w:name="_Toc7801383"/>
      <w:bookmarkStart w:id="99" w:name="_Toc4951112"/>
      <w:bookmarkStart w:id="100" w:name="_Toc7801543"/>
      <w:bookmarkStart w:id="101" w:name="_Toc255304491"/>
      <w:r>
        <w:rPr>
          <w:rFonts w:eastAsia="仿宋_GB2312"/>
        </w:rPr>
        <w:t>水土</w:t>
      </w:r>
      <w:bookmarkEnd w:id="95"/>
      <w:r>
        <w:rPr>
          <w:rFonts w:eastAsia="仿宋_GB2312"/>
        </w:rPr>
        <w:t>保持措施布设成果</w:t>
      </w:r>
      <w:bookmarkEnd w:id="96"/>
      <w:bookmarkEnd w:id="97"/>
      <w:bookmarkEnd w:id="98"/>
      <w:bookmarkEnd w:id="99"/>
      <w:bookmarkEnd w:id="100"/>
    </w:p>
    <w:bookmarkEnd w:id="101"/>
    <w:p>
      <w:pPr>
        <w:tabs>
          <w:tab w:val="left" w:pos="840"/>
          <w:tab w:val="left" w:pos="1485"/>
        </w:tabs>
        <w:ind w:firstLine="480"/>
        <w:rPr>
          <w:rFonts w:eastAsia="仿宋_GB2312"/>
        </w:rPr>
      </w:pPr>
      <w:bookmarkStart w:id="102" w:name="_Toc237169827"/>
      <w:bookmarkStart w:id="103" w:name="_Toc189300627"/>
      <w:bookmarkStart w:id="104" w:name="_Toc191287323"/>
      <w:bookmarkStart w:id="105" w:name="_Toc255304493"/>
      <w:bookmarkStart w:id="106" w:name="_Toc182948426"/>
      <w:r>
        <w:rPr>
          <w:rFonts w:hint="eastAsia" w:eastAsia="仿宋_GB2312"/>
        </w:rPr>
        <w:t>本项目水土流失防治区划分为管道工程区、附属构筑物区、施工生产生活区等防治分区。</w:t>
      </w:r>
    </w:p>
    <w:p>
      <w:pPr>
        <w:tabs>
          <w:tab w:val="left" w:pos="840"/>
          <w:tab w:val="left" w:pos="1485"/>
        </w:tabs>
        <w:ind w:firstLine="480"/>
        <w:rPr>
          <w:rFonts w:eastAsia="仿宋_GB2312"/>
        </w:rPr>
      </w:pPr>
      <w:r>
        <w:rPr>
          <w:rFonts w:eastAsia="仿宋_GB2312"/>
        </w:rPr>
        <w:t>为了防治工程建设所产生的水土流失，减少对周边地区的不利影响，本方案在水土流失防治分区基础上对工程建设扰动土地区采取工程和临时措施，与主体工程中具有水土保持功能的措施共同构建综合防治体系。</w:t>
      </w:r>
    </w:p>
    <w:p>
      <w:pPr>
        <w:tabs>
          <w:tab w:val="left" w:pos="840"/>
          <w:tab w:val="left" w:pos="1485"/>
        </w:tabs>
        <w:ind w:firstLine="480"/>
        <w:rPr>
          <w:rFonts w:eastAsia="仿宋_GB2312"/>
          <w:b/>
        </w:rPr>
      </w:pPr>
      <w:r>
        <w:rPr>
          <w:rFonts w:hint="eastAsia" w:eastAsia="仿宋_GB2312"/>
          <w:b/>
        </w:rPr>
        <w:t>一、</w:t>
      </w:r>
      <w:r>
        <w:rPr>
          <w:rFonts w:eastAsia="仿宋_GB2312"/>
          <w:b/>
        </w:rPr>
        <w:t>各防治分区水土流失防治措施</w:t>
      </w:r>
      <w:r>
        <w:rPr>
          <w:rFonts w:hint="eastAsia" w:eastAsia="仿宋_GB2312"/>
          <w:b/>
        </w:rPr>
        <w:t>工程量</w:t>
      </w:r>
      <w:r>
        <w:rPr>
          <w:rFonts w:eastAsia="仿宋_GB2312"/>
          <w:b/>
        </w:rPr>
        <w:t>如下：</w:t>
      </w:r>
    </w:p>
    <w:p>
      <w:pPr>
        <w:tabs>
          <w:tab w:val="left" w:pos="840"/>
          <w:tab w:val="left" w:pos="1485"/>
        </w:tabs>
        <w:ind w:firstLine="480"/>
        <w:rPr>
          <w:rFonts w:eastAsia="仿宋_GB2312"/>
        </w:rPr>
      </w:pPr>
      <w:r>
        <w:rPr>
          <w:rFonts w:hint="eastAsia" w:eastAsia="仿宋_GB2312"/>
        </w:rPr>
        <w:t>1、管道工程区</w:t>
      </w:r>
    </w:p>
    <w:p>
      <w:pPr>
        <w:ind w:firstLine="480"/>
        <w:rPr>
          <w:rFonts w:eastAsia="仿宋_GB2312"/>
        </w:rPr>
      </w:pPr>
      <w:r>
        <w:rPr>
          <w:rFonts w:eastAsia="仿宋_GB2312"/>
        </w:rPr>
        <w:t>主体设计</w:t>
      </w:r>
      <w:r>
        <w:rPr>
          <w:rFonts w:hint="eastAsia" w:eastAsia="仿宋_GB2312"/>
        </w:rPr>
        <w:t>施工</w:t>
      </w:r>
      <w:r>
        <w:rPr>
          <w:rFonts w:eastAsia="仿宋_GB2312"/>
        </w:rPr>
        <w:t>结束之后对施工场地进行</w:t>
      </w:r>
      <w:r>
        <w:rPr>
          <w:rFonts w:hint="eastAsia" w:eastAsia="仿宋_GB2312"/>
        </w:rPr>
        <w:t>土地</w:t>
      </w:r>
      <w:r>
        <w:rPr>
          <w:rFonts w:eastAsia="仿宋_GB2312"/>
        </w:rPr>
        <w:t>平整。</w:t>
      </w:r>
      <w:r>
        <w:rPr>
          <w:rFonts w:hint="eastAsia" w:eastAsia="仿宋_GB2312"/>
        </w:rPr>
        <w:t>方案补充施工期间</w:t>
      </w:r>
      <w:r>
        <w:rPr>
          <w:rFonts w:eastAsia="仿宋_GB2312"/>
        </w:rPr>
        <w:t>在施工</w:t>
      </w:r>
      <w:r>
        <w:rPr>
          <w:rFonts w:hint="eastAsia" w:eastAsia="仿宋_GB2312"/>
        </w:rPr>
        <w:t>作业带两侧</w:t>
      </w:r>
      <w:r>
        <w:rPr>
          <w:rFonts w:eastAsia="仿宋_GB2312"/>
        </w:rPr>
        <w:t>设置</w:t>
      </w:r>
      <w:r>
        <w:rPr>
          <w:rFonts w:hint="eastAsia" w:eastAsia="仿宋_GB2312"/>
        </w:rPr>
        <w:t>彩条旗限界措施；对基础开挖土方临时堆放在管沟一侧并实施</w:t>
      </w:r>
      <w:r>
        <w:rPr>
          <w:rFonts w:eastAsia="仿宋_GB2312"/>
        </w:rPr>
        <w:t>防尘网苫盖措施</w:t>
      </w:r>
      <w:r>
        <w:rPr>
          <w:rFonts w:hint="eastAsia" w:eastAsia="仿宋_GB2312"/>
        </w:rPr>
        <w:t>；</w:t>
      </w:r>
      <w:r>
        <w:rPr>
          <w:rFonts w:eastAsia="仿宋_GB2312"/>
        </w:rPr>
        <w:t>工程建设过程中</w:t>
      </w:r>
      <w:r>
        <w:rPr>
          <w:rFonts w:hint="eastAsia" w:eastAsia="仿宋_GB2312"/>
        </w:rPr>
        <w:t>定期对场地实施</w:t>
      </w:r>
      <w:r>
        <w:rPr>
          <w:rFonts w:eastAsia="仿宋_GB2312"/>
        </w:rPr>
        <w:t>洒水措施</w:t>
      </w:r>
      <w:r>
        <w:rPr>
          <w:rFonts w:hint="eastAsia" w:eastAsia="仿宋_GB2312"/>
        </w:rPr>
        <w:t>。</w:t>
      </w:r>
    </w:p>
    <w:p>
      <w:pPr>
        <w:tabs>
          <w:tab w:val="left" w:pos="840"/>
          <w:tab w:val="left" w:pos="1485"/>
        </w:tabs>
        <w:ind w:firstLine="480"/>
        <w:rPr>
          <w:rFonts w:eastAsia="仿宋_GB2312"/>
        </w:rPr>
      </w:pPr>
      <w:r>
        <w:rPr>
          <w:rFonts w:eastAsia="仿宋_GB2312"/>
        </w:rPr>
        <w:t>工程措施：土地平整</w:t>
      </w:r>
      <w:r>
        <w:rPr>
          <w:rFonts w:hint="eastAsia" w:eastAsia="仿宋_GB2312"/>
        </w:rPr>
        <w:t>1.81h</w:t>
      </w:r>
      <w:r>
        <w:rPr>
          <w:rFonts w:eastAsia="仿宋_GB2312"/>
        </w:rPr>
        <w:t>m²</w:t>
      </w:r>
      <w:r>
        <w:rPr>
          <w:rFonts w:eastAsia="仿宋_GB2312"/>
          <w:snapToGrid w:val="0"/>
        </w:rPr>
        <w:t xml:space="preserve"> (主体已列)</w:t>
      </w:r>
      <w:r>
        <w:rPr>
          <w:rFonts w:eastAsia="仿宋_GB2312"/>
        </w:rPr>
        <w:t>。</w:t>
      </w:r>
    </w:p>
    <w:p>
      <w:pPr>
        <w:ind w:firstLine="480"/>
        <w:rPr>
          <w:rFonts w:eastAsia="仿宋_GB2312"/>
        </w:rPr>
      </w:pPr>
      <w:r>
        <w:rPr>
          <w:rFonts w:eastAsia="仿宋_GB2312"/>
        </w:rPr>
        <w:t>临时措施：防尘网苫盖</w:t>
      </w:r>
      <w:r>
        <w:rPr>
          <w:rFonts w:hint="eastAsia" w:eastAsia="仿宋_GB2312"/>
        </w:rPr>
        <w:t>4629</w:t>
      </w:r>
      <w:r>
        <w:rPr>
          <w:rFonts w:eastAsia="仿宋_GB2312"/>
        </w:rPr>
        <w:t>m²</w:t>
      </w:r>
      <w:r>
        <w:rPr>
          <w:rFonts w:eastAsia="仿宋_GB2312"/>
          <w:snapToGrid w:val="0"/>
        </w:rPr>
        <w:t>(</w:t>
      </w:r>
      <w:r>
        <w:rPr>
          <w:rFonts w:hint="eastAsia" w:eastAsia="仿宋_GB2312"/>
          <w:snapToGrid w:val="0"/>
        </w:rPr>
        <w:t>方案新增</w:t>
      </w:r>
      <w:r>
        <w:rPr>
          <w:rFonts w:eastAsia="仿宋_GB2312"/>
          <w:snapToGrid w:val="0"/>
        </w:rPr>
        <w:t>)</w:t>
      </w:r>
      <w:r>
        <w:rPr>
          <w:rFonts w:hint="eastAsia" w:eastAsia="仿宋_GB2312"/>
          <w:snapToGrid w:val="0"/>
        </w:rPr>
        <w:t>，</w:t>
      </w:r>
      <w:r>
        <w:rPr>
          <w:rFonts w:hint="eastAsia" w:eastAsia="仿宋_GB2312"/>
        </w:rPr>
        <w:t>彩条旗限界9258m</w:t>
      </w:r>
      <w:r>
        <w:rPr>
          <w:rFonts w:eastAsia="仿宋_GB2312"/>
          <w:snapToGrid w:val="0"/>
        </w:rPr>
        <w:t>(</w:t>
      </w:r>
      <w:r>
        <w:rPr>
          <w:rFonts w:hint="eastAsia" w:eastAsia="仿宋_GB2312"/>
          <w:snapToGrid w:val="0"/>
        </w:rPr>
        <w:t>方案新增</w:t>
      </w:r>
      <w:r>
        <w:rPr>
          <w:rFonts w:eastAsia="仿宋_GB2312"/>
          <w:snapToGrid w:val="0"/>
        </w:rPr>
        <w:t>)</w:t>
      </w:r>
      <w:r>
        <w:rPr>
          <w:rFonts w:hint="eastAsia" w:eastAsia="仿宋_GB2312"/>
          <w:snapToGrid w:val="0"/>
        </w:rPr>
        <w:t>，</w:t>
      </w:r>
      <w:r>
        <w:rPr>
          <w:rFonts w:hint="eastAsia" w:eastAsia="仿宋_GB2312"/>
        </w:rPr>
        <w:t>洒水46m</w:t>
      </w:r>
      <w:r>
        <w:rPr>
          <w:rFonts w:hint="eastAsia" w:eastAsia="仿宋_GB2312"/>
          <w:vertAlign w:val="superscript"/>
        </w:rPr>
        <w:t>3</w:t>
      </w:r>
      <w:r>
        <w:rPr>
          <w:rFonts w:eastAsia="仿宋_GB2312"/>
          <w:snapToGrid w:val="0"/>
        </w:rPr>
        <w:t>(</w:t>
      </w:r>
      <w:r>
        <w:rPr>
          <w:rFonts w:hint="eastAsia" w:eastAsia="仿宋_GB2312"/>
          <w:snapToGrid w:val="0"/>
        </w:rPr>
        <w:t>方案新增</w:t>
      </w:r>
      <w:r>
        <w:rPr>
          <w:rFonts w:eastAsia="仿宋_GB2312"/>
          <w:snapToGrid w:val="0"/>
        </w:rPr>
        <w:t>)</w:t>
      </w:r>
      <w:r>
        <w:rPr>
          <w:rFonts w:hint="eastAsia" w:eastAsia="仿宋_GB2312"/>
          <w:snapToGrid w:val="0"/>
        </w:rPr>
        <w:t>，</w:t>
      </w:r>
      <w:r>
        <w:rPr>
          <w:rFonts w:eastAsia="仿宋_GB2312"/>
          <w:snapToGrid w:val="0"/>
          <w:color w:val="FF0000"/>
        </w:rPr>
        <w:t>宣传牌</w:t>
      </w:r>
      <w:r>
        <w:rPr>
          <w:rFonts w:hint="eastAsia" w:eastAsia="仿宋_GB2312"/>
          <w:snapToGrid w:val="0"/>
          <w:color w:val="FF0000"/>
        </w:rPr>
        <w:t>1块（方案新增）</w:t>
      </w:r>
      <w:r>
        <w:rPr>
          <w:rFonts w:eastAsia="仿宋_GB2312"/>
        </w:rPr>
        <w:t>。</w:t>
      </w:r>
    </w:p>
    <w:p>
      <w:pPr>
        <w:tabs>
          <w:tab w:val="left" w:pos="840"/>
          <w:tab w:val="left" w:pos="1485"/>
        </w:tabs>
        <w:ind w:firstLine="480"/>
        <w:rPr>
          <w:rFonts w:eastAsia="仿宋_GB2312"/>
        </w:rPr>
      </w:pPr>
      <w:r>
        <w:rPr>
          <w:rFonts w:hint="eastAsia" w:eastAsia="仿宋_GB2312"/>
        </w:rPr>
        <w:t>2、附属构筑物区</w:t>
      </w:r>
    </w:p>
    <w:p>
      <w:pPr>
        <w:ind w:firstLine="480"/>
        <w:rPr>
          <w:rFonts w:eastAsia="仿宋_GB2312"/>
        </w:rPr>
      </w:pPr>
      <w:r>
        <w:rPr>
          <w:rFonts w:eastAsia="仿宋_GB2312"/>
        </w:rPr>
        <w:t>主体设计</w:t>
      </w:r>
      <w:r>
        <w:rPr>
          <w:rFonts w:hint="eastAsia" w:eastAsia="仿宋_GB2312"/>
        </w:rPr>
        <w:t>施工</w:t>
      </w:r>
      <w:r>
        <w:rPr>
          <w:rFonts w:eastAsia="仿宋_GB2312"/>
        </w:rPr>
        <w:t>结束之后对施工场地进行</w:t>
      </w:r>
      <w:r>
        <w:rPr>
          <w:rFonts w:hint="eastAsia" w:eastAsia="仿宋_GB2312"/>
        </w:rPr>
        <w:t>土地</w:t>
      </w:r>
      <w:r>
        <w:rPr>
          <w:rFonts w:eastAsia="仿宋_GB2312"/>
        </w:rPr>
        <w:t>平整。</w:t>
      </w:r>
      <w:r>
        <w:rPr>
          <w:rFonts w:hint="eastAsia" w:eastAsia="仿宋_GB2312"/>
        </w:rPr>
        <w:t>方案补充施工期间对基础开挖土方临时堆放在基础四周并实施</w:t>
      </w:r>
      <w:r>
        <w:rPr>
          <w:rFonts w:eastAsia="仿宋_GB2312"/>
        </w:rPr>
        <w:t>防尘网苫盖措施</w:t>
      </w:r>
      <w:r>
        <w:rPr>
          <w:rFonts w:hint="eastAsia" w:eastAsia="仿宋_GB2312"/>
        </w:rPr>
        <w:t>。</w:t>
      </w:r>
    </w:p>
    <w:p>
      <w:pPr>
        <w:tabs>
          <w:tab w:val="left" w:pos="840"/>
          <w:tab w:val="left" w:pos="1485"/>
        </w:tabs>
        <w:ind w:firstLine="480"/>
        <w:rPr>
          <w:rFonts w:eastAsia="仿宋_GB2312"/>
        </w:rPr>
      </w:pPr>
      <w:r>
        <w:rPr>
          <w:rFonts w:eastAsia="仿宋_GB2312"/>
        </w:rPr>
        <w:t>工程措施：土地平整</w:t>
      </w:r>
      <w:r>
        <w:rPr>
          <w:rFonts w:hint="eastAsia" w:eastAsia="仿宋_GB2312"/>
        </w:rPr>
        <w:t>0.14h</w:t>
      </w:r>
      <w:r>
        <w:rPr>
          <w:rFonts w:eastAsia="仿宋_GB2312"/>
        </w:rPr>
        <w:t>m²</w:t>
      </w:r>
      <w:r>
        <w:rPr>
          <w:rFonts w:eastAsia="仿宋_GB2312"/>
          <w:snapToGrid w:val="0"/>
        </w:rPr>
        <w:t xml:space="preserve"> (主体已列)</w:t>
      </w:r>
      <w:r>
        <w:rPr>
          <w:rFonts w:eastAsia="仿宋_GB2312"/>
        </w:rPr>
        <w:t>。</w:t>
      </w:r>
    </w:p>
    <w:p>
      <w:pPr>
        <w:tabs>
          <w:tab w:val="left" w:pos="840"/>
          <w:tab w:val="left" w:pos="1485"/>
        </w:tabs>
        <w:ind w:firstLine="480"/>
        <w:rPr>
          <w:rFonts w:eastAsia="仿宋_GB2312"/>
        </w:rPr>
      </w:pPr>
      <w:r>
        <w:rPr>
          <w:rFonts w:eastAsia="仿宋_GB2312"/>
        </w:rPr>
        <w:t>临时措施：防尘网苫盖</w:t>
      </w:r>
      <w:r>
        <w:rPr>
          <w:rFonts w:hint="eastAsia" w:eastAsia="仿宋_GB2312"/>
        </w:rPr>
        <w:t>406</w:t>
      </w:r>
      <w:r>
        <w:rPr>
          <w:rFonts w:eastAsia="仿宋_GB2312"/>
        </w:rPr>
        <w:t>m²</w:t>
      </w:r>
      <w:r>
        <w:rPr>
          <w:rFonts w:eastAsia="仿宋_GB2312"/>
          <w:snapToGrid w:val="0"/>
        </w:rPr>
        <w:t>(</w:t>
      </w:r>
      <w:r>
        <w:rPr>
          <w:rFonts w:hint="eastAsia" w:eastAsia="仿宋_GB2312"/>
          <w:snapToGrid w:val="0"/>
        </w:rPr>
        <w:t>方案新增</w:t>
      </w:r>
      <w:r>
        <w:rPr>
          <w:rFonts w:eastAsia="仿宋_GB2312"/>
          <w:snapToGrid w:val="0"/>
        </w:rPr>
        <w:t>)</w:t>
      </w:r>
      <w:r>
        <w:rPr>
          <w:rFonts w:eastAsia="仿宋_GB2312"/>
        </w:rPr>
        <w:t>。</w:t>
      </w:r>
    </w:p>
    <w:p>
      <w:pPr>
        <w:tabs>
          <w:tab w:val="left" w:pos="840"/>
          <w:tab w:val="left" w:pos="1485"/>
        </w:tabs>
        <w:ind w:firstLine="480"/>
        <w:rPr>
          <w:rFonts w:eastAsia="仿宋_GB2312"/>
          <w:b/>
        </w:rPr>
      </w:pPr>
      <w:r>
        <w:rPr>
          <w:rFonts w:hint="eastAsia" w:eastAsia="仿宋_GB2312"/>
          <w:b/>
        </w:rPr>
        <w:t>二、水土保持措施工程量统计如下：</w:t>
      </w:r>
    </w:p>
    <w:p>
      <w:pPr>
        <w:tabs>
          <w:tab w:val="left" w:pos="840"/>
          <w:tab w:val="left" w:pos="1485"/>
        </w:tabs>
        <w:ind w:firstLine="480"/>
        <w:rPr>
          <w:rFonts w:eastAsia="仿宋_GB2312"/>
        </w:rPr>
      </w:pPr>
      <w:r>
        <w:rPr>
          <w:rFonts w:hint="eastAsia" w:eastAsia="仿宋_GB2312"/>
        </w:rPr>
        <w:t>1、</w:t>
      </w:r>
      <w:r>
        <w:rPr>
          <w:rFonts w:eastAsia="仿宋_GB2312"/>
        </w:rPr>
        <w:t>工程措施：土地平整</w:t>
      </w:r>
      <w:r>
        <w:rPr>
          <w:rFonts w:hint="eastAsia" w:eastAsia="仿宋_GB2312"/>
        </w:rPr>
        <w:t>1.95h</w:t>
      </w:r>
      <w:r>
        <w:rPr>
          <w:rFonts w:eastAsia="仿宋_GB2312"/>
        </w:rPr>
        <w:t>m²</w:t>
      </w:r>
      <w:r>
        <w:rPr>
          <w:rFonts w:eastAsia="仿宋_GB2312"/>
          <w:snapToGrid w:val="0"/>
        </w:rPr>
        <w:t xml:space="preserve"> (主体已列)</w:t>
      </w:r>
      <w:r>
        <w:rPr>
          <w:rFonts w:eastAsia="仿宋_GB2312"/>
        </w:rPr>
        <w:t>。</w:t>
      </w:r>
    </w:p>
    <w:p>
      <w:pPr>
        <w:ind w:firstLine="480"/>
        <w:rPr>
          <w:rFonts w:eastAsia="仿宋_GB2312"/>
        </w:rPr>
      </w:pPr>
      <w:r>
        <w:rPr>
          <w:rFonts w:hint="eastAsia" w:eastAsia="仿宋_GB2312"/>
        </w:rPr>
        <w:t>2、</w:t>
      </w:r>
      <w:r>
        <w:rPr>
          <w:rFonts w:eastAsia="仿宋_GB2312"/>
        </w:rPr>
        <w:t>临时措施：防尘网苫盖</w:t>
      </w:r>
      <w:r>
        <w:rPr>
          <w:rFonts w:hint="eastAsia" w:eastAsia="仿宋_GB2312"/>
        </w:rPr>
        <w:t>5035</w:t>
      </w:r>
      <w:r>
        <w:rPr>
          <w:rFonts w:eastAsia="仿宋_GB2312"/>
        </w:rPr>
        <w:t>m²</w:t>
      </w:r>
      <w:r>
        <w:rPr>
          <w:rFonts w:eastAsia="仿宋_GB2312"/>
          <w:snapToGrid w:val="0"/>
        </w:rPr>
        <w:t>(</w:t>
      </w:r>
      <w:r>
        <w:rPr>
          <w:rFonts w:hint="eastAsia" w:eastAsia="仿宋_GB2312"/>
          <w:snapToGrid w:val="0"/>
        </w:rPr>
        <w:t>方案新增</w:t>
      </w:r>
      <w:r>
        <w:rPr>
          <w:rFonts w:eastAsia="仿宋_GB2312"/>
          <w:snapToGrid w:val="0"/>
        </w:rPr>
        <w:t>)</w:t>
      </w:r>
      <w:r>
        <w:rPr>
          <w:rFonts w:hint="eastAsia" w:eastAsia="仿宋_GB2312"/>
          <w:snapToGrid w:val="0"/>
        </w:rPr>
        <w:t>，</w:t>
      </w:r>
      <w:r>
        <w:rPr>
          <w:rFonts w:hint="eastAsia" w:eastAsia="仿宋_GB2312"/>
        </w:rPr>
        <w:t>彩条旗限界9258m</w:t>
      </w:r>
      <w:r>
        <w:rPr>
          <w:rFonts w:eastAsia="仿宋_GB2312"/>
          <w:snapToGrid w:val="0"/>
        </w:rPr>
        <w:t>(</w:t>
      </w:r>
      <w:r>
        <w:rPr>
          <w:rFonts w:hint="eastAsia" w:eastAsia="仿宋_GB2312"/>
          <w:snapToGrid w:val="0"/>
        </w:rPr>
        <w:t>方案新增</w:t>
      </w:r>
      <w:r>
        <w:rPr>
          <w:rFonts w:eastAsia="仿宋_GB2312"/>
          <w:snapToGrid w:val="0"/>
        </w:rPr>
        <w:t>)</w:t>
      </w:r>
      <w:r>
        <w:rPr>
          <w:rFonts w:hint="eastAsia" w:eastAsia="仿宋_GB2312"/>
          <w:snapToGrid w:val="0"/>
        </w:rPr>
        <w:t>，</w:t>
      </w:r>
      <w:r>
        <w:rPr>
          <w:rFonts w:hint="eastAsia" w:eastAsia="仿宋_GB2312"/>
        </w:rPr>
        <w:t>洒水46m</w:t>
      </w:r>
      <w:r>
        <w:rPr>
          <w:rFonts w:hint="eastAsia" w:eastAsia="仿宋_GB2312"/>
          <w:vertAlign w:val="superscript"/>
        </w:rPr>
        <w:t>3</w:t>
      </w:r>
      <w:r>
        <w:rPr>
          <w:rFonts w:eastAsia="仿宋_GB2312"/>
          <w:snapToGrid w:val="0"/>
        </w:rPr>
        <w:t>(</w:t>
      </w:r>
      <w:r>
        <w:rPr>
          <w:rFonts w:hint="eastAsia" w:eastAsia="仿宋_GB2312"/>
          <w:snapToGrid w:val="0"/>
        </w:rPr>
        <w:t>方案新增</w:t>
      </w:r>
      <w:r>
        <w:rPr>
          <w:rFonts w:eastAsia="仿宋_GB2312"/>
          <w:snapToGrid w:val="0"/>
        </w:rPr>
        <w:t>)</w:t>
      </w:r>
      <w:r>
        <w:rPr>
          <w:rFonts w:hint="eastAsia" w:eastAsia="仿宋_GB2312"/>
          <w:snapToGrid w:val="0"/>
        </w:rPr>
        <w:t>，</w:t>
      </w:r>
      <w:r>
        <w:rPr>
          <w:rFonts w:eastAsia="仿宋_GB2312"/>
          <w:snapToGrid w:val="0"/>
          <w:color w:val="FF0000"/>
        </w:rPr>
        <w:t>宣传牌</w:t>
      </w:r>
      <w:r>
        <w:rPr>
          <w:rFonts w:hint="eastAsia" w:eastAsia="仿宋_GB2312"/>
          <w:snapToGrid w:val="0"/>
          <w:color w:val="FF0000"/>
        </w:rPr>
        <w:t>1块（方案新增）</w:t>
      </w:r>
      <w:r>
        <w:rPr>
          <w:rFonts w:eastAsia="仿宋_GB2312"/>
        </w:rPr>
        <w:t>。</w:t>
      </w:r>
    </w:p>
    <w:p>
      <w:pPr>
        <w:pStyle w:val="3"/>
        <w:widowControl/>
        <w:numPr>
          <w:ilvl w:val="1"/>
          <w:numId w:val="1"/>
        </w:numPr>
        <w:tabs>
          <w:tab w:val="clear" w:pos="1002"/>
        </w:tabs>
        <w:topLinePunct w:val="0"/>
        <w:adjustRightInd/>
        <w:snapToGrid/>
        <w:ind w:left="0" w:firstLine="0"/>
        <w:jc w:val="both"/>
        <w:rPr>
          <w:rFonts w:eastAsia="仿宋_GB2312"/>
        </w:rPr>
      </w:pPr>
      <w:bookmarkStart w:id="107" w:name="_Toc458611444"/>
      <w:bookmarkStart w:id="108" w:name="_Toc7801451"/>
      <w:bookmarkStart w:id="109" w:name="_Toc50221494"/>
      <w:bookmarkStart w:id="110" w:name="_Toc7801544"/>
      <w:bookmarkStart w:id="111" w:name="_Toc7801384"/>
      <w:r>
        <w:rPr>
          <w:rFonts w:eastAsia="仿宋_GB2312"/>
        </w:rPr>
        <w:t>水土保持监测</w:t>
      </w:r>
      <w:bookmarkEnd w:id="107"/>
      <w:r>
        <w:rPr>
          <w:rFonts w:eastAsia="仿宋_GB2312"/>
        </w:rPr>
        <w:t>方案</w:t>
      </w:r>
      <w:bookmarkEnd w:id="108"/>
      <w:bookmarkEnd w:id="109"/>
      <w:bookmarkEnd w:id="110"/>
      <w:bookmarkEnd w:id="111"/>
    </w:p>
    <w:p>
      <w:pPr>
        <w:tabs>
          <w:tab w:val="left" w:pos="840"/>
          <w:tab w:val="left" w:pos="1485"/>
        </w:tabs>
        <w:ind w:firstLine="480"/>
        <w:rPr>
          <w:rFonts w:eastAsia="仿宋_GB2312"/>
        </w:rPr>
      </w:pPr>
      <w:r>
        <w:rPr>
          <w:rFonts w:eastAsia="仿宋_GB2312"/>
          <w:color w:val="000000"/>
          <w:kern w:val="10"/>
        </w:rPr>
        <w:t>根据《新疆维吾尔自治区实施&lt;中华人民共和国水土保持法&gt;办法》和《新疆维吾尔自治区生产建设项目水土保持方案管理办法》，</w:t>
      </w:r>
      <w:r>
        <w:rPr>
          <w:rFonts w:eastAsia="仿宋_GB2312"/>
          <w:color w:val="000000"/>
        </w:rPr>
        <w:t>本项目</w:t>
      </w:r>
      <w:r>
        <w:rPr>
          <w:rFonts w:eastAsia="仿宋_GB2312"/>
          <w:color w:val="000000"/>
          <w:kern w:val="10"/>
        </w:rPr>
        <w:t>水土保持方案报告表对水土保持监测不做具体要求</w:t>
      </w:r>
      <w:r>
        <w:rPr>
          <w:rFonts w:eastAsia="仿宋_GB2312"/>
          <w:color w:val="000000"/>
        </w:rPr>
        <w:t>。</w:t>
      </w:r>
    </w:p>
    <w:bookmarkEnd w:id="81"/>
    <w:bookmarkEnd w:id="82"/>
    <w:bookmarkEnd w:id="83"/>
    <w:bookmarkEnd w:id="84"/>
    <w:bookmarkEnd w:id="85"/>
    <w:bookmarkEnd w:id="86"/>
    <w:bookmarkEnd w:id="102"/>
    <w:bookmarkEnd w:id="103"/>
    <w:bookmarkEnd w:id="104"/>
    <w:bookmarkEnd w:id="105"/>
    <w:bookmarkEnd w:id="106"/>
    <w:p>
      <w:pPr>
        <w:pStyle w:val="3"/>
        <w:widowControl/>
        <w:numPr>
          <w:ilvl w:val="1"/>
          <w:numId w:val="1"/>
        </w:numPr>
        <w:tabs>
          <w:tab w:val="clear" w:pos="1002"/>
        </w:tabs>
        <w:topLinePunct w:val="0"/>
        <w:adjustRightInd/>
        <w:snapToGrid/>
        <w:ind w:left="0" w:firstLine="0"/>
        <w:jc w:val="both"/>
        <w:rPr>
          <w:rFonts w:eastAsia="仿宋_GB2312"/>
        </w:rPr>
      </w:pPr>
      <w:bookmarkStart w:id="112" w:name="_Toc191287324"/>
      <w:bookmarkStart w:id="113" w:name="_Toc237169828"/>
      <w:bookmarkStart w:id="114" w:name="_Toc255304494"/>
      <w:bookmarkStart w:id="115" w:name="_Toc189300628"/>
      <w:bookmarkStart w:id="116" w:name="_Toc182948427"/>
      <w:bookmarkStart w:id="117" w:name="_Toc7801385"/>
      <w:bookmarkStart w:id="118" w:name="_Toc7801545"/>
      <w:bookmarkStart w:id="119" w:name="_Toc7801452"/>
      <w:bookmarkStart w:id="120" w:name="_Toc50221495"/>
      <w:r>
        <w:rPr>
          <w:rFonts w:eastAsia="仿宋_GB2312"/>
        </w:rPr>
        <w:t>水土保持投资及效益分析</w:t>
      </w:r>
      <w:bookmarkEnd w:id="112"/>
      <w:bookmarkEnd w:id="113"/>
      <w:bookmarkEnd w:id="114"/>
      <w:bookmarkEnd w:id="115"/>
      <w:bookmarkEnd w:id="116"/>
      <w:r>
        <w:rPr>
          <w:rFonts w:eastAsia="仿宋_GB2312"/>
        </w:rPr>
        <w:t>成果</w:t>
      </w:r>
      <w:bookmarkEnd w:id="117"/>
      <w:bookmarkEnd w:id="118"/>
      <w:bookmarkEnd w:id="119"/>
      <w:bookmarkEnd w:id="120"/>
    </w:p>
    <w:p>
      <w:pPr>
        <w:tabs>
          <w:tab w:val="left" w:pos="840"/>
          <w:tab w:val="left" w:pos="1485"/>
        </w:tabs>
        <w:ind w:firstLine="480"/>
        <w:rPr>
          <w:rFonts w:eastAsia="仿宋_GB2312"/>
          <w:color w:val="FF0000"/>
        </w:rPr>
      </w:pPr>
      <w:bookmarkStart w:id="121" w:name="_Toc182948428"/>
      <w:bookmarkStart w:id="122" w:name="_Toc189300629"/>
      <w:bookmarkStart w:id="123" w:name="_Toc255304495"/>
      <w:bookmarkStart w:id="124" w:name="_Toc191287325"/>
      <w:bookmarkStart w:id="125" w:name="_Toc237169829"/>
      <w:r>
        <w:rPr>
          <w:rFonts w:eastAsia="仿宋_GB2312"/>
          <w:color w:val="FF0000"/>
        </w:rPr>
        <w:t>本工程水土保持总投资</w:t>
      </w:r>
      <w:r>
        <w:rPr>
          <w:rFonts w:hint="eastAsia" w:eastAsia="仿宋_GB2312"/>
          <w:color w:val="FF0000"/>
        </w:rPr>
        <w:t>20.01</w:t>
      </w:r>
      <w:r>
        <w:rPr>
          <w:rFonts w:eastAsia="仿宋_GB2312"/>
          <w:color w:val="FF0000"/>
        </w:rPr>
        <w:t>万元，其中主体已列</w:t>
      </w:r>
      <w:r>
        <w:rPr>
          <w:rFonts w:hint="eastAsia" w:eastAsia="仿宋_GB2312"/>
          <w:color w:val="FF0000"/>
        </w:rPr>
        <w:t>2.34</w:t>
      </w:r>
      <w:r>
        <w:rPr>
          <w:rFonts w:eastAsia="仿宋_GB2312"/>
          <w:color w:val="FF0000"/>
        </w:rPr>
        <w:t>万元，本方案新增</w:t>
      </w:r>
      <w:r>
        <w:rPr>
          <w:rFonts w:hint="eastAsia" w:eastAsia="仿宋_GB2312"/>
          <w:color w:val="FF0000"/>
        </w:rPr>
        <w:t>17.66</w:t>
      </w:r>
      <w:r>
        <w:rPr>
          <w:rFonts w:eastAsia="仿宋_GB2312"/>
          <w:color w:val="FF0000"/>
        </w:rPr>
        <w:t>万元。</w:t>
      </w:r>
      <w:r>
        <w:rPr>
          <w:rFonts w:hint="eastAsia" w:eastAsia="仿宋_GB2312"/>
          <w:color w:val="FF0000"/>
        </w:rPr>
        <w:t>其</w:t>
      </w:r>
      <w:r>
        <w:rPr>
          <w:rFonts w:eastAsia="仿宋_GB2312"/>
          <w:color w:val="FF0000"/>
        </w:rPr>
        <w:t>中工程措施投资</w:t>
      </w:r>
      <w:r>
        <w:rPr>
          <w:rFonts w:hint="eastAsia" w:eastAsia="仿宋_GB2312"/>
          <w:color w:val="FF0000"/>
        </w:rPr>
        <w:t>2.34</w:t>
      </w:r>
      <w:r>
        <w:rPr>
          <w:rFonts w:eastAsia="仿宋_GB2312"/>
          <w:color w:val="FF0000"/>
        </w:rPr>
        <w:t>万元</w:t>
      </w:r>
      <w:r>
        <w:rPr>
          <w:rFonts w:hint="eastAsia" w:eastAsia="仿宋_GB2312"/>
          <w:color w:val="FF0000"/>
        </w:rPr>
        <w:t>，</w:t>
      </w:r>
      <w:r>
        <w:rPr>
          <w:rFonts w:eastAsia="仿宋_GB2312"/>
          <w:color w:val="FF0000"/>
        </w:rPr>
        <w:t>临时措施投资</w:t>
      </w:r>
      <w:r>
        <w:rPr>
          <w:rFonts w:hint="eastAsia" w:eastAsia="仿宋_GB2312"/>
          <w:color w:val="FF0000"/>
        </w:rPr>
        <w:t>4.22</w:t>
      </w:r>
      <w:r>
        <w:rPr>
          <w:rFonts w:eastAsia="仿宋_GB2312"/>
          <w:color w:val="FF0000"/>
        </w:rPr>
        <w:t>万元，独立费用</w:t>
      </w:r>
      <w:r>
        <w:rPr>
          <w:rFonts w:hint="eastAsia" w:eastAsia="仿宋_GB2312"/>
          <w:color w:val="FF0000"/>
        </w:rPr>
        <w:t>11.63</w:t>
      </w:r>
      <w:r>
        <w:rPr>
          <w:rFonts w:eastAsia="仿宋_GB2312"/>
          <w:color w:val="FF0000"/>
        </w:rPr>
        <w:t>万元（其中建设管理费为</w:t>
      </w:r>
      <w:r>
        <w:rPr>
          <w:rFonts w:hint="eastAsia" w:eastAsia="仿宋_GB2312"/>
          <w:color w:val="FF0000"/>
        </w:rPr>
        <w:t>0.13</w:t>
      </w:r>
      <w:r>
        <w:rPr>
          <w:rFonts w:eastAsia="仿宋_GB2312"/>
          <w:color w:val="FF0000"/>
        </w:rPr>
        <w:t>万元，</w:t>
      </w:r>
      <w:r>
        <w:rPr>
          <w:rFonts w:hint="eastAsia" w:eastAsia="仿宋_GB2312"/>
          <w:color w:val="FF0000"/>
        </w:rPr>
        <w:t>水土保持监理</w:t>
      </w:r>
      <w:r>
        <w:rPr>
          <w:rFonts w:eastAsia="仿宋_GB2312"/>
          <w:color w:val="FF0000"/>
        </w:rPr>
        <w:t>费</w:t>
      </w:r>
      <w:r>
        <w:rPr>
          <w:rFonts w:hint="eastAsia" w:eastAsia="仿宋_GB2312"/>
          <w:color w:val="FF0000"/>
        </w:rPr>
        <w:t>0.50</w:t>
      </w:r>
      <w:r>
        <w:rPr>
          <w:rFonts w:eastAsia="仿宋_GB2312"/>
          <w:color w:val="FF0000"/>
        </w:rPr>
        <w:t>万元，科研勘测设计</w:t>
      </w:r>
      <w:r>
        <w:rPr>
          <w:rFonts w:hint="eastAsia" w:eastAsia="仿宋_GB2312"/>
          <w:color w:val="FF0000"/>
        </w:rPr>
        <w:t>6.00</w:t>
      </w:r>
      <w:r>
        <w:rPr>
          <w:rFonts w:eastAsia="仿宋_GB2312"/>
          <w:color w:val="FF0000"/>
        </w:rPr>
        <w:t>万元</w:t>
      </w:r>
      <w:r>
        <w:rPr>
          <w:rFonts w:hint="eastAsia" w:eastAsia="仿宋_GB2312"/>
          <w:color w:val="FF0000"/>
        </w:rPr>
        <w:t>，</w:t>
      </w:r>
      <w:r>
        <w:rPr>
          <w:rFonts w:eastAsia="仿宋_GB2312"/>
          <w:color w:val="FF0000"/>
        </w:rPr>
        <w:t>水土保持设施验收报告编制费</w:t>
      </w:r>
      <w:r>
        <w:rPr>
          <w:rFonts w:hint="eastAsia" w:eastAsia="仿宋_GB2312"/>
          <w:color w:val="FF0000"/>
        </w:rPr>
        <w:t>5.00</w:t>
      </w:r>
      <w:r>
        <w:rPr>
          <w:rFonts w:eastAsia="仿宋_GB2312"/>
          <w:color w:val="FF0000"/>
        </w:rPr>
        <w:t>万元），基本预备费为</w:t>
      </w:r>
      <w:r>
        <w:rPr>
          <w:rFonts w:hint="eastAsia" w:eastAsia="仿宋_GB2312"/>
          <w:color w:val="FF0000"/>
        </w:rPr>
        <w:t>0.95</w:t>
      </w:r>
      <w:r>
        <w:rPr>
          <w:rFonts w:eastAsia="仿宋_GB2312"/>
          <w:color w:val="FF0000"/>
        </w:rPr>
        <w:t>万元</w:t>
      </w:r>
      <w:r>
        <w:rPr>
          <w:rFonts w:hint="eastAsia" w:eastAsia="仿宋_GB2312"/>
          <w:color w:val="FF0000"/>
        </w:rPr>
        <w:t>，水土保持补偿费0.86万元</w:t>
      </w:r>
      <w:r>
        <w:rPr>
          <w:rFonts w:eastAsia="仿宋_GB2312"/>
          <w:color w:val="FF0000"/>
        </w:rPr>
        <w:t>。</w:t>
      </w:r>
    </w:p>
    <w:p>
      <w:pPr>
        <w:tabs>
          <w:tab w:val="left" w:pos="840"/>
          <w:tab w:val="left" w:pos="1485"/>
        </w:tabs>
        <w:ind w:firstLine="480"/>
        <w:rPr>
          <w:rFonts w:eastAsia="仿宋_GB2312"/>
        </w:rPr>
      </w:pPr>
      <w:r>
        <w:rPr>
          <w:rFonts w:eastAsia="仿宋_GB2312"/>
        </w:rPr>
        <w:t>通过该方案的实施，使工程建设产生的水土流失得到控制，到设计水平年，水土流失治理度达到</w:t>
      </w:r>
      <w:r>
        <w:rPr>
          <w:rFonts w:hint="eastAsia" w:eastAsia="仿宋_GB2312"/>
        </w:rPr>
        <w:t>98.96</w:t>
      </w:r>
      <w:r>
        <w:rPr>
          <w:rFonts w:eastAsia="仿宋_GB2312"/>
        </w:rPr>
        <w:t>%，土壤流失控制比达到1.0，渣土防护</w:t>
      </w:r>
      <w:r>
        <w:rPr>
          <w:rFonts w:hint="eastAsia" w:eastAsia="仿宋_GB2312"/>
        </w:rPr>
        <w:t>率</w:t>
      </w:r>
      <w:r>
        <w:rPr>
          <w:rFonts w:eastAsia="仿宋_GB2312"/>
        </w:rPr>
        <w:t>达到</w:t>
      </w:r>
      <w:r>
        <w:rPr>
          <w:rFonts w:hint="eastAsia" w:eastAsia="仿宋_GB2312"/>
        </w:rPr>
        <w:t>97.89</w:t>
      </w:r>
      <w:r>
        <w:rPr>
          <w:rFonts w:eastAsia="仿宋_GB2312"/>
        </w:rPr>
        <w:t>%，</w:t>
      </w:r>
      <w:r>
        <w:rPr>
          <w:rFonts w:hint="eastAsia" w:eastAsia="仿宋_GB2312"/>
        </w:rPr>
        <w:t>林草植被恢复率、林草覆盖率、</w:t>
      </w:r>
      <w:r>
        <w:rPr>
          <w:rFonts w:eastAsia="仿宋_GB2312"/>
        </w:rPr>
        <w:t>表土保护率不作要求</w:t>
      </w:r>
      <w:r>
        <w:rPr>
          <w:rFonts w:hint="eastAsia" w:eastAsia="仿宋_GB2312"/>
        </w:rPr>
        <w:t>。</w:t>
      </w:r>
    </w:p>
    <w:p>
      <w:pPr>
        <w:pStyle w:val="3"/>
        <w:widowControl/>
        <w:numPr>
          <w:ilvl w:val="1"/>
          <w:numId w:val="1"/>
        </w:numPr>
        <w:tabs>
          <w:tab w:val="clear" w:pos="1002"/>
        </w:tabs>
        <w:topLinePunct w:val="0"/>
        <w:adjustRightInd/>
        <w:snapToGrid/>
        <w:ind w:left="0" w:firstLine="0"/>
        <w:jc w:val="both"/>
        <w:rPr>
          <w:rFonts w:eastAsia="仿宋_GB2312"/>
        </w:rPr>
      </w:pPr>
      <w:bookmarkStart w:id="126" w:name="_Toc50221496"/>
      <w:bookmarkStart w:id="127" w:name="_Toc7801546"/>
      <w:bookmarkStart w:id="128" w:name="_Toc7801453"/>
      <w:bookmarkStart w:id="129" w:name="_Toc7801386"/>
      <w:r>
        <w:rPr>
          <w:rFonts w:eastAsia="仿宋_GB2312"/>
        </w:rPr>
        <w:t>结论</w:t>
      </w:r>
      <w:bookmarkEnd w:id="126"/>
      <w:bookmarkEnd w:id="127"/>
      <w:bookmarkEnd w:id="128"/>
      <w:bookmarkEnd w:id="129"/>
    </w:p>
    <w:bookmarkEnd w:id="121"/>
    <w:bookmarkEnd w:id="122"/>
    <w:bookmarkEnd w:id="123"/>
    <w:bookmarkEnd w:id="124"/>
    <w:bookmarkEnd w:id="125"/>
    <w:p>
      <w:pPr>
        <w:tabs>
          <w:tab w:val="left" w:pos="840"/>
          <w:tab w:val="left" w:pos="1485"/>
        </w:tabs>
        <w:ind w:firstLine="480"/>
        <w:rPr>
          <w:rFonts w:eastAsia="仿宋_GB2312"/>
        </w:rPr>
      </w:pPr>
      <w:r>
        <w:rPr>
          <w:rFonts w:eastAsia="仿宋_GB2312"/>
        </w:rPr>
        <w:t>从水土保持角度分析，本工程建设符合地区规划，工程选址、布局、占地</w:t>
      </w:r>
      <w:r>
        <w:rPr>
          <w:rFonts w:hint="eastAsia" w:eastAsia="仿宋_GB2312"/>
        </w:rPr>
        <w:t>、</w:t>
      </w:r>
      <w:r>
        <w:rPr>
          <w:rFonts w:eastAsia="仿宋_GB2312"/>
        </w:rPr>
        <w:t>施工组织及施工工艺等方面不存在制约工程建设的不利因素，工程建设将扰动地表造成一定程度的水土流失，但通过水土保持方案各种治理措施的实施，对水土流失的防治及控制能力可以满足防治要求，不存在影响本工程建设的水土保持制约性因素。因此主体工程在做好水土流失防治工作后是可行的。</w:t>
      </w:r>
    </w:p>
    <w:p>
      <w:pPr>
        <w:tabs>
          <w:tab w:val="left" w:pos="840"/>
          <w:tab w:val="left" w:pos="1485"/>
        </w:tabs>
        <w:ind w:firstLine="480"/>
        <w:rPr>
          <w:rFonts w:eastAsia="仿宋_GB2312"/>
        </w:rPr>
      </w:pPr>
      <w:r>
        <w:rPr>
          <w:rFonts w:eastAsia="仿宋_GB2312"/>
        </w:rPr>
        <w:t>建议建设单位进一步优化施工组织、施工工艺，最大程度利用工程建设挖填方，并减少土石方的二次倒运；建议建设单位在施工期间加强管理，严格限制施工范围，避免无序施工造成沿线周边地表扰动；建议建设单位在施工期间积极落实主体设计以及方案新增的水土保持措施，加强施工期间土石方转运过程中的监督管理，减少土石方运输期间的沿途撒漏以尽最大可能减少水土流失。</w:t>
      </w:r>
    </w:p>
    <w:p>
      <w:pPr>
        <w:tabs>
          <w:tab w:val="left" w:pos="840"/>
          <w:tab w:val="left" w:pos="1485"/>
        </w:tabs>
        <w:ind w:firstLine="480"/>
        <w:rPr>
          <w:rFonts w:eastAsia="仿宋_GB2312"/>
        </w:rPr>
        <w:sectPr>
          <w:headerReference r:id="rId11" w:type="first"/>
          <w:footerReference r:id="rId12" w:type="first"/>
          <w:headerReference r:id="rId10" w:type="default"/>
          <w:pgSz w:w="11906" w:h="16838"/>
          <w:pgMar w:top="1440" w:right="1803" w:bottom="1440" w:left="1803" w:header="850" w:footer="964" w:gutter="0"/>
          <w:pgNumType w:start="1"/>
          <w:cols w:space="720" w:num="1"/>
          <w:docGrid w:linePitch="326" w:charSpace="0"/>
        </w:sectPr>
      </w:pPr>
    </w:p>
    <w:p>
      <w:pPr>
        <w:tabs>
          <w:tab w:val="left" w:pos="840"/>
          <w:tab w:val="left" w:pos="1485"/>
        </w:tabs>
        <w:spacing w:line="240" w:lineRule="auto"/>
        <w:ind w:firstLine="0" w:firstLineChars="0"/>
        <w:jc w:val="center"/>
        <w:rPr>
          <w:rFonts w:eastAsia="仿宋_GB2312"/>
          <w:b/>
        </w:rPr>
      </w:pPr>
      <w:r>
        <w:rPr>
          <w:rFonts w:eastAsia="仿宋_GB2312"/>
          <w:b/>
        </w:rPr>
        <w:t>水土保持方案特性表</w:t>
      </w:r>
      <w:bookmarkStart w:id="130" w:name="RANGE!C3:Q48"/>
      <w:bookmarkEnd w:id="130"/>
      <w:bookmarkStart w:id="131" w:name="RANGE!C3:R50"/>
      <w:bookmarkEnd w:id="131"/>
      <w:bookmarkStart w:id="132" w:name="RANGE!C3:R48"/>
      <w:bookmarkEnd w:id="132"/>
      <w:bookmarkStart w:id="133" w:name="RANGE!C3:Q49"/>
      <w:bookmarkEnd w:id="133"/>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460"/>
        <w:gridCol w:w="37"/>
        <w:gridCol w:w="374"/>
        <w:gridCol w:w="851"/>
        <w:gridCol w:w="567"/>
        <w:gridCol w:w="663"/>
        <w:gridCol w:w="246"/>
        <w:gridCol w:w="85"/>
        <w:gridCol w:w="1018"/>
        <w:gridCol w:w="122"/>
        <w:gridCol w:w="244"/>
        <w:gridCol w:w="493"/>
        <w:gridCol w:w="734"/>
        <w:gridCol w:w="82"/>
        <w:gridCol w:w="409"/>
        <w:gridCol w:w="9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74" w:type="pct"/>
            <w:tcBorders>
              <w:top w:val="single" w:color="auto" w:sz="12" w:space="0"/>
            </w:tcBorders>
            <w:vAlign w:val="center"/>
          </w:tcPr>
          <w:p>
            <w:pPr>
              <w:pStyle w:val="73"/>
              <w:widowControl w:val="0"/>
              <w:topLinePunct/>
              <w:adjustRightInd w:val="0"/>
              <w:snapToGrid w:val="0"/>
              <w:spacing w:line="240" w:lineRule="auto"/>
              <w:jc w:val="center"/>
              <w:textAlignment w:val="center"/>
              <w:rPr>
                <w:rFonts w:cs="Times New Roman"/>
                <w:bCs/>
              </w:rPr>
            </w:pPr>
            <w:bookmarkStart w:id="134" w:name="_Toc211401478"/>
            <w:bookmarkStart w:id="135" w:name="_Toc255304498"/>
            <w:r>
              <w:rPr>
                <w:rFonts w:cs="Times New Roman"/>
                <w:bCs/>
              </w:rPr>
              <w:t>项目名称</w:t>
            </w:r>
          </w:p>
        </w:tc>
        <w:tc>
          <w:tcPr>
            <w:tcW w:w="1638" w:type="pct"/>
            <w:gridSpan w:val="6"/>
            <w:tcBorders>
              <w:top w:val="single" w:color="auto" w:sz="12" w:space="0"/>
            </w:tcBorders>
            <w:vAlign w:val="center"/>
          </w:tcPr>
          <w:p>
            <w:pPr>
              <w:pStyle w:val="73"/>
              <w:widowControl w:val="0"/>
              <w:topLinePunct/>
              <w:adjustRightInd w:val="0"/>
              <w:snapToGrid w:val="0"/>
              <w:spacing w:line="240" w:lineRule="auto"/>
              <w:jc w:val="center"/>
              <w:textAlignment w:val="center"/>
              <w:rPr>
                <w:rFonts w:cs="Times New Roman"/>
                <w:bCs/>
              </w:rPr>
            </w:pPr>
            <w:r>
              <w:rPr>
                <w:rFonts w:hint="eastAsia"/>
              </w:rPr>
              <w:t>第十四师224团团部污水管网改造项目</w:t>
            </w:r>
          </w:p>
        </w:tc>
        <w:tc>
          <w:tcPr>
            <w:tcW w:w="1662" w:type="pct"/>
            <w:gridSpan w:val="7"/>
            <w:tcBorders>
              <w:top w:val="single" w:color="auto" w:sz="12" w:space="0"/>
            </w:tcBorders>
            <w:vAlign w:val="center"/>
          </w:tcPr>
          <w:p>
            <w:pPr>
              <w:pStyle w:val="73"/>
              <w:widowControl w:val="0"/>
              <w:topLinePunct/>
              <w:adjustRightInd w:val="0"/>
              <w:snapToGrid w:val="0"/>
              <w:spacing w:line="240" w:lineRule="auto"/>
              <w:jc w:val="center"/>
              <w:textAlignment w:val="center"/>
              <w:rPr>
                <w:rFonts w:cs="Times New Roman"/>
                <w:bCs/>
              </w:rPr>
            </w:pPr>
            <w:r>
              <w:rPr>
                <w:rFonts w:hint="eastAsia"/>
              </w:rPr>
              <w:t>水行政主管部门</w:t>
            </w:r>
          </w:p>
        </w:tc>
        <w:tc>
          <w:tcPr>
            <w:tcW w:w="826" w:type="pct"/>
            <w:gridSpan w:val="2"/>
            <w:tcBorders>
              <w:top w:val="single" w:color="auto" w:sz="12" w:space="0"/>
            </w:tcBorders>
            <w:vAlign w:val="center"/>
          </w:tcPr>
          <w:p>
            <w:pPr>
              <w:pStyle w:val="73"/>
              <w:widowControl w:val="0"/>
              <w:topLinePunct/>
              <w:adjustRightInd w:val="0"/>
              <w:snapToGrid w:val="0"/>
              <w:spacing w:line="240" w:lineRule="auto"/>
              <w:jc w:val="center"/>
              <w:textAlignment w:val="center"/>
              <w:rPr>
                <w:rFonts w:cs="Times New Roman"/>
                <w:bCs/>
              </w:rPr>
            </w:pPr>
            <w:r>
              <w:rPr>
                <w:rFonts w:hint="eastAsia" w:cs="Times New Roman"/>
                <w:bCs/>
                <w:color w:val="auto"/>
              </w:rPr>
              <w:t>第十四师昆玉市</w:t>
            </w:r>
            <w:r>
              <w:rPr>
                <w:rFonts w:cs="Times New Roman"/>
                <w:bCs/>
                <w:color w:val="auto"/>
              </w:rPr>
              <w:t>水利局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74" w:type="pct"/>
            <w:vAlign w:val="center"/>
          </w:tcPr>
          <w:p>
            <w:pPr>
              <w:pStyle w:val="73"/>
              <w:widowControl w:val="0"/>
              <w:topLinePunct/>
              <w:adjustRightInd w:val="0"/>
              <w:snapToGrid w:val="0"/>
              <w:spacing w:line="240" w:lineRule="auto"/>
              <w:jc w:val="center"/>
              <w:textAlignment w:val="center"/>
              <w:rPr>
                <w:rFonts w:cs="Times New Roman"/>
                <w:b/>
                <w:bCs/>
              </w:rPr>
            </w:pPr>
            <w:r>
              <w:rPr>
                <w:rFonts w:cs="Times New Roman"/>
                <w:bCs/>
              </w:rPr>
              <w:t>涉及省（市、区）</w:t>
            </w:r>
          </w:p>
        </w:tc>
        <w:tc>
          <w:tcPr>
            <w:tcW w:w="755"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新疆</w:t>
            </w:r>
            <w:r>
              <w:rPr>
                <w:rFonts w:hint="eastAsia" w:cs="Times New Roman"/>
              </w:rPr>
              <w:t>生产建设兵团</w:t>
            </w:r>
          </w:p>
        </w:tc>
        <w:tc>
          <w:tcPr>
            <w:tcW w:w="883" w:type="pct"/>
            <w:gridSpan w:val="3"/>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涉及地市或个数</w:t>
            </w:r>
          </w:p>
        </w:tc>
        <w:tc>
          <w:tcPr>
            <w:tcW w:w="733"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第十四师</w:t>
            </w:r>
          </w:p>
        </w:tc>
        <w:tc>
          <w:tcPr>
            <w:tcW w:w="929"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涉及县或个数</w:t>
            </w:r>
          </w:p>
        </w:tc>
        <w:tc>
          <w:tcPr>
            <w:tcW w:w="826" w:type="pct"/>
            <w:gridSpan w:val="2"/>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224团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74" w:type="pct"/>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项目规模</w:t>
            </w:r>
          </w:p>
        </w:tc>
        <w:tc>
          <w:tcPr>
            <w:tcW w:w="755" w:type="pct"/>
            <w:gridSpan w:val="3"/>
            <w:vAlign w:val="center"/>
          </w:tcPr>
          <w:p>
            <w:pPr>
              <w:pStyle w:val="73"/>
              <w:widowControl w:val="0"/>
              <w:topLinePunct/>
              <w:adjustRightInd w:val="0"/>
              <w:snapToGrid w:val="0"/>
              <w:spacing w:line="240" w:lineRule="auto"/>
              <w:jc w:val="center"/>
              <w:textAlignment w:val="center"/>
              <w:rPr>
                <w:rFonts w:cs="Times New Roman"/>
              </w:rPr>
            </w:pPr>
            <w:r>
              <w:t>改造</w:t>
            </w:r>
            <w:r>
              <w:rPr>
                <w:rFonts w:hint="eastAsia"/>
              </w:rPr>
              <w:t>排水管道4629</w:t>
            </w:r>
            <w:r>
              <w:t>m</w:t>
            </w:r>
          </w:p>
        </w:tc>
        <w:tc>
          <w:tcPr>
            <w:tcW w:w="883" w:type="pct"/>
            <w:gridSpan w:val="3"/>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总投资（万元）</w:t>
            </w:r>
          </w:p>
        </w:tc>
        <w:tc>
          <w:tcPr>
            <w:tcW w:w="733"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hint="eastAsia"/>
              </w:rPr>
              <w:t>650</w:t>
            </w:r>
          </w:p>
        </w:tc>
        <w:tc>
          <w:tcPr>
            <w:tcW w:w="929"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土建投资（万元）</w:t>
            </w:r>
          </w:p>
        </w:tc>
        <w:tc>
          <w:tcPr>
            <w:tcW w:w="826" w:type="pct"/>
            <w:gridSpan w:val="2"/>
            <w:vAlign w:val="center"/>
          </w:tcPr>
          <w:p>
            <w:pPr>
              <w:pStyle w:val="73"/>
              <w:widowControl w:val="0"/>
              <w:topLinePunct/>
              <w:adjustRightInd w:val="0"/>
              <w:snapToGrid w:val="0"/>
              <w:spacing w:line="240" w:lineRule="auto"/>
              <w:jc w:val="center"/>
              <w:textAlignment w:val="center"/>
              <w:rPr>
                <w:rFonts w:cs="Times New Roman"/>
              </w:rPr>
            </w:pPr>
            <w:r>
              <w:rPr>
                <w:rFonts w:hint="eastAsia"/>
              </w:rPr>
              <w:t>528.2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74" w:type="pct"/>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动工时间</w:t>
            </w:r>
          </w:p>
        </w:tc>
        <w:tc>
          <w:tcPr>
            <w:tcW w:w="755"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20</w:t>
            </w:r>
            <w:r>
              <w:rPr>
                <w:rFonts w:hint="eastAsia" w:cs="Times New Roman"/>
              </w:rPr>
              <w:t>20</w:t>
            </w:r>
            <w:r>
              <w:rPr>
                <w:rFonts w:cs="Times New Roman"/>
              </w:rPr>
              <w:t>年</w:t>
            </w:r>
            <w:r>
              <w:rPr>
                <w:rFonts w:hint="eastAsia" w:cs="Times New Roman"/>
              </w:rPr>
              <w:t>11</w:t>
            </w:r>
            <w:r>
              <w:rPr>
                <w:rFonts w:cs="Times New Roman"/>
              </w:rPr>
              <w:t>月</w:t>
            </w:r>
          </w:p>
        </w:tc>
        <w:tc>
          <w:tcPr>
            <w:tcW w:w="883" w:type="pct"/>
            <w:gridSpan w:val="3"/>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完工时间</w:t>
            </w:r>
          </w:p>
        </w:tc>
        <w:tc>
          <w:tcPr>
            <w:tcW w:w="733"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20</w:t>
            </w:r>
            <w:r>
              <w:rPr>
                <w:rFonts w:hint="eastAsia" w:cs="Times New Roman"/>
              </w:rPr>
              <w:t>20</w:t>
            </w:r>
            <w:r>
              <w:rPr>
                <w:rFonts w:cs="Times New Roman"/>
              </w:rPr>
              <w:t>年</w:t>
            </w:r>
            <w:r>
              <w:rPr>
                <w:rFonts w:hint="eastAsia" w:cs="Times New Roman"/>
              </w:rPr>
              <w:t>12</w:t>
            </w:r>
            <w:r>
              <w:rPr>
                <w:rFonts w:cs="Times New Roman"/>
              </w:rPr>
              <w:t>月</w:t>
            </w:r>
          </w:p>
        </w:tc>
        <w:tc>
          <w:tcPr>
            <w:tcW w:w="929"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设计水平年</w:t>
            </w:r>
          </w:p>
        </w:tc>
        <w:tc>
          <w:tcPr>
            <w:tcW w:w="826" w:type="pct"/>
            <w:gridSpan w:val="2"/>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20</w:t>
            </w:r>
            <w:r>
              <w:rPr>
                <w:rFonts w:hint="eastAsia" w:cs="Times New Roman"/>
              </w:rPr>
              <w:t>20</w:t>
            </w:r>
            <w:r>
              <w:rPr>
                <w:rFonts w:cs="Times New Roman"/>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74" w:type="pct"/>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工程占地</w:t>
            </w:r>
            <w:r>
              <w:rPr>
                <w:rFonts w:cs="Times New Roman"/>
              </w:rPr>
              <w:t>（</w:t>
            </w:r>
            <w:r>
              <w:rPr>
                <w:rFonts w:hint="eastAsia" w:cs="Times New Roman"/>
              </w:rPr>
              <w:t>h</w:t>
            </w:r>
            <w:r>
              <w:rPr>
                <w:rFonts w:cs="Times New Roman"/>
              </w:rPr>
              <w:t>m</w:t>
            </w:r>
            <w:r>
              <w:rPr>
                <w:rFonts w:cs="Times New Roman"/>
                <w:vertAlign w:val="superscript"/>
              </w:rPr>
              <w:t>2</w:t>
            </w:r>
            <w:r>
              <w:rPr>
                <w:rFonts w:cs="Times New Roman"/>
              </w:rPr>
              <w:t>）</w:t>
            </w:r>
          </w:p>
        </w:tc>
        <w:tc>
          <w:tcPr>
            <w:tcW w:w="755"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2.88</w:t>
            </w:r>
          </w:p>
        </w:tc>
        <w:tc>
          <w:tcPr>
            <w:tcW w:w="883" w:type="pct"/>
            <w:gridSpan w:val="3"/>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永久占地（</w:t>
            </w:r>
            <w:r>
              <w:rPr>
                <w:rFonts w:hint="eastAsia" w:cs="Times New Roman"/>
              </w:rPr>
              <w:t>h</w:t>
            </w:r>
            <w:r>
              <w:rPr>
                <w:rFonts w:cs="Times New Roman"/>
              </w:rPr>
              <w:t>m</w:t>
            </w:r>
            <w:r>
              <w:rPr>
                <w:rFonts w:cs="Times New Roman"/>
                <w:vertAlign w:val="superscript"/>
              </w:rPr>
              <w:t>2</w:t>
            </w:r>
            <w:r>
              <w:rPr>
                <w:rFonts w:cs="Times New Roman"/>
              </w:rPr>
              <w:t>）</w:t>
            </w:r>
          </w:p>
        </w:tc>
        <w:tc>
          <w:tcPr>
            <w:tcW w:w="733"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0.17</w:t>
            </w:r>
          </w:p>
        </w:tc>
        <w:tc>
          <w:tcPr>
            <w:tcW w:w="929"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临时占地（</w:t>
            </w:r>
            <w:r>
              <w:rPr>
                <w:rFonts w:hint="eastAsia" w:cs="Times New Roman"/>
              </w:rPr>
              <w:t>h</w:t>
            </w:r>
            <w:r>
              <w:rPr>
                <w:rFonts w:cs="Times New Roman"/>
              </w:rPr>
              <w:t>m</w:t>
            </w:r>
            <w:r>
              <w:rPr>
                <w:rFonts w:cs="Times New Roman"/>
                <w:vertAlign w:val="superscript"/>
              </w:rPr>
              <w:t>2</w:t>
            </w:r>
            <w:r>
              <w:rPr>
                <w:rFonts w:cs="Times New Roman"/>
              </w:rPr>
              <w:t>）</w:t>
            </w:r>
          </w:p>
        </w:tc>
        <w:tc>
          <w:tcPr>
            <w:tcW w:w="826" w:type="pct"/>
            <w:gridSpan w:val="2"/>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2.71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9" w:type="pct"/>
            <w:gridSpan w:val="4"/>
            <w:vMerge w:val="restart"/>
            <w:vAlign w:val="center"/>
          </w:tcPr>
          <w:p>
            <w:pPr>
              <w:pStyle w:val="73"/>
              <w:widowControl w:val="0"/>
              <w:topLinePunct/>
              <w:adjustRightInd w:val="0"/>
              <w:snapToGrid w:val="0"/>
              <w:spacing w:line="240" w:lineRule="auto"/>
              <w:jc w:val="center"/>
              <w:textAlignment w:val="center"/>
              <w:rPr>
                <w:rFonts w:cs="Times New Roman"/>
              </w:rPr>
            </w:pPr>
            <w:r>
              <w:rPr>
                <w:rFonts w:cs="Times New Roman"/>
                <w:bCs/>
              </w:rPr>
              <w:t>土石方量</w:t>
            </w:r>
            <w:r>
              <w:rPr>
                <w:rFonts w:cs="Times New Roman"/>
              </w:rPr>
              <w:t>（</w:t>
            </w:r>
            <w:r>
              <w:rPr>
                <w:rFonts w:hint="eastAsia" w:cs="Times New Roman"/>
              </w:rPr>
              <w:t>万</w:t>
            </w:r>
            <w:r>
              <w:rPr>
                <w:rFonts w:cs="Times New Roman"/>
              </w:rPr>
              <w:t>m</w:t>
            </w:r>
            <w:r>
              <w:rPr>
                <w:rFonts w:cs="Times New Roman"/>
                <w:vertAlign w:val="superscript"/>
              </w:rPr>
              <w:t>3</w:t>
            </w:r>
            <w:r>
              <w:rPr>
                <w:rFonts w:cs="Times New Roman"/>
              </w:rPr>
              <w:t>）</w:t>
            </w:r>
          </w:p>
        </w:tc>
        <w:tc>
          <w:tcPr>
            <w:tcW w:w="883"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挖方</w:t>
            </w:r>
          </w:p>
        </w:tc>
        <w:tc>
          <w:tcPr>
            <w:tcW w:w="733" w:type="pct"/>
            <w:gridSpan w:val="3"/>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填方</w:t>
            </w:r>
          </w:p>
        </w:tc>
        <w:tc>
          <w:tcPr>
            <w:tcW w:w="929" w:type="pct"/>
            <w:gridSpan w:val="4"/>
            <w:vAlign w:val="center"/>
          </w:tcPr>
          <w:p>
            <w:pPr>
              <w:spacing w:line="240" w:lineRule="auto"/>
              <w:ind w:firstLine="0" w:firstLineChars="0"/>
              <w:jc w:val="center"/>
              <w:rPr>
                <w:rFonts w:eastAsia="仿宋_GB2312"/>
                <w:sz w:val="21"/>
                <w:szCs w:val="21"/>
              </w:rPr>
            </w:pPr>
            <w:r>
              <w:rPr>
                <w:rFonts w:eastAsia="仿宋_GB2312"/>
                <w:sz w:val="21"/>
                <w:szCs w:val="21"/>
              </w:rPr>
              <w:t>借方</w:t>
            </w:r>
          </w:p>
        </w:tc>
        <w:tc>
          <w:tcPr>
            <w:tcW w:w="826" w:type="pct"/>
            <w:gridSpan w:val="2"/>
            <w:vAlign w:val="center"/>
          </w:tcPr>
          <w:p>
            <w:pPr>
              <w:spacing w:line="240" w:lineRule="auto"/>
              <w:ind w:firstLine="0" w:firstLineChars="0"/>
              <w:jc w:val="center"/>
              <w:rPr>
                <w:rFonts w:eastAsia="仿宋_GB2312"/>
                <w:sz w:val="21"/>
                <w:szCs w:val="21"/>
              </w:rPr>
            </w:pPr>
            <w:r>
              <w:rPr>
                <w:rFonts w:eastAsia="仿宋_GB2312"/>
                <w:sz w:val="21"/>
                <w:szCs w:val="21"/>
              </w:rPr>
              <w:t>余（弃）方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9" w:type="pct"/>
            <w:gridSpan w:val="4"/>
            <w:vMerge w:val="continue"/>
            <w:tcBorders>
              <w:bottom w:val="single" w:color="auto" w:sz="4" w:space="0"/>
            </w:tcBorders>
            <w:vAlign w:val="center"/>
          </w:tcPr>
          <w:p>
            <w:pPr>
              <w:pStyle w:val="73"/>
              <w:widowControl w:val="0"/>
              <w:topLinePunct/>
              <w:adjustRightInd w:val="0"/>
              <w:snapToGrid w:val="0"/>
              <w:spacing w:line="240" w:lineRule="auto"/>
              <w:jc w:val="center"/>
              <w:textAlignment w:val="center"/>
              <w:rPr>
                <w:rFonts w:cs="Times New Roman"/>
                <w:bCs/>
              </w:rPr>
            </w:pPr>
          </w:p>
        </w:tc>
        <w:tc>
          <w:tcPr>
            <w:tcW w:w="883" w:type="pct"/>
            <w:gridSpan w:val="3"/>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1.9</w:t>
            </w:r>
          </w:p>
        </w:tc>
        <w:tc>
          <w:tcPr>
            <w:tcW w:w="733" w:type="pct"/>
            <w:gridSpan w:val="3"/>
            <w:tcBorders>
              <w:bottom w:val="nil"/>
            </w:tcBorders>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1.9</w:t>
            </w:r>
          </w:p>
        </w:tc>
        <w:tc>
          <w:tcPr>
            <w:tcW w:w="929" w:type="pct"/>
            <w:gridSpan w:val="4"/>
            <w:vAlign w:val="center"/>
          </w:tcPr>
          <w:p>
            <w:pPr>
              <w:widowControl/>
              <w:topLinePunct w:val="0"/>
              <w:spacing w:line="240" w:lineRule="auto"/>
              <w:ind w:firstLine="0" w:firstLineChars="0"/>
              <w:jc w:val="center"/>
              <w:rPr>
                <w:rFonts w:eastAsia="仿宋_GB2312"/>
                <w:color w:val="000000"/>
                <w:sz w:val="21"/>
                <w:szCs w:val="21"/>
              </w:rPr>
            </w:pPr>
            <w:r>
              <w:rPr>
                <w:rFonts w:hint="eastAsia" w:eastAsia="仿宋_GB2312"/>
                <w:color w:val="000000"/>
                <w:sz w:val="21"/>
                <w:szCs w:val="21"/>
              </w:rPr>
              <w:t>/</w:t>
            </w:r>
          </w:p>
        </w:tc>
        <w:tc>
          <w:tcPr>
            <w:tcW w:w="826" w:type="pct"/>
            <w:gridSpan w:val="2"/>
            <w:vAlign w:val="center"/>
          </w:tcPr>
          <w:p>
            <w:pPr>
              <w:spacing w:line="240" w:lineRule="auto"/>
              <w:ind w:firstLine="0" w:firstLineChars="0"/>
              <w:jc w:val="center"/>
              <w:rPr>
                <w:rFonts w:eastAsia="仿宋_GB2312"/>
                <w:sz w:val="21"/>
                <w:szCs w:val="21"/>
              </w:rPr>
            </w:pPr>
            <w:r>
              <w:rPr>
                <w:rFonts w:hint="eastAsia"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9" w:type="pct"/>
            <w:gridSpan w:val="4"/>
            <w:tcBorders>
              <w:bottom w:val="single" w:color="auto" w:sz="4" w:space="0"/>
            </w:tcBorders>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重点防治区名称</w:t>
            </w:r>
          </w:p>
        </w:tc>
        <w:tc>
          <w:tcPr>
            <w:tcW w:w="3371" w:type="pct"/>
            <w:gridSpan w:val="12"/>
            <w:vAlign w:val="center"/>
          </w:tcPr>
          <w:p>
            <w:pPr>
              <w:pStyle w:val="73"/>
              <w:widowControl w:val="0"/>
              <w:topLinePunct/>
              <w:adjustRightInd w:val="0"/>
              <w:snapToGrid w:val="0"/>
              <w:spacing w:line="240" w:lineRule="auto"/>
              <w:jc w:val="center"/>
              <w:textAlignment w:val="center"/>
              <w:rPr>
                <w:rFonts w:cs="Times New Roman"/>
              </w:rPr>
            </w:pPr>
            <w:r>
              <w:rPr>
                <w:rFonts w:cs="Times New Roman"/>
                <w:bCs/>
              </w:rPr>
              <w:t>塔里木河国家级水土流失重点预防区</w:t>
            </w:r>
            <w:r>
              <w:rPr>
                <w:rFonts w:hint="eastAsia" w:cs="Times New Roman"/>
                <w:bCs/>
              </w:rPr>
              <w:t>和塔里木河流域兵团级水土流失重点治理区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9" w:type="pct"/>
            <w:gridSpan w:val="4"/>
            <w:tcBorders>
              <w:bottom w:val="single" w:color="auto" w:sz="4" w:space="0"/>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地貌类型</w:t>
            </w:r>
          </w:p>
        </w:tc>
        <w:tc>
          <w:tcPr>
            <w:tcW w:w="883" w:type="pct"/>
            <w:gridSpan w:val="3"/>
            <w:tcBorders>
              <w:bottom w:val="single" w:color="auto" w:sz="4" w:space="0"/>
            </w:tcBorders>
            <w:vAlign w:val="center"/>
          </w:tcPr>
          <w:p>
            <w:pPr>
              <w:pStyle w:val="73"/>
              <w:widowControl w:val="0"/>
              <w:topLinePunct/>
              <w:adjustRightInd w:val="0"/>
              <w:snapToGrid w:val="0"/>
              <w:spacing w:line="240" w:lineRule="auto"/>
              <w:jc w:val="center"/>
              <w:textAlignment w:val="center"/>
              <w:rPr>
                <w:rFonts w:cs="Times New Roman"/>
              </w:rPr>
            </w:pPr>
            <w:r>
              <w:rPr>
                <w:rFonts w:hint="eastAsia"/>
              </w:rPr>
              <w:t>冲洪积平原区</w:t>
            </w:r>
          </w:p>
        </w:tc>
        <w:tc>
          <w:tcPr>
            <w:tcW w:w="1613" w:type="pct"/>
            <w:gridSpan w:val="6"/>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水土保持区划</w:t>
            </w:r>
          </w:p>
        </w:tc>
        <w:tc>
          <w:tcPr>
            <w:tcW w:w="875"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北方风沙区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9" w:type="pct"/>
            <w:gridSpan w:val="4"/>
            <w:tcBorders>
              <w:bottom w:val="single" w:color="auto" w:sz="4" w:space="0"/>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土壤侵蚀类型</w:t>
            </w:r>
          </w:p>
        </w:tc>
        <w:tc>
          <w:tcPr>
            <w:tcW w:w="883" w:type="pct"/>
            <w:gridSpan w:val="3"/>
            <w:tcBorders>
              <w:bottom w:val="single" w:color="auto" w:sz="4" w:space="0"/>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风蚀</w:t>
            </w:r>
          </w:p>
        </w:tc>
        <w:tc>
          <w:tcPr>
            <w:tcW w:w="1613" w:type="pct"/>
            <w:gridSpan w:val="6"/>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土壤侵蚀强度</w:t>
            </w:r>
          </w:p>
        </w:tc>
        <w:tc>
          <w:tcPr>
            <w:tcW w:w="875"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轻度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9" w:type="pct"/>
            <w:gridSpan w:val="4"/>
            <w:tcBorders>
              <w:bottom w:val="single" w:color="auto" w:sz="4" w:space="0"/>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bCs/>
              </w:rPr>
              <w:t>防治责任范围面积（</w:t>
            </w:r>
            <w:r>
              <w:rPr>
                <w:rFonts w:hint="eastAsia" w:cs="Times New Roman"/>
                <w:bCs/>
              </w:rPr>
              <w:t>h</w:t>
            </w:r>
            <w:r>
              <w:rPr>
                <w:rFonts w:cs="Times New Roman"/>
                <w:bCs/>
              </w:rPr>
              <w:t>m</w:t>
            </w:r>
            <w:r>
              <w:rPr>
                <w:rFonts w:cs="Times New Roman"/>
                <w:bCs/>
                <w:vertAlign w:val="superscript"/>
              </w:rPr>
              <w:t>2</w:t>
            </w:r>
            <w:r>
              <w:rPr>
                <w:rFonts w:cs="Times New Roman"/>
                <w:bCs/>
              </w:rPr>
              <w:t>）</w:t>
            </w:r>
          </w:p>
        </w:tc>
        <w:tc>
          <w:tcPr>
            <w:tcW w:w="883" w:type="pct"/>
            <w:gridSpan w:val="3"/>
            <w:tcBorders>
              <w:bottom w:val="single" w:color="auto" w:sz="4" w:space="0"/>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hint="eastAsia" w:cs="Times New Roman"/>
                <w:color w:val="auto"/>
              </w:rPr>
              <w:t>2.88</w:t>
            </w:r>
          </w:p>
        </w:tc>
        <w:tc>
          <w:tcPr>
            <w:tcW w:w="1613" w:type="pct"/>
            <w:gridSpan w:val="6"/>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容许土壤流失量</w:t>
            </w:r>
            <w:r>
              <w:rPr>
                <w:rFonts w:cs="Times New Roman"/>
                <w:color w:val="auto"/>
                <w:sz w:val="24"/>
              </w:rPr>
              <w:t>[</w:t>
            </w:r>
            <w:r>
              <w:rPr>
                <w:rFonts w:cs="Times New Roman"/>
              </w:rPr>
              <w:t>t/（km</w:t>
            </w:r>
            <w:r>
              <w:rPr>
                <w:rFonts w:cs="Times New Roman"/>
                <w:vertAlign w:val="superscript"/>
              </w:rPr>
              <w:t>2</w:t>
            </w:r>
            <w:r>
              <w:rPr>
                <w:rFonts w:cs="Times New Roman"/>
              </w:rPr>
              <w:t>·a）</w:t>
            </w:r>
            <w:r>
              <w:rPr>
                <w:rFonts w:cs="Times New Roman"/>
                <w:color w:val="auto"/>
                <w:sz w:val="24"/>
              </w:rPr>
              <w:t>]</w:t>
            </w:r>
          </w:p>
        </w:tc>
        <w:tc>
          <w:tcPr>
            <w:tcW w:w="875"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9" w:type="pct"/>
            <w:gridSpan w:val="4"/>
            <w:tcBorders>
              <w:bottom w:val="single" w:color="auto" w:sz="4" w:space="0"/>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bCs/>
              </w:rPr>
              <w:t>水土流失预测总量（t）</w:t>
            </w:r>
          </w:p>
        </w:tc>
        <w:tc>
          <w:tcPr>
            <w:tcW w:w="883" w:type="pct"/>
            <w:gridSpan w:val="3"/>
            <w:tcBorders>
              <w:bottom w:val="single" w:color="auto" w:sz="4" w:space="0"/>
            </w:tcBorders>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191</w:t>
            </w:r>
          </w:p>
        </w:tc>
        <w:tc>
          <w:tcPr>
            <w:tcW w:w="1613" w:type="pct"/>
            <w:gridSpan w:val="6"/>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新增水土流失量(t)</w:t>
            </w:r>
          </w:p>
        </w:tc>
        <w:tc>
          <w:tcPr>
            <w:tcW w:w="875" w:type="pct"/>
            <w:gridSpan w:val="3"/>
            <w:vAlign w:val="center"/>
          </w:tcPr>
          <w:p>
            <w:pPr>
              <w:pStyle w:val="73"/>
              <w:widowControl w:val="0"/>
              <w:topLinePunct/>
              <w:adjustRightInd w:val="0"/>
              <w:snapToGrid w:val="0"/>
              <w:spacing w:line="240" w:lineRule="auto"/>
              <w:jc w:val="center"/>
              <w:textAlignment w:val="center"/>
              <w:rPr>
                <w:rFonts w:cs="Times New Roman"/>
                <w:b/>
              </w:rPr>
            </w:pPr>
            <w:r>
              <w:rPr>
                <w:rFonts w:hint="eastAsia" w:cs="Times New Roman"/>
              </w:rPr>
              <w:t>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9" w:type="pct"/>
            <w:gridSpan w:val="4"/>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水土流失防治标准执行等级</w:t>
            </w:r>
          </w:p>
        </w:tc>
        <w:tc>
          <w:tcPr>
            <w:tcW w:w="3371" w:type="pct"/>
            <w:gridSpan w:val="12"/>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北方风沙区</w:t>
            </w:r>
            <w:r>
              <w:rPr>
                <w:rFonts w:cs="Times New Roman"/>
              </w:rPr>
              <w:t>建设类项目</w:t>
            </w:r>
            <w:r>
              <w:rPr>
                <w:rFonts w:hint="eastAsia" w:cs="Times New Roman"/>
              </w:rPr>
              <w:t>水土流失防治</w:t>
            </w:r>
            <w:r>
              <w:rPr>
                <w:rFonts w:cs="Times New Roman"/>
              </w:rPr>
              <w:t>一级标准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6" w:type="pct"/>
            <w:gridSpan w:val="2"/>
            <w:vMerge w:val="restart"/>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防治</w:t>
            </w:r>
          </w:p>
          <w:p>
            <w:pPr>
              <w:pStyle w:val="73"/>
              <w:widowControl w:val="0"/>
              <w:topLinePunct/>
              <w:adjustRightInd w:val="0"/>
              <w:snapToGrid w:val="0"/>
              <w:spacing w:line="240" w:lineRule="auto"/>
              <w:jc w:val="center"/>
              <w:textAlignment w:val="center"/>
              <w:rPr>
                <w:rFonts w:cs="Times New Roman"/>
                <w:bCs/>
              </w:rPr>
            </w:pPr>
            <w:r>
              <w:rPr>
                <w:rFonts w:cs="Times New Roman"/>
                <w:bCs/>
              </w:rPr>
              <w:t>指标</w:t>
            </w:r>
          </w:p>
        </w:tc>
        <w:tc>
          <w:tcPr>
            <w:tcW w:w="1616" w:type="pct"/>
            <w:gridSpan w:val="5"/>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水土流失治理度（%）</w:t>
            </w:r>
          </w:p>
        </w:tc>
        <w:tc>
          <w:tcPr>
            <w:tcW w:w="660" w:type="pct"/>
            <w:gridSpan w:val="2"/>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85</w:t>
            </w:r>
          </w:p>
        </w:tc>
        <w:tc>
          <w:tcPr>
            <w:tcW w:w="1247" w:type="pct"/>
            <w:gridSpan w:val="6"/>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土壤流失控制比</w:t>
            </w:r>
          </w:p>
        </w:tc>
        <w:tc>
          <w:tcPr>
            <w:tcW w:w="581" w:type="pct"/>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6" w:type="pct"/>
            <w:gridSpan w:val="2"/>
            <w:vMerge w:val="continue"/>
            <w:vAlign w:val="center"/>
          </w:tcPr>
          <w:p>
            <w:pPr>
              <w:pStyle w:val="73"/>
              <w:widowControl w:val="0"/>
              <w:topLinePunct/>
              <w:adjustRightInd w:val="0"/>
              <w:snapToGrid w:val="0"/>
              <w:spacing w:line="240" w:lineRule="auto"/>
              <w:jc w:val="center"/>
              <w:textAlignment w:val="center"/>
              <w:rPr>
                <w:rFonts w:cs="Times New Roman"/>
                <w:bCs/>
              </w:rPr>
            </w:pPr>
          </w:p>
        </w:tc>
        <w:tc>
          <w:tcPr>
            <w:tcW w:w="1616" w:type="pct"/>
            <w:gridSpan w:val="5"/>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渣土挡护率（%）</w:t>
            </w:r>
          </w:p>
        </w:tc>
        <w:tc>
          <w:tcPr>
            <w:tcW w:w="660" w:type="pct"/>
            <w:gridSpan w:val="2"/>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87</w:t>
            </w:r>
          </w:p>
        </w:tc>
        <w:tc>
          <w:tcPr>
            <w:tcW w:w="1247" w:type="pct"/>
            <w:gridSpan w:val="6"/>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表土保护率（%）</w:t>
            </w:r>
          </w:p>
        </w:tc>
        <w:tc>
          <w:tcPr>
            <w:tcW w:w="581" w:type="pct"/>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6" w:type="pct"/>
            <w:gridSpan w:val="2"/>
            <w:vMerge w:val="continue"/>
            <w:vAlign w:val="center"/>
          </w:tcPr>
          <w:p>
            <w:pPr>
              <w:pStyle w:val="73"/>
              <w:widowControl w:val="0"/>
              <w:topLinePunct/>
              <w:adjustRightInd w:val="0"/>
              <w:snapToGrid w:val="0"/>
              <w:spacing w:line="240" w:lineRule="auto"/>
              <w:jc w:val="center"/>
              <w:textAlignment w:val="center"/>
              <w:rPr>
                <w:rFonts w:cs="Times New Roman"/>
                <w:bCs/>
              </w:rPr>
            </w:pPr>
          </w:p>
        </w:tc>
        <w:tc>
          <w:tcPr>
            <w:tcW w:w="1616" w:type="pct"/>
            <w:gridSpan w:val="5"/>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林草植被恢复率（%）</w:t>
            </w:r>
          </w:p>
        </w:tc>
        <w:tc>
          <w:tcPr>
            <w:tcW w:w="660" w:type="pct"/>
            <w:gridSpan w:val="2"/>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w:t>
            </w:r>
          </w:p>
        </w:tc>
        <w:tc>
          <w:tcPr>
            <w:tcW w:w="1247" w:type="pct"/>
            <w:gridSpan w:val="6"/>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林草覆盖率（%）</w:t>
            </w:r>
          </w:p>
        </w:tc>
        <w:tc>
          <w:tcPr>
            <w:tcW w:w="581" w:type="pct"/>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6" w:type="pct"/>
            <w:gridSpan w:val="2"/>
            <w:vMerge w:val="restart"/>
            <w:vAlign w:val="center"/>
          </w:tcPr>
          <w:p>
            <w:pPr>
              <w:pStyle w:val="73"/>
              <w:widowControl w:val="0"/>
              <w:topLinePunct/>
              <w:adjustRightInd w:val="0"/>
              <w:snapToGrid w:val="0"/>
              <w:spacing w:line="240" w:lineRule="auto"/>
              <w:jc w:val="center"/>
              <w:textAlignment w:val="center"/>
              <w:rPr>
                <w:rFonts w:cs="Times New Roman"/>
              </w:rPr>
            </w:pPr>
            <w:r>
              <w:rPr>
                <w:rFonts w:cs="Times New Roman"/>
                <w:bCs/>
              </w:rPr>
              <w:t>防治措施及工程量</w:t>
            </w:r>
          </w:p>
        </w:tc>
        <w:tc>
          <w:tcPr>
            <w:tcW w:w="1469"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工程措施</w:t>
            </w:r>
          </w:p>
        </w:tc>
        <w:tc>
          <w:tcPr>
            <w:tcW w:w="1026" w:type="pct"/>
            <w:gridSpan w:val="5"/>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植物措施</w:t>
            </w:r>
          </w:p>
        </w:tc>
        <w:tc>
          <w:tcPr>
            <w:tcW w:w="1609" w:type="pct"/>
            <w:gridSpan w:val="5"/>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临时措施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6" w:type="pct"/>
            <w:gridSpan w:val="2"/>
            <w:vMerge w:val="continue"/>
            <w:vAlign w:val="center"/>
          </w:tcPr>
          <w:p>
            <w:pPr>
              <w:pStyle w:val="73"/>
              <w:widowControl w:val="0"/>
              <w:topLinePunct/>
              <w:adjustRightInd w:val="0"/>
              <w:snapToGrid w:val="0"/>
              <w:spacing w:line="240" w:lineRule="auto"/>
              <w:jc w:val="center"/>
              <w:textAlignment w:val="center"/>
              <w:rPr>
                <w:rFonts w:cs="Times New Roman"/>
                <w:b/>
              </w:rPr>
            </w:pPr>
          </w:p>
        </w:tc>
        <w:tc>
          <w:tcPr>
            <w:tcW w:w="1469" w:type="pct"/>
            <w:gridSpan w:val="4"/>
            <w:vAlign w:val="center"/>
          </w:tcPr>
          <w:p>
            <w:pPr>
              <w:tabs>
                <w:tab w:val="left" w:pos="840"/>
                <w:tab w:val="left" w:pos="1485"/>
              </w:tabs>
              <w:spacing w:line="240" w:lineRule="auto"/>
              <w:ind w:firstLine="0" w:firstLineChars="0"/>
              <w:rPr>
                <w:rFonts w:eastAsia="仿宋_GB2312"/>
                <w:color w:val="FF0000"/>
                <w:sz w:val="21"/>
                <w:szCs w:val="21"/>
              </w:rPr>
            </w:pPr>
            <w:r>
              <w:rPr>
                <w:rFonts w:eastAsia="仿宋_GB2312"/>
                <w:color w:val="FF0000"/>
                <w:sz w:val="21"/>
                <w:szCs w:val="21"/>
              </w:rPr>
              <w:t>土地平整</w:t>
            </w:r>
            <w:r>
              <w:rPr>
                <w:rFonts w:hint="eastAsia" w:eastAsia="仿宋_GB2312"/>
                <w:color w:val="FF0000"/>
                <w:sz w:val="21"/>
                <w:szCs w:val="21"/>
              </w:rPr>
              <w:t>1.95h</w:t>
            </w:r>
            <w:r>
              <w:rPr>
                <w:rFonts w:eastAsia="仿宋_GB2312"/>
                <w:color w:val="FF0000"/>
                <w:sz w:val="21"/>
                <w:szCs w:val="21"/>
              </w:rPr>
              <w:t>m²</w:t>
            </w:r>
            <w:r>
              <w:rPr>
                <w:rFonts w:eastAsia="仿宋_GB2312"/>
                <w:snapToGrid w:val="0"/>
                <w:color w:val="FF0000"/>
                <w:sz w:val="21"/>
                <w:szCs w:val="21"/>
              </w:rPr>
              <w:t xml:space="preserve"> (</w:t>
            </w:r>
            <w:r>
              <w:rPr>
                <w:rFonts w:hint="eastAsia" w:eastAsia="仿宋_GB2312"/>
                <w:snapToGrid w:val="0"/>
                <w:color w:val="FF0000"/>
                <w:sz w:val="21"/>
                <w:szCs w:val="21"/>
              </w:rPr>
              <w:t>主体已列</w:t>
            </w:r>
            <w:r>
              <w:rPr>
                <w:rFonts w:eastAsia="仿宋_GB2312"/>
                <w:snapToGrid w:val="0"/>
                <w:color w:val="FF0000"/>
                <w:sz w:val="21"/>
                <w:szCs w:val="21"/>
              </w:rPr>
              <w:t>)</w:t>
            </w:r>
            <w:r>
              <w:rPr>
                <w:rFonts w:eastAsia="仿宋_GB2312"/>
                <w:color w:val="FF0000"/>
                <w:sz w:val="21"/>
                <w:szCs w:val="21"/>
              </w:rPr>
              <w:t>。</w:t>
            </w:r>
          </w:p>
        </w:tc>
        <w:tc>
          <w:tcPr>
            <w:tcW w:w="1026" w:type="pct"/>
            <w:gridSpan w:val="5"/>
            <w:vAlign w:val="center"/>
          </w:tcPr>
          <w:p>
            <w:pPr>
              <w:tabs>
                <w:tab w:val="left" w:pos="840"/>
                <w:tab w:val="left" w:pos="1485"/>
              </w:tabs>
              <w:spacing w:line="240" w:lineRule="auto"/>
              <w:ind w:firstLine="382" w:firstLineChars="182"/>
              <w:rPr>
                <w:rFonts w:eastAsia="仿宋_GB2312"/>
                <w:color w:val="FF0000"/>
                <w:sz w:val="21"/>
                <w:szCs w:val="21"/>
              </w:rPr>
            </w:pPr>
          </w:p>
        </w:tc>
        <w:tc>
          <w:tcPr>
            <w:tcW w:w="1609" w:type="pct"/>
            <w:gridSpan w:val="5"/>
            <w:vAlign w:val="center"/>
          </w:tcPr>
          <w:p>
            <w:pPr>
              <w:pStyle w:val="73"/>
              <w:widowControl w:val="0"/>
              <w:topLinePunct/>
              <w:adjustRightInd w:val="0"/>
              <w:snapToGrid w:val="0"/>
              <w:spacing w:line="240" w:lineRule="auto"/>
              <w:jc w:val="center"/>
              <w:textAlignment w:val="center"/>
              <w:rPr>
                <w:rFonts w:cs="Times New Roman"/>
                <w:color w:val="FF0000"/>
                <w:highlight w:val="yellow"/>
              </w:rPr>
            </w:pPr>
            <w:r>
              <w:rPr>
                <w:color w:val="FF0000"/>
              </w:rPr>
              <w:t>防尘网苫盖</w:t>
            </w:r>
            <w:r>
              <w:rPr>
                <w:rFonts w:hint="eastAsia"/>
                <w:color w:val="FF0000"/>
              </w:rPr>
              <w:t>5035</w:t>
            </w:r>
            <w:r>
              <w:rPr>
                <w:color w:val="FF0000"/>
              </w:rPr>
              <w:t>m²</w:t>
            </w:r>
            <w:r>
              <w:rPr>
                <w:snapToGrid w:val="0"/>
                <w:color w:val="FF0000"/>
              </w:rPr>
              <w:t>(</w:t>
            </w:r>
            <w:r>
              <w:rPr>
                <w:rFonts w:hint="eastAsia"/>
                <w:snapToGrid w:val="0"/>
                <w:color w:val="FF0000"/>
              </w:rPr>
              <w:t>方案新增</w:t>
            </w:r>
            <w:r>
              <w:rPr>
                <w:snapToGrid w:val="0"/>
                <w:color w:val="FF0000"/>
              </w:rPr>
              <w:t>)</w:t>
            </w:r>
            <w:r>
              <w:rPr>
                <w:rFonts w:hint="eastAsia"/>
                <w:snapToGrid w:val="0"/>
                <w:color w:val="FF0000"/>
              </w:rPr>
              <w:t>，</w:t>
            </w:r>
            <w:r>
              <w:rPr>
                <w:rFonts w:hint="eastAsia"/>
                <w:color w:val="FF0000"/>
              </w:rPr>
              <w:t>彩条旗限界9258m</w:t>
            </w:r>
            <w:r>
              <w:rPr>
                <w:snapToGrid w:val="0"/>
                <w:color w:val="FF0000"/>
              </w:rPr>
              <w:t>(</w:t>
            </w:r>
            <w:r>
              <w:rPr>
                <w:rFonts w:hint="eastAsia"/>
                <w:snapToGrid w:val="0"/>
                <w:color w:val="FF0000"/>
              </w:rPr>
              <w:t>方案新增</w:t>
            </w:r>
            <w:r>
              <w:rPr>
                <w:snapToGrid w:val="0"/>
                <w:color w:val="FF0000"/>
              </w:rPr>
              <w:t>)</w:t>
            </w:r>
            <w:r>
              <w:rPr>
                <w:rFonts w:hint="eastAsia"/>
                <w:snapToGrid w:val="0"/>
                <w:color w:val="FF0000"/>
              </w:rPr>
              <w:t>，</w:t>
            </w:r>
            <w:r>
              <w:rPr>
                <w:rFonts w:hint="eastAsia"/>
                <w:color w:val="FF0000"/>
              </w:rPr>
              <w:t>洒水46m</w:t>
            </w:r>
            <w:r>
              <w:rPr>
                <w:rFonts w:hint="eastAsia"/>
                <w:color w:val="FF0000"/>
                <w:vertAlign w:val="superscript"/>
              </w:rPr>
              <w:t>3</w:t>
            </w:r>
            <w:r>
              <w:rPr>
                <w:snapToGrid w:val="0"/>
                <w:color w:val="FF0000"/>
              </w:rPr>
              <w:t>(</w:t>
            </w:r>
            <w:r>
              <w:rPr>
                <w:rFonts w:hint="eastAsia"/>
                <w:snapToGrid w:val="0"/>
                <w:color w:val="FF0000"/>
              </w:rPr>
              <w:t>方案新增</w:t>
            </w:r>
            <w:r>
              <w:rPr>
                <w:snapToGrid w:val="0"/>
                <w:color w:val="FF0000"/>
              </w:rPr>
              <w:t>)</w:t>
            </w:r>
            <w:r>
              <w:rPr>
                <w:rFonts w:hint="eastAsia"/>
                <w:snapToGrid w:val="0"/>
                <w:color w:val="FF0000"/>
              </w:rPr>
              <w:t>，</w:t>
            </w:r>
            <w:r>
              <w:rPr>
                <w:snapToGrid w:val="0"/>
                <w:color w:val="FF0000"/>
              </w:rPr>
              <w:t>宣传牌</w:t>
            </w:r>
            <w:r>
              <w:rPr>
                <w:rFonts w:hint="eastAsia"/>
                <w:snapToGrid w:val="0"/>
                <w:color w:val="FF0000"/>
              </w:rPr>
              <w:t>1块（方案新增）</w:t>
            </w:r>
            <w:r>
              <w:rPr>
                <w:color w:val="FF000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6" w:type="pct"/>
            <w:gridSpan w:val="2"/>
            <w:tcBorders>
              <w:top w:val="single" w:color="auto" w:sz="4" w:space="0"/>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投资（万元）</w:t>
            </w:r>
          </w:p>
        </w:tc>
        <w:tc>
          <w:tcPr>
            <w:tcW w:w="1469"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color w:val="FF0000"/>
              </w:rPr>
            </w:pPr>
            <w:r>
              <w:rPr>
                <w:rFonts w:hint="eastAsia" w:cs="Times New Roman"/>
                <w:color w:val="FF0000"/>
              </w:rPr>
              <w:t>2.34</w:t>
            </w:r>
          </w:p>
        </w:tc>
        <w:tc>
          <w:tcPr>
            <w:tcW w:w="1026" w:type="pct"/>
            <w:gridSpan w:val="5"/>
            <w:vAlign w:val="center"/>
          </w:tcPr>
          <w:p>
            <w:pPr>
              <w:pStyle w:val="73"/>
              <w:widowControl w:val="0"/>
              <w:topLinePunct/>
              <w:adjustRightInd w:val="0"/>
              <w:snapToGrid w:val="0"/>
              <w:spacing w:line="240" w:lineRule="auto"/>
              <w:jc w:val="center"/>
              <w:textAlignment w:val="center"/>
              <w:rPr>
                <w:rFonts w:cs="Times New Roman"/>
                <w:color w:val="FF0000"/>
              </w:rPr>
            </w:pPr>
          </w:p>
        </w:tc>
        <w:tc>
          <w:tcPr>
            <w:tcW w:w="1609" w:type="pct"/>
            <w:gridSpan w:val="5"/>
            <w:vAlign w:val="center"/>
          </w:tcPr>
          <w:p>
            <w:pPr>
              <w:pStyle w:val="73"/>
              <w:widowControl w:val="0"/>
              <w:topLinePunct/>
              <w:adjustRightInd w:val="0"/>
              <w:snapToGrid w:val="0"/>
              <w:spacing w:line="240" w:lineRule="auto"/>
              <w:jc w:val="center"/>
              <w:textAlignment w:val="center"/>
              <w:rPr>
                <w:rFonts w:cs="Times New Roman"/>
                <w:color w:val="FF0000"/>
              </w:rPr>
            </w:pPr>
            <w:r>
              <w:rPr>
                <w:rFonts w:hint="eastAsia" w:cs="Times New Roman"/>
                <w:color w:val="FF0000"/>
              </w:rPr>
              <w:t>4.22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0" w:type="pct"/>
            <w:gridSpan w:val="3"/>
            <w:vAlign w:val="center"/>
          </w:tcPr>
          <w:p>
            <w:pPr>
              <w:pStyle w:val="73"/>
              <w:widowControl w:val="0"/>
              <w:topLinePunct/>
              <w:adjustRightInd w:val="0"/>
              <w:snapToGrid w:val="0"/>
              <w:spacing w:line="240" w:lineRule="auto"/>
              <w:jc w:val="center"/>
              <w:textAlignment w:val="center"/>
              <w:rPr>
                <w:rFonts w:cs="Times New Roman"/>
                <w:bCs/>
                <w:color w:val="FF0000"/>
              </w:rPr>
            </w:pPr>
            <w:r>
              <w:rPr>
                <w:rFonts w:cs="Times New Roman"/>
                <w:bCs/>
                <w:color w:val="FF0000"/>
              </w:rPr>
              <w:t>水土保持总投资</w:t>
            </w:r>
          </w:p>
          <w:p>
            <w:pPr>
              <w:pStyle w:val="73"/>
              <w:widowControl w:val="0"/>
              <w:topLinePunct/>
              <w:adjustRightInd w:val="0"/>
              <w:snapToGrid w:val="0"/>
              <w:spacing w:line="240" w:lineRule="auto"/>
              <w:jc w:val="center"/>
              <w:textAlignment w:val="center"/>
              <w:rPr>
                <w:rFonts w:cs="Times New Roman"/>
                <w:bCs/>
                <w:color w:val="FF0000"/>
              </w:rPr>
            </w:pPr>
            <w:r>
              <w:rPr>
                <w:rFonts w:cs="Times New Roman"/>
                <w:bCs/>
                <w:color w:val="FF0000"/>
              </w:rPr>
              <w:t>（万元）</w:t>
            </w:r>
          </w:p>
        </w:tc>
        <w:tc>
          <w:tcPr>
            <w:tcW w:w="1245" w:type="pct"/>
            <w:gridSpan w:val="3"/>
            <w:vAlign w:val="center"/>
          </w:tcPr>
          <w:p>
            <w:pPr>
              <w:pStyle w:val="73"/>
              <w:widowControl w:val="0"/>
              <w:topLinePunct/>
              <w:adjustRightInd w:val="0"/>
              <w:snapToGrid w:val="0"/>
              <w:spacing w:line="240" w:lineRule="auto"/>
              <w:jc w:val="center"/>
              <w:textAlignment w:val="center"/>
              <w:rPr>
                <w:rFonts w:cs="Times New Roman"/>
                <w:color w:val="FF0000"/>
              </w:rPr>
            </w:pPr>
            <w:r>
              <w:rPr>
                <w:rFonts w:hint="eastAsia" w:cs="Times New Roman"/>
                <w:color w:val="FF0000"/>
              </w:rPr>
              <w:t>20.01</w:t>
            </w:r>
          </w:p>
        </w:tc>
        <w:tc>
          <w:tcPr>
            <w:tcW w:w="1321" w:type="pct"/>
            <w:gridSpan w:val="6"/>
            <w:tcBorders>
              <w:bottom w:val="nil"/>
            </w:tcBorders>
            <w:vAlign w:val="center"/>
          </w:tcPr>
          <w:p>
            <w:pPr>
              <w:pStyle w:val="73"/>
              <w:widowControl w:val="0"/>
              <w:topLinePunct/>
              <w:adjustRightInd w:val="0"/>
              <w:snapToGrid w:val="0"/>
              <w:spacing w:line="240" w:lineRule="auto"/>
              <w:jc w:val="center"/>
              <w:textAlignment w:val="center"/>
              <w:rPr>
                <w:rFonts w:cs="Times New Roman"/>
                <w:color w:val="FF0000"/>
              </w:rPr>
            </w:pPr>
            <w:r>
              <w:rPr>
                <w:rFonts w:cs="Times New Roman"/>
                <w:color w:val="FF0000"/>
              </w:rPr>
              <w:t>独立费用（万元）</w:t>
            </w:r>
          </w:p>
        </w:tc>
        <w:tc>
          <w:tcPr>
            <w:tcW w:w="1314" w:type="pct"/>
            <w:gridSpan w:val="4"/>
            <w:vAlign w:val="center"/>
          </w:tcPr>
          <w:p>
            <w:pPr>
              <w:pStyle w:val="73"/>
              <w:widowControl w:val="0"/>
              <w:topLinePunct/>
              <w:adjustRightInd w:val="0"/>
              <w:snapToGrid w:val="0"/>
              <w:spacing w:line="240" w:lineRule="auto"/>
              <w:jc w:val="center"/>
              <w:textAlignment w:val="center"/>
              <w:rPr>
                <w:rFonts w:cs="Times New Roman"/>
                <w:color w:val="FF0000"/>
              </w:rPr>
            </w:pPr>
            <w:r>
              <w:rPr>
                <w:rFonts w:hint="eastAsia" w:cs="Times New Roman"/>
                <w:color w:val="FF0000"/>
              </w:rPr>
              <w:t>11.63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0" w:type="pct"/>
            <w:gridSpan w:val="3"/>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监理费（万元）</w:t>
            </w:r>
          </w:p>
        </w:tc>
        <w:tc>
          <w:tcPr>
            <w:tcW w:w="848" w:type="pct"/>
            <w:gridSpan w:val="2"/>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0.50</w:t>
            </w:r>
          </w:p>
        </w:tc>
        <w:tc>
          <w:tcPr>
            <w:tcW w:w="1204"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监测费(万元)</w:t>
            </w:r>
          </w:p>
        </w:tc>
        <w:tc>
          <w:tcPr>
            <w:tcW w:w="514"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w:t>
            </w:r>
          </w:p>
        </w:tc>
        <w:tc>
          <w:tcPr>
            <w:tcW w:w="733" w:type="pct"/>
            <w:gridSpan w:val="3"/>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补偿费(元)</w:t>
            </w:r>
          </w:p>
        </w:tc>
        <w:tc>
          <w:tcPr>
            <w:tcW w:w="581" w:type="pct"/>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0" w:type="pct"/>
            <w:gridSpan w:val="3"/>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分省措施费（万元）</w:t>
            </w:r>
          </w:p>
        </w:tc>
        <w:tc>
          <w:tcPr>
            <w:tcW w:w="1443" w:type="pct"/>
            <w:gridSpan w:val="5"/>
            <w:vAlign w:val="center"/>
          </w:tcPr>
          <w:p>
            <w:pPr>
              <w:spacing w:line="240" w:lineRule="auto"/>
              <w:ind w:firstLine="0" w:firstLineChars="0"/>
              <w:jc w:val="center"/>
              <w:rPr>
                <w:rFonts w:eastAsia="仿宋_GB2312"/>
                <w:sz w:val="21"/>
                <w:szCs w:val="21"/>
              </w:rPr>
            </w:pPr>
            <w:r>
              <w:rPr>
                <w:rFonts w:eastAsia="仿宋_GB2312"/>
                <w:sz w:val="21"/>
                <w:szCs w:val="21"/>
              </w:rPr>
              <w:t>—</w:t>
            </w:r>
          </w:p>
        </w:tc>
        <w:tc>
          <w:tcPr>
            <w:tcW w:w="1123"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分省补偿费（万元）</w:t>
            </w:r>
          </w:p>
        </w:tc>
        <w:tc>
          <w:tcPr>
            <w:tcW w:w="1314"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0" w:type="pct"/>
            <w:gridSpan w:val="3"/>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方案编制单位</w:t>
            </w:r>
          </w:p>
        </w:tc>
        <w:tc>
          <w:tcPr>
            <w:tcW w:w="1443" w:type="pct"/>
            <w:gridSpan w:val="5"/>
            <w:vAlign w:val="center"/>
          </w:tcPr>
          <w:p>
            <w:pPr>
              <w:pStyle w:val="73"/>
              <w:widowControl w:val="0"/>
              <w:topLinePunct/>
              <w:adjustRightInd w:val="0"/>
              <w:snapToGrid w:val="0"/>
              <w:spacing w:line="240" w:lineRule="auto"/>
              <w:jc w:val="center"/>
              <w:textAlignment w:val="center"/>
              <w:rPr>
                <w:rFonts w:cs="Times New Roman"/>
                <w:bCs/>
                <w:color w:val="auto"/>
              </w:rPr>
            </w:pPr>
            <w:r>
              <w:rPr>
                <w:rFonts w:hint="eastAsia" w:cs="Times New Roman"/>
                <w:bCs/>
                <w:color w:val="auto"/>
              </w:rPr>
              <w:t>新疆新农丽景环境工程咨询有限公司</w:t>
            </w:r>
          </w:p>
        </w:tc>
        <w:tc>
          <w:tcPr>
            <w:tcW w:w="1123"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建设单位</w:t>
            </w:r>
          </w:p>
        </w:tc>
        <w:tc>
          <w:tcPr>
            <w:tcW w:w="1314"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第十四师水利工程管理服务中心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0" w:type="pct"/>
            <w:gridSpan w:val="3"/>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法定代表人</w:t>
            </w:r>
          </w:p>
        </w:tc>
        <w:tc>
          <w:tcPr>
            <w:tcW w:w="1443" w:type="pct"/>
            <w:gridSpan w:val="5"/>
            <w:vAlign w:val="center"/>
          </w:tcPr>
          <w:p>
            <w:pPr>
              <w:pStyle w:val="73"/>
              <w:widowControl w:val="0"/>
              <w:topLinePunct/>
              <w:adjustRightInd w:val="0"/>
              <w:snapToGrid w:val="0"/>
              <w:spacing w:line="240" w:lineRule="auto"/>
              <w:jc w:val="center"/>
              <w:textAlignment w:val="center"/>
              <w:rPr>
                <w:bCs/>
                <w:color w:val="auto"/>
              </w:rPr>
            </w:pPr>
            <w:r>
              <w:rPr>
                <w:bCs/>
                <w:color w:val="auto"/>
              </w:rPr>
              <w:t>白慧敏</w:t>
            </w:r>
          </w:p>
        </w:tc>
        <w:tc>
          <w:tcPr>
            <w:tcW w:w="1123"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法定代表人</w:t>
            </w:r>
          </w:p>
        </w:tc>
        <w:tc>
          <w:tcPr>
            <w:tcW w:w="1314"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0" w:type="pct"/>
            <w:gridSpan w:val="3"/>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地址</w:t>
            </w:r>
          </w:p>
        </w:tc>
        <w:tc>
          <w:tcPr>
            <w:tcW w:w="1443" w:type="pct"/>
            <w:gridSpan w:val="5"/>
            <w:vAlign w:val="center"/>
          </w:tcPr>
          <w:p>
            <w:pPr>
              <w:pStyle w:val="73"/>
              <w:widowControl w:val="0"/>
              <w:topLinePunct/>
              <w:adjustRightInd w:val="0"/>
              <w:snapToGrid w:val="0"/>
              <w:spacing w:line="240" w:lineRule="auto"/>
              <w:jc w:val="center"/>
              <w:textAlignment w:val="center"/>
              <w:rPr>
                <w:bCs/>
                <w:color w:val="auto"/>
              </w:rPr>
            </w:pPr>
            <w:r>
              <w:rPr>
                <w:rFonts w:cs="Times New Roman"/>
              </w:rPr>
              <w:t>新疆乌鲁木齐沙依巴克区克拉玛依西路2577号恒昌恒业花园4栋1单元602室</w:t>
            </w:r>
          </w:p>
        </w:tc>
        <w:tc>
          <w:tcPr>
            <w:tcW w:w="1123"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地址</w:t>
            </w:r>
          </w:p>
        </w:tc>
        <w:tc>
          <w:tcPr>
            <w:tcW w:w="1314"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r>
              <w:fldChar w:fldCharType="begin"/>
            </w:r>
            <w:r>
              <w:instrText xml:space="preserve"> HYPERLINK "https://ditu.so.com/?pid=b16184175467d6da&amp;src=onebox" \t "_blank" </w:instrText>
            </w:r>
            <w:r>
              <w:fldChar w:fldCharType="separate"/>
            </w:r>
            <w:r>
              <w:rPr>
                <w:rFonts w:cs="Times New Roman"/>
                <w:color w:val="auto"/>
              </w:rPr>
              <w:t>和田市乌鲁木齐北路190号</w:t>
            </w:r>
            <w:r>
              <w:rPr>
                <w:rFonts w:cs="Times New Roman"/>
                <w:color w:val="auto"/>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0" w:type="pct"/>
            <w:gridSpan w:val="3"/>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邮编</w:t>
            </w:r>
          </w:p>
        </w:tc>
        <w:tc>
          <w:tcPr>
            <w:tcW w:w="1443" w:type="pct"/>
            <w:gridSpan w:val="5"/>
            <w:vAlign w:val="center"/>
          </w:tcPr>
          <w:p>
            <w:pPr>
              <w:pStyle w:val="73"/>
              <w:widowControl w:val="0"/>
              <w:topLinePunct/>
              <w:adjustRightInd w:val="0"/>
              <w:snapToGrid w:val="0"/>
              <w:spacing w:line="240" w:lineRule="auto"/>
              <w:jc w:val="center"/>
              <w:textAlignment w:val="center"/>
              <w:rPr>
                <w:bCs/>
                <w:color w:val="auto"/>
              </w:rPr>
            </w:pPr>
            <w:r>
              <w:rPr>
                <w:rFonts w:hint="eastAsia"/>
                <w:bCs/>
                <w:color w:val="auto"/>
              </w:rPr>
              <w:t>830000</w:t>
            </w:r>
          </w:p>
        </w:tc>
        <w:tc>
          <w:tcPr>
            <w:tcW w:w="1123"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邮编</w:t>
            </w:r>
          </w:p>
        </w:tc>
        <w:tc>
          <w:tcPr>
            <w:tcW w:w="1314"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848100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0" w:type="pct"/>
            <w:gridSpan w:val="3"/>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联系人及电话</w:t>
            </w:r>
          </w:p>
        </w:tc>
        <w:tc>
          <w:tcPr>
            <w:tcW w:w="1443" w:type="pct"/>
            <w:gridSpan w:val="5"/>
            <w:vAlign w:val="center"/>
          </w:tcPr>
          <w:p>
            <w:pPr>
              <w:pStyle w:val="73"/>
              <w:widowControl w:val="0"/>
              <w:topLinePunct/>
              <w:adjustRightInd w:val="0"/>
              <w:snapToGrid w:val="0"/>
              <w:spacing w:line="240" w:lineRule="auto"/>
              <w:jc w:val="center"/>
              <w:textAlignment w:val="center"/>
              <w:rPr>
                <w:bCs/>
                <w:color w:val="auto"/>
              </w:rPr>
            </w:pPr>
            <w:r>
              <w:rPr>
                <w:color w:val="auto"/>
              </w:rPr>
              <w:t>周建勤 19990627353</w:t>
            </w:r>
          </w:p>
        </w:tc>
        <w:tc>
          <w:tcPr>
            <w:tcW w:w="1123"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联系人及电话</w:t>
            </w:r>
          </w:p>
        </w:tc>
        <w:tc>
          <w:tcPr>
            <w:tcW w:w="1314"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r>
              <w:rPr>
                <w:rFonts w:hint="eastAsia" w:cs="Times New Roman"/>
                <w:color w:val="auto"/>
              </w:rPr>
              <w:t>刘多宏18999430988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0" w:type="pct"/>
            <w:gridSpan w:val="3"/>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传真</w:t>
            </w:r>
          </w:p>
        </w:tc>
        <w:tc>
          <w:tcPr>
            <w:tcW w:w="1443" w:type="pct"/>
            <w:gridSpan w:val="5"/>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w:t>
            </w:r>
          </w:p>
        </w:tc>
        <w:tc>
          <w:tcPr>
            <w:tcW w:w="1123"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传真</w:t>
            </w:r>
          </w:p>
        </w:tc>
        <w:tc>
          <w:tcPr>
            <w:tcW w:w="1314"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0" w:type="pct"/>
            <w:gridSpan w:val="3"/>
            <w:tcBorders>
              <w:bottom w:val="single" w:color="auto" w:sz="12" w:space="0"/>
            </w:tcBorders>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电子信箱</w:t>
            </w:r>
          </w:p>
        </w:tc>
        <w:tc>
          <w:tcPr>
            <w:tcW w:w="1443" w:type="pct"/>
            <w:gridSpan w:val="5"/>
            <w:tcBorders>
              <w:bottom w:val="single" w:color="auto" w:sz="12" w:space="0"/>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w:t>
            </w:r>
          </w:p>
        </w:tc>
        <w:tc>
          <w:tcPr>
            <w:tcW w:w="1123" w:type="pct"/>
            <w:gridSpan w:val="4"/>
            <w:tcBorders>
              <w:bottom w:val="single" w:color="auto" w:sz="12" w:space="0"/>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电子信箱</w:t>
            </w:r>
          </w:p>
        </w:tc>
        <w:tc>
          <w:tcPr>
            <w:tcW w:w="1314" w:type="pct"/>
            <w:gridSpan w:val="4"/>
            <w:tcBorders>
              <w:bottom w:val="single" w:color="auto" w:sz="12" w:space="0"/>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w:t>
            </w:r>
          </w:p>
        </w:tc>
      </w:tr>
    </w:tbl>
    <w:p>
      <w:pPr>
        <w:pStyle w:val="140"/>
        <w:sectPr>
          <w:footerReference r:id="rId13" w:type="default"/>
          <w:pgSz w:w="11906" w:h="16838"/>
          <w:pgMar w:top="1440" w:right="1803" w:bottom="1440" w:left="1803" w:header="850" w:footer="964" w:gutter="0"/>
          <w:cols w:space="720" w:num="1"/>
          <w:docGrid w:linePitch="326" w:charSpace="0"/>
        </w:sectPr>
      </w:pPr>
    </w:p>
    <w:bookmarkEnd w:id="134"/>
    <w:bookmarkEnd w:id="135"/>
    <w:p>
      <w:pPr>
        <w:pStyle w:val="50"/>
        <w:widowControl/>
        <w:numPr>
          <w:ilvl w:val="0"/>
          <w:numId w:val="1"/>
        </w:numPr>
        <w:tabs>
          <w:tab w:val="clear" w:pos="432"/>
        </w:tabs>
        <w:spacing w:beforeLines="100" w:afterLines="100"/>
        <w:rPr>
          <w:rFonts w:eastAsia="仿宋_GB2312"/>
          <w:sz w:val="32"/>
          <w:szCs w:val="32"/>
        </w:rPr>
      </w:pPr>
      <w:bookmarkStart w:id="136" w:name="_Toc7801547"/>
      <w:bookmarkStart w:id="137" w:name="_Toc50221497"/>
      <w:bookmarkStart w:id="138" w:name="_Toc7801454"/>
      <w:bookmarkStart w:id="139" w:name="_Toc7801387"/>
      <w:r>
        <w:rPr>
          <w:rFonts w:eastAsia="仿宋_GB2312"/>
          <w:sz w:val="32"/>
          <w:szCs w:val="32"/>
        </w:rPr>
        <w:t>项目概况</w:t>
      </w:r>
      <w:bookmarkEnd w:id="136"/>
      <w:bookmarkEnd w:id="137"/>
      <w:bookmarkEnd w:id="138"/>
      <w:bookmarkEnd w:id="139"/>
    </w:p>
    <w:p>
      <w:pPr>
        <w:pStyle w:val="3"/>
        <w:widowControl/>
        <w:numPr>
          <w:ilvl w:val="1"/>
          <w:numId w:val="1"/>
        </w:numPr>
        <w:tabs>
          <w:tab w:val="clear" w:pos="1002"/>
        </w:tabs>
        <w:topLinePunct w:val="0"/>
        <w:adjustRightInd/>
        <w:snapToGrid/>
        <w:ind w:left="0" w:firstLine="0"/>
        <w:jc w:val="both"/>
        <w:rPr>
          <w:rFonts w:eastAsia="仿宋_GB2312"/>
        </w:rPr>
      </w:pPr>
      <w:bookmarkStart w:id="140" w:name="_Toc7801455"/>
      <w:bookmarkStart w:id="141" w:name="_Toc7801548"/>
      <w:bookmarkStart w:id="142" w:name="_Toc7801388"/>
      <w:bookmarkStart w:id="143" w:name="_Toc50221498"/>
      <w:r>
        <w:rPr>
          <w:rFonts w:eastAsia="仿宋_GB2312"/>
        </w:rPr>
        <w:t>项目组成及工程布置</w:t>
      </w:r>
      <w:bookmarkEnd w:id="140"/>
      <w:bookmarkEnd w:id="141"/>
      <w:bookmarkEnd w:id="142"/>
      <w:bookmarkEnd w:id="143"/>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项目基本情况</w:t>
      </w:r>
    </w:p>
    <w:p>
      <w:pPr>
        <w:ind w:firstLine="480"/>
        <w:rPr>
          <w:rFonts w:eastAsia="仿宋_GB2312"/>
        </w:rPr>
      </w:pPr>
      <w:r>
        <w:rPr>
          <w:rFonts w:eastAsia="仿宋_GB2312"/>
          <w:b/>
        </w:rPr>
        <w:t>项目名称：</w:t>
      </w:r>
      <w:r>
        <w:rPr>
          <w:rFonts w:hint="eastAsia" w:eastAsia="仿宋_GB2312"/>
          <w:color w:val="000000"/>
        </w:rPr>
        <w:t>第十四师224团团部污水管网改造项目</w:t>
      </w:r>
    </w:p>
    <w:p>
      <w:pPr>
        <w:ind w:firstLine="480"/>
        <w:rPr>
          <w:rFonts w:eastAsia="仿宋_GB2312"/>
          <w:b/>
        </w:rPr>
      </w:pPr>
      <w:r>
        <w:rPr>
          <w:rFonts w:eastAsia="仿宋_GB2312"/>
          <w:b/>
        </w:rPr>
        <w:t>建设单位：</w:t>
      </w:r>
      <w:r>
        <w:rPr>
          <w:rFonts w:eastAsia="仿宋_GB2312"/>
          <w:color w:val="000000"/>
        </w:rPr>
        <w:t>第十四师水利工程管理服务中心</w:t>
      </w:r>
    </w:p>
    <w:p>
      <w:pPr>
        <w:tabs>
          <w:tab w:val="left" w:pos="840"/>
          <w:tab w:val="left" w:pos="1485"/>
        </w:tabs>
        <w:ind w:firstLine="480"/>
        <w:rPr>
          <w:rFonts w:eastAsia="仿宋_GB2312"/>
          <w:color w:val="000000"/>
        </w:rPr>
      </w:pPr>
      <w:r>
        <w:rPr>
          <w:rFonts w:eastAsia="仿宋_GB2312"/>
          <w:b/>
        </w:rPr>
        <w:t>建设地点：</w:t>
      </w:r>
      <w:r>
        <w:rPr>
          <w:rFonts w:eastAsia="仿宋_GB2312"/>
        </w:rPr>
        <w:t>本项目位于</w:t>
      </w:r>
      <w:r>
        <w:rPr>
          <w:rFonts w:eastAsia="仿宋_GB2312"/>
          <w:color w:val="000000"/>
        </w:rPr>
        <w:t>新疆</w:t>
      </w:r>
      <w:r>
        <w:rPr>
          <w:rFonts w:hint="eastAsia" w:eastAsia="仿宋_GB2312"/>
          <w:color w:val="000000"/>
        </w:rPr>
        <w:t>生产建设兵团第十四师224团境内，224团距离东侧和田市约60km，</w:t>
      </w:r>
      <w:r>
        <w:rPr>
          <w:rFonts w:hint="eastAsia" w:eastAsia="仿宋_GB2312"/>
        </w:rPr>
        <w:t>224团南侧为G315国道，本项目所在的224</w:t>
      </w:r>
      <w:r>
        <w:rPr>
          <w:rFonts w:eastAsia="仿宋_GB2312"/>
        </w:rPr>
        <w:t>团</w:t>
      </w:r>
      <w:r>
        <w:rPr>
          <w:rFonts w:hint="eastAsia" w:eastAsia="仿宋_GB2312"/>
        </w:rPr>
        <w:t>团部市政道路较为完善，与周边县市的交通来往非常便利</w:t>
      </w:r>
      <w:r>
        <w:rPr>
          <w:rFonts w:eastAsia="仿宋_GB2312"/>
        </w:rPr>
        <w:t>。</w:t>
      </w:r>
    </w:p>
    <w:p>
      <w:pPr>
        <w:ind w:firstLine="480"/>
        <w:rPr>
          <w:rFonts w:eastAsia="仿宋_GB2312"/>
          <w:color w:val="000000"/>
        </w:rPr>
      </w:pPr>
      <w:r>
        <w:rPr>
          <w:rFonts w:eastAsia="仿宋_GB2312"/>
          <w:b/>
        </w:rPr>
        <w:t>建设性质：</w:t>
      </w:r>
      <w:r>
        <w:rPr>
          <w:rFonts w:eastAsia="仿宋_GB2312"/>
          <w:color w:val="000000"/>
        </w:rPr>
        <w:t>新建</w:t>
      </w:r>
    </w:p>
    <w:p>
      <w:pPr>
        <w:tabs>
          <w:tab w:val="left" w:pos="840"/>
          <w:tab w:val="left" w:pos="1485"/>
        </w:tabs>
        <w:ind w:firstLine="480"/>
        <w:rPr>
          <w:rFonts w:eastAsia="仿宋_GB2312"/>
        </w:rPr>
      </w:pPr>
      <w:r>
        <w:rPr>
          <w:rFonts w:hint="eastAsia" w:eastAsia="仿宋_GB2312"/>
          <w:b/>
        </w:rPr>
        <w:t>主要建设内容：</w:t>
      </w:r>
      <w:r>
        <w:rPr>
          <w:rFonts w:hint="eastAsia" w:eastAsia="仿宋_GB2312"/>
        </w:rPr>
        <w:t>本项目</w:t>
      </w:r>
      <w:r>
        <w:rPr>
          <w:rFonts w:eastAsia="仿宋_GB2312"/>
        </w:rPr>
        <w:t>主要</w:t>
      </w:r>
      <w:r>
        <w:rPr>
          <w:rFonts w:hint="eastAsia" w:eastAsia="仿宋_GB2312"/>
        </w:rPr>
        <w:t>是对224团团部污水管网进行改造，</w:t>
      </w:r>
      <w:r>
        <w:rPr>
          <w:rFonts w:eastAsia="仿宋_GB2312"/>
        </w:rPr>
        <w:t>改造</w:t>
      </w:r>
      <w:r>
        <w:rPr>
          <w:rFonts w:hint="eastAsia" w:eastAsia="仿宋_GB2312"/>
        </w:rPr>
        <w:t>排水管道4629</w:t>
      </w:r>
      <w:r>
        <w:rPr>
          <w:rFonts w:eastAsia="仿宋_GB2312"/>
        </w:rPr>
        <w:t>m，</w:t>
      </w:r>
      <w:r>
        <w:rPr>
          <w:rFonts w:hint="eastAsia" w:eastAsia="仿宋_GB2312"/>
        </w:rPr>
        <w:t>以及管道附属设施，购买吸污车</w:t>
      </w:r>
      <w:r>
        <w:rPr>
          <w:rFonts w:eastAsia="仿宋_GB2312"/>
        </w:rPr>
        <w:t>1</w:t>
      </w:r>
      <w:r>
        <w:rPr>
          <w:rFonts w:hint="eastAsia" w:eastAsia="仿宋_GB2312"/>
        </w:rPr>
        <w:t>辆、疏通车</w:t>
      </w:r>
      <w:r>
        <w:rPr>
          <w:rFonts w:eastAsia="仿宋_GB2312"/>
        </w:rPr>
        <w:t>1</w:t>
      </w:r>
      <w:r>
        <w:rPr>
          <w:rFonts w:hint="eastAsia" w:eastAsia="仿宋_GB2312"/>
        </w:rPr>
        <w:t>辆。</w:t>
      </w:r>
    </w:p>
    <w:p>
      <w:pPr>
        <w:tabs>
          <w:tab w:val="left" w:pos="840"/>
          <w:tab w:val="left" w:pos="1485"/>
        </w:tabs>
        <w:ind w:firstLine="480"/>
        <w:rPr>
          <w:rFonts w:eastAsia="仿宋_GB2312"/>
        </w:rPr>
      </w:pPr>
      <w:r>
        <w:rPr>
          <w:rFonts w:eastAsia="仿宋_GB2312"/>
          <w:b/>
        </w:rPr>
        <w:t>建设工期：</w:t>
      </w:r>
      <w:r>
        <w:rPr>
          <w:rFonts w:hint="eastAsia" w:eastAsia="仿宋_GB2312"/>
        </w:rPr>
        <w:t>2020年11月-2020年12月</w:t>
      </w:r>
      <w:r>
        <w:rPr>
          <w:rFonts w:eastAsia="仿宋_GB2312"/>
        </w:rPr>
        <w:t>，总工期</w:t>
      </w:r>
      <w:r>
        <w:rPr>
          <w:rFonts w:hint="eastAsia" w:eastAsia="仿宋_GB2312"/>
        </w:rPr>
        <w:t>2</w:t>
      </w:r>
      <w:r>
        <w:rPr>
          <w:rFonts w:eastAsia="仿宋_GB2312"/>
        </w:rPr>
        <w:t>个月。</w:t>
      </w:r>
    </w:p>
    <w:p>
      <w:pPr>
        <w:tabs>
          <w:tab w:val="left" w:pos="840"/>
          <w:tab w:val="left" w:pos="1485"/>
        </w:tabs>
        <w:ind w:firstLine="480"/>
        <w:rPr>
          <w:rFonts w:eastAsia="仿宋_GB2312"/>
          <w:color w:val="000000"/>
        </w:rPr>
      </w:pPr>
      <w:r>
        <w:rPr>
          <w:rFonts w:eastAsia="仿宋_GB2312"/>
          <w:b/>
        </w:rPr>
        <w:t>总投资：</w:t>
      </w:r>
      <w:r>
        <w:rPr>
          <w:rFonts w:eastAsia="仿宋_GB2312"/>
        </w:rPr>
        <w:t>本工程总投资</w:t>
      </w:r>
      <w:r>
        <w:rPr>
          <w:rFonts w:hint="eastAsia" w:eastAsia="仿宋_GB2312"/>
        </w:rPr>
        <w:t>650</w:t>
      </w:r>
      <w:r>
        <w:rPr>
          <w:rFonts w:eastAsia="仿宋_GB2312"/>
        </w:rPr>
        <w:t>万元，</w:t>
      </w:r>
      <w:r>
        <w:rPr>
          <w:rFonts w:hint="eastAsia" w:eastAsia="仿宋_GB2312"/>
        </w:rPr>
        <w:t>土建投资528.2万元</w:t>
      </w:r>
      <w:r>
        <w:rPr>
          <w:rFonts w:eastAsia="仿宋_GB2312"/>
        </w:rPr>
        <w:t>，</w:t>
      </w:r>
      <w:r>
        <w:rPr>
          <w:rFonts w:hint="eastAsia" w:eastAsia="仿宋_GB2312"/>
          <w:color w:val="000000"/>
        </w:rPr>
        <w:t>资金来源为申请抗疫特别国债资金600万元，师市本级财政性资金50万元。</w:t>
      </w:r>
    </w:p>
    <w:p>
      <w:pPr>
        <w:tabs>
          <w:tab w:val="left" w:pos="840"/>
          <w:tab w:val="left" w:pos="1485"/>
        </w:tabs>
        <w:ind w:firstLine="480"/>
        <w:rPr>
          <w:rFonts w:eastAsia="仿宋_GB2312"/>
        </w:rPr>
      </w:pPr>
      <w:r>
        <w:rPr>
          <w:rFonts w:eastAsia="仿宋_GB2312"/>
        </w:rPr>
        <w:t>工程特性见表2.1-1。</w:t>
      </w:r>
    </w:p>
    <w:p>
      <w:pPr>
        <w:tabs>
          <w:tab w:val="left" w:pos="840"/>
          <w:tab w:val="left" w:pos="1485"/>
        </w:tabs>
        <w:spacing w:line="240" w:lineRule="auto"/>
        <w:ind w:firstLine="0" w:firstLineChars="0"/>
        <w:jc w:val="center"/>
        <w:rPr>
          <w:rFonts w:eastAsia="仿宋_GB2312"/>
          <w:b/>
        </w:rPr>
      </w:pPr>
      <w:r>
        <w:rPr>
          <w:rFonts w:eastAsia="仿宋_GB2312"/>
          <w:b/>
        </w:rPr>
        <w:pict>
          <v:shape id="_x0000_s1026" o:spid="_x0000_s1026" o:spt="202" type="#_x0000_t202" style="position:absolute;left:0pt;margin-left:69.1pt;margin-top:76.5pt;height:24.75pt;width:71.25pt;z-index:254206976;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hLGgIAAPkDAAAOAAAAZHJzL2Uyb0RvYy54bWysU81uEzEQviPxDpbvZJM0oe0qm6q0FCGV&#10;H6nwABOvN2the4ztZLc8ALwBJy7cea48B2NvGqJyQ+zB8uzMfDPfN+PFRW8020ofFNqKT0ZjzqQV&#10;WCu7rvjHDzfPzjgLEWwNGq2s+L0M/GL59Mmic6WcYou6lp4RiA1l5yrexujKogiilQbCCJ205GzQ&#10;G4hk+nVRe+gI3ehiOh4/Lzr0tfMoZAj093pw8mXGbxop4rumCTIyXXHqLebT53OVzmK5gHLtwbVK&#10;7NuAf+jCgLJU9AB1DRHYxqu/oIwSHgM2cSTQFNg0SsjMgdhMxo/Y3LXgZOZC4gR3kCn8P1jxdvve&#10;M1VXnAZlwdCIdt+/7X782v38yqZJns6FkqLuHMXF/gX2NOZMNbhbFJ8Cs3jVgl3LS++xayXU1N4k&#10;ZRZHqQNOSCCr7g3WVAc2ETNQ33iTtCM1GKHTmO4Po5F9ZIJ+no9nZ6dzzgS5Tiazk+k8V4DyIdn5&#10;EF9JNCxdKu5p8hkctrchpmagfAhJtSzeKK3z9LVlHRWYE+Qjj1GRllMrQ+qM0zesS+L40tY5OYLS&#10;w50KaLsnnXgOjGO/6rO8By1XWN+TCh6HXaS3Q5cW/RfOOtrDiofPG/CSM/3akpLnk9ksLW42ZvPT&#10;KRn+2LM69oAVBFXxyNlwvYp52Qdil6R4o7IaaTRDJ/uWab+ySPu3kBb42M5Rf17s8jcAAAD//wMA&#10;UEsDBBQABgAIAAAAIQCT2raA3gAAAAsBAAAPAAAAZHJzL2Rvd25yZXYueG1sTI/BTsMwEETvSPyD&#10;tZW4UbspoWkap0IgrqAWisTNjbdJRLyOYrcJf89ygtuM9ml2pthOrhMXHELrScNirkAgVd62VGt4&#10;f3u+zUCEaMiazhNq+MYA2/L6qjC59SPt8LKPteAQCrnR0MTY51KGqkFnwtz3SHw7+cGZyHaopR3M&#10;yOGuk4lS99KZlvhDY3p8bLD62p+dhsPL6fPjTr3WTy7tRz8pSW4ttb6ZTQ8bEBGn+AfDb32uDiV3&#10;Ovoz2SA69sssYZRFuuRRTCSZWoE4slBJCrIs5P8N5Q8AAAD//wMAUEsBAi0AFAAGAAgAAAAhALaD&#10;OJL+AAAA4QEAABMAAAAAAAAAAAAAAAAAAAAAAFtDb250ZW50X1R5cGVzXS54bWxQSwECLQAUAAYA&#10;CAAAACEAOP0h/9YAAACUAQAACwAAAAAAAAAAAAAAAAAvAQAAX3JlbHMvLnJlbHNQSwECLQAUAAYA&#10;CAAAACEAKT44SxoCAAD5AwAADgAAAAAAAAAAAAAAAAAuAgAAZHJzL2Uyb0RvYy54bWxQSwECLQAU&#10;AAYACAAAACEAk9q2gN4AAAALAQAADwAAAAAAAAAAAAAAAAB0BAAAZHJzL2Rvd25yZXYueG1sUEsF&#10;BgAAAAAEAAQA8wAAAH8FAAAAAA==&#10;">
            <v:path/>
            <v:fill on="f" focussize="0,0"/>
            <v:stroke on="f" joinstyle="miter"/>
            <v:imagedata o:title=""/>
            <o:lock v:ext="edit"/>
            <v:textbox>
              <w:txbxContent>
                <w:p>
                  <w:pPr>
                    <w:ind w:firstLine="0" w:firstLineChars="0"/>
                    <w:rPr>
                      <w:b/>
                      <w:color w:val="FF0000"/>
                      <w:sz w:val="32"/>
                      <w:szCs w:val="32"/>
                    </w:rPr>
                  </w:pPr>
                  <w:r>
                    <w:rPr>
                      <w:rFonts w:hint="eastAsia"/>
                      <w:b/>
                      <w:color w:val="FF0000"/>
                      <w:sz w:val="32"/>
                      <w:szCs w:val="32"/>
                    </w:rPr>
                    <w:t>本项目</w:t>
                  </w:r>
                </w:p>
              </w:txbxContent>
            </v:textbox>
          </v:shape>
        </w:pict>
      </w:r>
      <w:r>
        <w:pict>
          <v:shape id="五角星 6" o:spid="_x0000_s1051" style="position:absolute;left:0pt;margin-left:85.35pt;margin-top:49.45pt;height:24.75pt;width:25.5pt;z-index:254204928;v-text-anchor:middle;mso-width-relative:margin;mso-height-relative:margin;" fillcolor="#FF0000" filled="t" stroked="t" coordsize="3238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AiowIAAK4FAAAOAAAAZHJzL2Uyb0RvYy54bWysVM1uEzEQviPxDpbvdPNbStRNFbUKQqpK&#10;RYt6drx2diWvx9hONuExEAduHHkHngchHoOxvbsNpeJQkYMz45n5PPPtzJye7WpFtsK6CnROh0cD&#10;SoTmUFR6ndP3t8sXJ5Q4z3TBFGiR071w9Gz+/NlpY2ZiBCWoQliCINrNGpPT0nszyzLHS1EzdwRG&#10;aDRKsDXzqNp1VljWIHqtstFgcJw1YAtjgQvn8PYiGek84kspuH8rpROeqJxibj6eNp6rcGbzUzZb&#10;W2bKirdpsCdkUbNK46M91AXzjGxs9RdUXXELDqQ/4lBnIGXFRawBqxkOHlRzUzIjYi1IjjM9Te7/&#10;wfKr7bUlVZHTY0o0q/ET/fj++de3Tz+/fCXHgZ7GuBl63Zhr22oOxVDrTto6/GMVZBcp3feUip0n&#10;HC/Ho/HJFInnaBoPJ+PRNGBm98HGOv9aQE2CkFPsFTuNTLLtpfPJt/MJjzlQVbGslIqKXa/OlSVb&#10;hp93uRzgr4X/w03pp0VimiE0CxSkoqPk90oEQKXfCYncYZmjmHLsWtEnxDgX2g+TqWSFSHlOD9MM&#10;fR4iIicRMCBLrK/HbgE6zwTSYSeCWv8QKmLT98GDfyWWgvuI+DJo3wfXlQb7GIDCqtqXk39HUqIm&#10;sLSCYo+dZSGNnDN8WeEXvmTOXzOLM4ZNgXvDv8VDKmhyCq1ESQn242P3wR9bH62UNDiz2C4fNswK&#10;StQbjUPxajiZhCGPymT6coSKPbSsDi16U58D9s0QN5ThUQz+XnWitFDf4XpZhFfRxDTHt3PKve2U&#10;c592CS4oLhaL6IaDbZi/1DeGB/DAamjg290ds6Ztc4/zcQXdfLPZg2ZPviFSw2LjQVZxEu55bfnG&#10;pRAbp11gYesc6tHrfs3OfwMAAP//AwBQSwMEFAAGAAgAAAAhANrQepnhAAAACgEAAA8AAABkcnMv&#10;ZG93bnJldi54bWxMj9tOwzAQRN+R+AdrkXhB1GlU0STEqaqWiyqhSr18gBsvSYQvwXbawNezPMHj&#10;7BzNzpSL0Wh2Rh86ZwVMJwkwtLVTnW0EHA/P9xmwEKVVUjuLAr4wwKK6viplodzF7vC8jw2jEBsK&#10;KaCNsS84D3WLRoaJ69GS9+68kZGkb7jy8kLhRvM0SR64kZ2lD63scdVi/bEfjIDX9ctW+833aj0s&#10;1dNnvnvbNndBiNubcfkILOIY/2D4rU/VoaJOJzdYFZgmPU/mhArIsxwYAWk6pcOJnFk2A16V/P+E&#10;6gcAAP//AwBQSwECLQAUAAYACAAAACEAtoM4kv4AAADhAQAAEwAAAAAAAAAAAAAAAAAAAAAAW0Nv&#10;bnRlbnRfVHlwZXNdLnhtbFBLAQItABQABgAIAAAAIQA4/SH/1gAAAJQBAAALAAAAAAAAAAAAAAAA&#10;AC8BAABfcmVscy8ucmVsc1BLAQItABQABgAIAAAAIQAClEAiowIAAK4FAAAOAAAAAAAAAAAAAAAA&#10;AC4CAABkcnMvZTJvRG9jLnhtbFBLAQItABQABgAIAAAAIQDa0HqZ4QAAAAoBAAAPAAAAAAAAAAAA&#10;AAAAAP0EAABkcnMvZG93bnJldi54bWxQSwUGAAAAAAQABADzAAAACwYAAAAA&#10;" path="m0,120061l123700,120062,161925,0,200150,120062,323850,120061,223774,194263,262000,314324,161925,240121,61850,314324,100076,194263,0,120061xe">
            <v:path arrowok="t" o:connecttype="custom" o:connectlocs="0,120061;123700,120062;161925,0;200150,120062;323850,120061;223774,194263;262000,314324;161925,240121;61850,314324;100076,194263;0,120061" o:connectangles="0,0,0,0,0,0,0,0,0,0,0"/>
            <v:fill on="t" focussize="0,0"/>
            <v:stroke weight="2pt" color="#FF0000"/>
            <v:imagedata o:title=""/>
            <o:lock v:ext="edit"/>
          </v:shape>
        </w:pict>
      </w:r>
      <w:r>
        <w:drawing>
          <wp:inline distT="0" distB="0" distL="0" distR="0">
            <wp:extent cx="5270500" cy="3396615"/>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cstate="print"/>
                    <a:stretch>
                      <a:fillRect/>
                    </a:stretch>
                  </pic:blipFill>
                  <pic:spPr>
                    <a:xfrm>
                      <a:off x="0" y="0"/>
                      <a:ext cx="5270500" cy="3396615"/>
                    </a:xfrm>
                    <a:prstGeom prst="rect">
                      <a:avLst/>
                    </a:prstGeom>
                  </pic:spPr>
                </pic:pic>
              </a:graphicData>
            </a:graphic>
          </wp:inline>
        </w:drawing>
      </w:r>
    </w:p>
    <w:p>
      <w:pPr>
        <w:tabs>
          <w:tab w:val="left" w:pos="840"/>
          <w:tab w:val="left" w:pos="1485"/>
        </w:tabs>
        <w:spacing w:line="240" w:lineRule="auto"/>
        <w:ind w:firstLine="0" w:firstLineChars="0"/>
        <w:jc w:val="center"/>
        <w:rPr>
          <w:rFonts w:eastAsia="仿宋_GB2312"/>
          <w:b/>
        </w:rPr>
        <w:sectPr>
          <w:headerReference r:id="rId14" w:type="default"/>
          <w:pgSz w:w="11906" w:h="16838"/>
          <w:pgMar w:top="1440" w:right="1803" w:bottom="1440" w:left="1803" w:header="851" w:footer="850" w:gutter="0"/>
          <w:cols w:space="720" w:num="1"/>
          <w:docGrid w:linePitch="326" w:charSpace="0"/>
        </w:sectPr>
      </w:pPr>
      <w:r>
        <w:rPr>
          <w:rFonts w:eastAsia="仿宋_GB2312"/>
          <w:b/>
        </w:rPr>
        <w:t>图2.</w:t>
      </w:r>
      <w:r>
        <w:rPr>
          <w:rFonts w:hint="eastAsia" w:eastAsia="仿宋_GB2312"/>
          <w:b/>
        </w:rPr>
        <w:t>1</w:t>
      </w:r>
      <w:r>
        <w:rPr>
          <w:rFonts w:eastAsia="仿宋_GB2312"/>
          <w:b/>
        </w:rPr>
        <w:t>-1</w:t>
      </w:r>
      <w:r>
        <w:rPr>
          <w:rFonts w:hint="eastAsia" w:eastAsia="仿宋_GB2312"/>
          <w:b/>
        </w:rPr>
        <w:t>项目</w:t>
      </w:r>
      <w:r>
        <w:rPr>
          <w:rFonts w:hint="eastAsia" w:eastAsia="仿宋_GB2312"/>
          <w:b/>
          <w:color w:val="000000"/>
        </w:rPr>
        <w:t>地理位置</w:t>
      </w:r>
      <w:r>
        <w:rPr>
          <w:rFonts w:hint="eastAsia" w:eastAsia="仿宋_GB2312"/>
          <w:b/>
        </w:rPr>
        <w:t>示意图</w:t>
      </w:r>
    </w:p>
    <w:p>
      <w:pPr>
        <w:tabs>
          <w:tab w:val="left" w:pos="840"/>
          <w:tab w:val="left" w:pos="1485"/>
        </w:tabs>
        <w:spacing w:line="240" w:lineRule="auto"/>
        <w:ind w:firstLine="0" w:firstLineChars="0"/>
        <w:jc w:val="center"/>
        <w:rPr>
          <w:rFonts w:eastAsia="仿宋_GB2312"/>
        </w:rPr>
      </w:pPr>
      <w:r>
        <w:rPr>
          <w:rFonts w:eastAsia="仿宋_GB2312"/>
          <w:b/>
        </w:rPr>
        <w:t>表2.1-1   工程主要技术经济指标表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964"/>
        <w:gridCol w:w="766"/>
        <w:gridCol w:w="10"/>
        <w:gridCol w:w="702"/>
        <w:gridCol w:w="72"/>
        <w:gridCol w:w="654"/>
        <w:gridCol w:w="581"/>
        <w:gridCol w:w="36"/>
        <w:gridCol w:w="555"/>
        <w:gridCol w:w="581"/>
        <w:gridCol w:w="112"/>
        <w:gridCol w:w="472"/>
        <w:gridCol w:w="581"/>
        <w:gridCol w:w="204"/>
        <w:gridCol w:w="382"/>
        <w:gridCol w:w="581"/>
        <w:gridCol w:w="5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8"/>
            <w:vAlign w:val="center"/>
          </w:tcPr>
          <w:p>
            <w:pPr>
              <w:autoSpaceDE w:val="0"/>
              <w:autoSpaceDN w:val="0"/>
              <w:spacing w:line="0" w:lineRule="atLeast"/>
              <w:ind w:right="-20" w:firstLine="0" w:firstLineChars="0"/>
              <w:jc w:val="center"/>
              <w:rPr>
                <w:rFonts w:eastAsia="仿宋_GB2312"/>
                <w:b/>
                <w:position w:val="-2"/>
                <w:sz w:val="21"/>
                <w:szCs w:val="21"/>
              </w:rPr>
            </w:pPr>
            <w:bookmarkStart w:id="144" w:name="RANGE!C7:N31"/>
            <w:bookmarkEnd w:id="144"/>
            <w:bookmarkStart w:id="145" w:name="RANGE!C7:N33"/>
            <w:bookmarkEnd w:id="145"/>
            <w:bookmarkStart w:id="146" w:name="RANGE!C7:N34"/>
            <w:bookmarkEnd w:id="146"/>
            <w:r>
              <w:rPr>
                <w:rFonts w:eastAsia="仿宋_GB2312"/>
                <w:b/>
                <w:position w:val="-2"/>
                <w:sz w:val="21"/>
                <w:szCs w:val="21"/>
              </w:rPr>
              <w:t>一、工程概况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项目名称</w:t>
            </w:r>
          </w:p>
        </w:tc>
        <w:tc>
          <w:tcPr>
            <w:tcW w:w="4042" w:type="pct"/>
            <w:gridSpan w:val="16"/>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第十四师224团团部污水管网改造项目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建设单位</w:t>
            </w:r>
          </w:p>
        </w:tc>
        <w:tc>
          <w:tcPr>
            <w:tcW w:w="4042" w:type="pct"/>
            <w:gridSpan w:val="16"/>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第十四师水利工程管理服务中心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建设地点</w:t>
            </w:r>
          </w:p>
        </w:tc>
        <w:tc>
          <w:tcPr>
            <w:tcW w:w="4042" w:type="pct"/>
            <w:gridSpan w:val="16"/>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新疆</w:t>
            </w:r>
            <w:r>
              <w:rPr>
                <w:rFonts w:hint="eastAsia" w:eastAsia="仿宋_GB2312"/>
                <w:position w:val="-2"/>
                <w:sz w:val="21"/>
                <w:szCs w:val="21"/>
              </w:rPr>
              <w:t>生产建设兵团第十四师224团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建设性质</w:t>
            </w:r>
          </w:p>
        </w:tc>
        <w:tc>
          <w:tcPr>
            <w:tcW w:w="4042" w:type="pct"/>
            <w:gridSpan w:val="16"/>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内容</w:t>
            </w:r>
          </w:p>
        </w:tc>
        <w:tc>
          <w:tcPr>
            <w:tcW w:w="4042" w:type="pct"/>
            <w:gridSpan w:val="16"/>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改造</w:t>
            </w:r>
            <w:r>
              <w:rPr>
                <w:rFonts w:hint="eastAsia" w:eastAsia="仿宋_GB2312"/>
                <w:position w:val="-2"/>
                <w:sz w:val="21"/>
                <w:szCs w:val="21"/>
              </w:rPr>
              <w:t>排水管道4629</w:t>
            </w:r>
            <w:r>
              <w:rPr>
                <w:rFonts w:eastAsia="仿宋_GB2312"/>
                <w:position w:val="-2"/>
                <w:sz w:val="21"/>
                <w:szCs w:val="21"/>
              </w:rPr>
              <w:t>m，</w:t>
            </w:r>
            <w:r>
              <w:rPr>
                <w:rFonts w:hint="eastAsia" w:eastAsia="仿宋_GB2312"/>
                <w:position w:val="-2"/>
                <w:sz w:val="21"/>
                <w:szCs w:val="21"/>
              </w:rPr>
              <w:t>以及管道附属设施，购买吸污车</w:t>
            </w:r>
            <w:r>
              <w:rPr>
                <w:rFonts w:eastAsia="仿宋_GB2312"/>
                <w:position w:val="-2"/>
                <w:sz w:val="21"/>
                <w:szCs w:val="21"/>
              </w:rPr>
              <w:t>1</w:t>
            </w:r>
            <w:r>
              <w:rPr>
                <w:rFonts w:hint="eastAsia" w:eastAsia="仿宋_GB2312"/>
                <w:position w:val="-2"/>
                <w:sz w:val="21"/>
                <w:szCs w:val="21"/>
              </w:rPr>
              <w:t>辆、疏通车</w:t>
            </w:r>
            <w:r>
              <w:rPr>
                <w:rFonts w:eastAsia="仿宋_GB2312"/>
                <w:position w:val="-2"/>
                <w:sz w:val="21"/>
                <w:szCs w:val="21"/>
              </w:rPr>
              <w:t>1</w:t>
            </w:r>
            <w:r>
              <w:rPr>
                <w:rFonts w:hint="eastAsia" w:eastAsia="仿宋_GB2312"/>
                <w:position w:val="-2"/>
                <w:sz w:val="21"/>
                <w:szCs w:val="21"/>
              </w:rPr>
              <w:t>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投资</w:t>
            </w:r>
          </w:p>
        </w:tc>
        <w:tc>
          <w:tcPr>
            <w:tcW w:w="4042" w:type="pct"/>
            <w:gridSpan w:val="16"/>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建设总资金</w:t>
            </w:r>
            <w:r>
              <w:rPr>
                <w:rFonts w:hint="eastAsia" w:eastAsia="仿宋_GB2312"/>
                <w:position w:val="-2"/>
                <w:sz w:val="21"/>
                <w:szCs w:val="21"/>
              </w:rPr>
              <w:t>650</w:t>
            </w:r>
            <w:r>
              <w:rPr>
                <w:rFonts w:eastAsia="仿宋_GB2312"/>
                <w:position w:val="-2"/>
                <w:sz w:val="21"/>
                <w:szCs w:val="21"/>
              </w:rPr>
              <w:t>万元</w:t>
            </w:r>
            <w:r>
              <w:rPr>
                <w:rFonts w:hint="eastAsia" w:eastAsia="仿宋_GB2312"/>
                <w:position w:val="-2"/>
                <w:sz w:val="21"/>
                <w:szCs w:val="21"/>
              </w:rPr>
              <w:t>，其中土建投资528.2</w:t>
            </w:r>
            <w:r>
              <w:rPr>
                <w:rFonts w:eastAsia="仿宋_GB2312"/>
                <w:position w:val="-2"/>
                <w:sz w:val="21"/>
                <w:szCs w:val="21"/>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工期</w:t>
            </w:r>
          </w:p>
        </w:tc>
        <w:tc>
          <w:tcPr>
            <w:tcW w:w="4042" w:type="pct"/>
            <w:gridSpan w:val="16"/>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2</w:t>
            </w:r>
            <w:r>
              <w:rPr>
                <w:rFonts w:eastAsia="仿宋_GB2312"/>
                <w:position w:val="-2"/>
                <w:sz w:val="21"/>
                <w:szCs w:val="21"/>
              </w:rPr>
              <w:t>个月，20</w:t>
            </w:r>
            <w:r>
              <w:rPr>
                <w:rFonts w:hint="eastAsia" w:eastAsia="仿宋_GB2312"/>
                <w:position w:val="-2"/>
                <w:sz w:val="21"/>
                <w:szCs w:val="21"/>
              </w:rPr>
              <w:t>20</w:t>
            </w:r>
            <w:r>
              <w:rPr>
                <w:rFonts w:eastAsia="仿宋_GB2312"/>
                <w:position w:val="-2"/>
                <w:sz w:val="21"/>
                <w:szCs w:val="21"/>
              </w:rPr>
              <w:t>年</w:t>
            </w:r>
            <w:r>
              <w:rPr>
                <w:rFonts w:hint="eastAsia" w:eastAsia="仿宋_GB2312"/>
                <w:position w:val="-2"/>
                <w:sz w:val="21"/>
                <w:szCs w:val="21"/>
              </w:rPr>
              <w:t>11</w:t>
            </w:r>
            <w:r>
              <w:rPr>
                <w:rFonts w:eastAsia="仿宋_GB2312"/>
                <w:position w:val="-2"/>
                <w:sz w:val="21"/>
                <w:szCs w:val="21"/>
              </w:rPr>
              <w:t>月-20</w:t>
            </w:r>
            <w:r>
              <w:rPr>
                <w:rFonts w:hint="eastAsia" w:eastAsia="仿宋_GB2312"/>
                <w:position w:val="-2"/>
                <w:sz w:val="21"/>
                <w:szCs w:val="21"/>
              </w:rPr>
              <w:t>20</w:t>
            </w:r>
            <w:r>
              <w:rPr>
                <w:rFonts w:eastAsia="仿宋_GB2312"/>
                <w:position w:val="-2"/>
                <w:sz w:val="21"/>
                <w:szCs w:val="21"/>
              </w:rPr>
              <w:t>年</w:t>
            </w:r>
            <w:r>
              <w:rPr>
                <w:rFonts w:hint="eastAsia" w:eastAsia="仿宋_GB2312"/>
                <w:position w:val="-2"/>
                <w:sz w:val="21"/>
                <w:szCs w:val="21"/>
              </w:rPr>
              <w:t>12</w:t>
            </w:r>
            <w:r>
              <w:rPr>
                <w:rFonts w:eastAsia="仿宋_GB2312"/>
                <w:position w:val="-2"/>
                <w:sz w:val="21"/>
                <w:szCs w:val="21"/>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8"/>
            <w:vAlign w:val="center"/>
          </w:tcPr>
          <w:p>
            <w:pPr>
              <w:autoSpaceDE w:val="0"/>
              <w:autoSpaceDN w:val="0"/>
              <w:spacing w:line="0" w:lineRule="atLeast"/>
              <w:ind w:right="-20" w:firstLine="0" w:firstLineChars="0"/>
              <w:jc w:val="center"/>
              <w:rPr>
                <w:rFonts w:eastAsia="仿宋_GB2312"/>
                <w:b/>
                <w:position w:val="-2"/>
                <w:sz w:val="21"/>
                <w:szCs w:val="21"/>
              </w:rPr>
            </w:pPr>
            <w:r>
              <w:rPr>
                <w:rFonts w:eastAsia="仿宋_GB2312"/>
                <w:b/>
                <w:position w:val="-2"/>
                <w:sz w:val="21"/>
                <w:szCs w:val="21"/>
              </w:rPr>
              <w:t>二、项目组成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序号</w:t>
            </w:r>
          </w:p>
        </w:tc>
        <w:tc>
          <w:tcPr>
            <w:tcW w:w="1016"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项目建设区</w:t>
            </w:r>
          </w:p>
        </w:tc>
        <w:tc>
          <w:tcPr>
            <w:tcW w:w="3593" w:type="pct"/>
            <w:gridSpan w:val="15"/>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建设内容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1</w:t>
            </w:r>
          </w:p>
        </w:tc>
        <w:tc>
          <w:tcPr>
            <w:tcW w:w="1016"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管道工程区</w:t>
            </w:r>
          </w:p>
        </w:tc>
        <w:tc>
          <w:tcPr>
            <w:tcW w:w="3593" w:type="pct"/>
            <w:gridSpan w:val="15"/>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改造</w:t>
            </w:r>
            <w:r>
              <w:rPr>
                <w:rFonts w:hint="eastAsia" w:eastAsia="仿宋_GB2312"/>
                <w:position w:val="-2"/>
                <w:sz w:val="21"/>
                <w:szCs w:val="21"/>
              </w:rPr>
              <w:t>排水管道4629</w:t>
            </w:r>
            <w:r>
              <w:rPr>
                <w:rFonts w:eastAsia="仿宋_GB2312"/>
                <w:position w:val="-2"/>
                <w:sz w:val="21"/>
                <w:szCs w:val="21"/>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2</w:t>
            </w:r>
          </w:p>
        </w:tc>
        <w:tc>
          <w:tcPr>
            <w:tcW w:w="1016"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附属构筑物区</w:t>
            </w:r>
          </w:p>
        </w:tc>
        <w:tc>
          <w:tcPr>
            <w:tcW w:w="3593" w:type="pct"/>
            <w:gridSpan w:val="15"/>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新建检查井203座</w:t>
            </w:r>
            <w:r>
              <w:rPr>
                <w:rFonts w:eastAsia="仿宋_GB2312"/>
                <w:position w:val="-2"/>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8"/>
            <w:vAlign w:val="center"/>
          </w:tcPr>
          <w:p>
            <w:pPr>
              <w:autoSpaceDE w:val="0"/>
              <w:autoSpaceDN w:val="0"/>
              <w:spacing w:line="0" w:lineRule="atLeast"/>
              <w:ind w:right="-20" w:firstLine="0" w:firstLineChars="0"/>
              <w:jc w:val="center"/>
              <w:rPr>
                <w:rFonts w:eastAsia="仿宋_GB2312"/>
                <w:b/>
                <w:position w:val="-2"/>
                <w:sz w:val="21"/>
                <w:szCs w:val="21"/>
              </w:rPr>
            </w:pPr>
            <w:r>
              <w:rPr>
                <w:rFonts w:eastAsia="仿宋_GB2312"/>
                <w:b/>
                <w:position w:val="-2"/>
                <w:sz w:val="21"/>
                <w:szCs w:val="21"/>
              </w:rPr>
              <w:t>三、工程占地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Merge w:val="restart"/>
            <w:tcBorders>
              <w:bottom w:val="single" w:color="auto" w:sz="4"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序号</w:t>
            </w:r>
          </w:p>
        </w:tc>
        <w:tc>
          <w:tcPr>
            <w:tcW w:w="1016" w:type="pct"/>
            <w:gridSpan w:val="2"/>
            <w:vMerge w:val="restart"/>
            <w:tcBorders>
              <w:bottom w:val="single" w:color="auto" w:sz="4"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项目建设区</w:t>
            </w:r>
          </w:p>
        </w:tc>
        <w:tc>
          <w:tcPr>
            <w:tcW w:w="460" w:type="pct"/>
            <w:gridSpan w:val="3"/>
            <w:vMerge w:val="restart"/>
            <w:tcBorders>
              <w:bottom w:val="single" w:color="auto" w:sz="4"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单位</w:t>
            </w:r>
          </w:p>
        </w:tc>
        <w:tc>
          <w:tcPr>
            <w:tcW w:w="2217" w:type="pct"/>
            <w:gridSpan w:val="9"/>
            <w:tcBorders>
              <w:bottom w:val="single" w:color="auto" w:sz="4"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占地面积及性质</w:t>
            </w:r>
          </w:p>
        </w:tc>
        <w:tc>
          <w:tcPr>
            <w:tcW w:w="915" w:type="pct"/>
            <w:gridSpan w:val="3"/>
            <w:vMerge w:val="restar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占地类型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Merge w:val="continue"/>
            <w:vAlign w:val="center"/>
          </w:tcPr>
          <w:p>
            <w:pPr>
              <w:autoSpaceDE w:val="0"/>
              <w:autoSpaceDN w:val="0"/>
              <w:spacing w:line="0" w:lineRule="atLeast"/>
              <w:ind w:right="-20" w:firstLine="0" w:firstLineChars="0"/>
              <w:jc w:val="center"/>
              <w:rPr>
                <w:rFonts w:eastAsia="仿宋_GB2312"/>
                <w:position w:val="-2"/>
                <w:sz w:val="21"/>
                <w:szCs w:val="21"/>
              </w:rPr>
            </w:pPr>
          </w:p>
        </w:tc>
        <w:tc>
          <w:tcPr>
            <w:tcW w:w="1016" w:type="pct"/>
            <w:gridSpan w:val="2"/>
            <w:vMerge w:val="continue"/>
            <w:vAlign w:val="center"/>
          </w:tcPr>
          <w:p>
            <w:pPr>
              <w:autoSpaceDE w:val="0"/>
              <w:autoSpaceDN w:val="0"/>
              <w:spacing w:line="0" w:lineRule="atLeast"/>
              <w:ind w:right="-20" w:firstLine="0" w:firstLineChars="0"/>
              <w:jc w:val="center"/>
              <w:rPr>
                <w:rFonts w:eastAsia="仿宋_GB2312"/>
                <w:position w:val="-2"/>
                <w:sz w:val="21"/>
                <w:szCs w:val="21"/>
              </w:rPr>
            </w:pPr>
          </w:p>
        </w:tc>
        <w:tc>
          <w:tcPr>
            <w:tcW w:w="460" w:type="pct"/>
            <w:gridSpan w:val="3"/>
            <w:vMerge w:val="continue"/>
            <w:vAlign w:val="center"/>
          </w:tcPr>
          <w:p>
            <w:pPr>
              <w:autoSpaceDE w:val="0"/>
              <w:autoSpaceDN w:val="0"/>
              <w:spacing w:line="0" w:lineRule="atLeast"/>
              <w:ind w:right="-20" w:firstLine="0" w:firstLineChars="0"/>
              <w:jc w:val="center"/>
              <w:rPr>
                <w:rFonts w:eastAsia="仿宋_GB2312"/>
                <w:position w:val="-2"/>
                <w:sz w:val="21"/>
                <w:szCs w:val="21"/>
              </w:rPr>
            </w:pPr>
          </w:p>
        </w:tc>
        <w:tc>
          <w:tcPr>
            <w:tcW w:w="746"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永久占地</w:t>
            </w:r>
          </w:p>
        </w:tc>
        <w:tc>
          <w:tcPr>
            <w:tcW w:w="733" w:type="pct"/>
            <w:gridSpan w:val="3"/>
            <w:tcBorders>
              <w:right w:val="single" w:color="auto" w:sz="2"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临时占地</w:t>
            </w:r>
          </w:p>
        </w:tc>
        <w:tc>
          <w:tcPr>
            <w:tcW w:w="738" w:type="pct"/>
            <w:gridSpan w:val="3"/>
            <w:tcBorders>
              <w:left w:val="single" w:color="auto" w:sz="2"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合计</w:t>
            </w:r>
          </w:p>
        </w:tc>
        <w:tc>
          <w:tcPr>
            <w:tcW w:w="915" w:type="pct"/>
            <w:gridSpan w:val="3"/>
            <w:vMerge w:val="continue"/>
            <w:vAlign w:val="center"/>
          </w:tcPr>
          <w:p>
            <w:pPr>
              <w:autoSpaceDE w:val="0"/>
              <w:autoSpaceDN w:val="0"/>
              <w:spacing w:line="0" w:lineRule="atLeast"/>
              <w:ind w:right="-20" w:firstLine="0" w:firstLineChars="0"/>
              <w:jc w:val="center"/>
              <w:rPr>
                <w:rFonts w:eastAsia="仿宋_GB2312"/>
                <w:positio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1</w:t>
            </w:r>
          </w:p>
        </w:tc>
        <w:tc>
          <w:tcPr>
            <w:tcW w:w="1016"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管道工程区</w:t>
            </w:r>
          </w:p>
        </w:tc>
        <w:tc>
          <w:tcPr>
            <w:tcW w:w="460"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hm</w:t>
            </w:r>
            <w:r>
              <w:rPr>
                <w:rFonts w:hint="eastAsia" w:eastAsia="仿宋_GB2312"/>
                <w:position w:val="-2"/>
                <w:sz w:val="21"/>
                <w:szCs w:val="21"/>
                <w:vertAlign w:val="superscript"/>
              </w:rPr>
              <w:t>2</w:t>
            </w:r>
          </w:p>
        </w:tc>
        <w:tc>
          <w:tcPr>
            <w:tcW w:w="746"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w:t>
            </w:r>
          </w:p>
        </w:tc>
        <w:tc>
          <w:tcPr>
            <w:tcW w:w="733" w:type="pct"/>
            <w:gridSpan w:val="3"/>
            <w:tcBorders>
              <w:right w:val="single" w:color="auto" w:sz="2"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2.71</w:t>
            </w:r>
          </w:p>
        </w:tc>
        <w:tc>
          <w:tcPr>
            <w:tcW w:w="738" w:type="pct"/>
            <w:gridSpan w:val="3"/>
            <w:tcBorders>
              <w:left w:val="single" w:color="auto" w:sz="2"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2.71</w:t>
            </w:r>
          </w:p>
        </w:tc>
        <w:tc>
          <w:tcPr>
            <w:tcW w:w="915"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建设用地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2</w:t>
            </w:r>
          </w:p>
        </w:tc>
        <w:tc>
          <w:tcPr>
            <w:tcW w:w="1016"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附属构筑物区</w:t>
            </w:r>
          </w:p>
        </w:tc>
        <w:tc>
          <w:tcPr>
            <w:tcW w:w="460"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hm</w:t>
            </w:r>
            <w:r>
              <w:rPr>
                <w:rFonts w:hint="eastAsia" w:eastAsia="仿宋_GB2312"/>
                <w:position w:val="-2"/>
                <w:sz w:val="21"/>
                <w:szCs w:val="21"/>
                <w:vertAlign w:val="superscript"/>
              </w:rPr>
              <w:t>2</w:t>
            </w:r>
          </w:p>
        </w:tc>
        <w:tc>
          <w:tcPr>
            <w:tcW w:w="746"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0.17</w:t>
            </w:r>
          </w:p>
        </w:tc>
        <w:tc>
          <w:tcPr>
            <w:tcW w:w="733" w:type="pct"/>
            <w:gridSpan w:val="3"/>
            <w:tcBorders>
              <w:right w:val="single" w:color="auto" w:sz="2"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w:t>
            </w:r>
          </w:p>
        </w:tc>
        <w:tc>
          <w:tcPr>
            <w:tcW w:w="738" w:type="pct"/>
            <w:gridSpan w:val="3"/>
            <w:tcBorders>
              <w:left w:val="single" w:color="auto" w:sz="2"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0.17</w:t>
            </w:r>
          </w:p>
        </w:tc>
        <w:tc>
          <w:tcPr>
            <w:tcW w:w="915"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建设用地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3</w:t>
            </w:r>
          </w:p>
        </w:tc>
        <w:tc>
          <w:tcPr>
            <w:tcW w:w="1016"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合计</w:t>
            </w:r>
          </w:p>
        </w:tc>
        <w:tc>
          <w:tcPr>
            <w:tcW w:w="460" w:type="pct"/>
            <w:gridSpan w:val="3"/>
            <w:vAlign w:val="center"/>
          </w:tcPr>
          <w:p>
            <w:pPr>
              <w:autoSpaceDE w:val="0"/>
              <w:autoSpaceDN w:val="0"/>
              <w:spacing w:line="240" w:lineRule="auto"/>
              <w:ind w:right="-20" w:firstLine="0" w:firstLineChars="0"/>
              <w:jc w:val="center"/>
              <w:rPr>
                <w:rFonts w:eastAsia="仿宋_GB2312"/>
                <w:position w:val="-2"/>
                <w:sz w:val="21"/>
                <w:szCs w:val="21"/>
              </w:rPr>
            </w:pPr>
          </w:p>
        </w:tc>
        <w:tc>
          <w:tcPr>
            <w:tcW w:w="746"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0.17</w:t>
            </w:r>
          </w:p>
        </w:tc>
        <w:tc>
          <w:tcPr>
            <w:tcW w:w="733" w:type="pct"/>
            <w:gridSpan w:val="3"/>
            <w:tcBorders>
              <w:right w:val="single" w:color="auto" w:sz="2"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2.71</w:t>
            </w:r>
          </w:p>
        </w:tc>
        <w:tc>
          <w:tcPr>
            <w:tcW w:w="738" w:type="pct"/>
            <w:gridSpan w:val="3"/>
            <w:tcBorders>
              <w:left w:val="single" w:color="auto" w:sz="2"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2.88</w:t>
            </w:r>
          </w:p>
        </w:tc>
        <w:tc>
          <w:tcPr>
            <w:tcW w:w="915" w:type="pct"/>
            <w:gridSpan w:val="3"/>
            <w:vAlign w:val="center"/>
          </w:tcPr>
          <w:p>
            <w:pPr>
              <w:spacing w:line="240" w:lineRule="auto"/>
              <w:ind w:firstLine="420"/>
              <w:jc w:val="center"/>
              <w:rPr>
                <w:rFonts w:eastAsia="仿宋_GB2312"/>
                <w:positio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8"/>
            <w:vAlign w:val="center"/>
          </w:tcPr>
          <w:p>
            <w:pPr>
              <w:autoSpaceDE w:val="0"/>
              <w:autoSpaceDN w:val="0"/>
              <w:spacing w:line="0" w:lineRule="atLeast"/>
              <w:ind w:right="-20" w:firstLine="0" w:firstLineChars="0"/>
              <w:jc w:val="center"/>
              <w:rPr>
                <w:rFonts w:eastAsia="仿宋_GB2312"/>
                <w:b/>
                <w:position w:val="-2"/>
                <w:sz w:val="21"/>
                <w:szCs w:val="21"/>
              </w:rPr>
            </w:pPr>
            <w:r>
              <w:rPr>
                <w:rFonts w:eastAsia="仿宋_GB2312"/>
                <w:b/>
                <w:position w:val="-2"/>
                <w:sz w:val="21"/>
                <w:szCs w:val="21"/>
              </w:rPr>
              <w:t>四、土石方单位：</w:t>
            </w:r>
            <w:r>
              <w:rPr>
                <w:rFonts w:hint="eastAsia" w:eastAsia="仿宋_GB2312"/>
                <w:b/>
                <w:position w:val="-2"/>
                <w:sz w:val="21"/>
                <w:szCs w:val="21"/>
              </w:rPr>
              <w:t>万</w:t>
            </w:r>
            <w:r>
              <w:rPr>
                <w:rFonts w:eastAsia="仿宋_GB2312"/>
                <w:b/>
                <w:position w:val="-2"/>
                <w:sz w:val="21"/>
                <w:szCs w:val="21"/>
              </w:rPr>
              <w:t>m</w:t>
            </w:r>
            <w:r>
              <w:rPr>
                <w:rFonts w:eastAsia="仿宋_GB2312"/>
                <w:b/>
                <w:position w:val="-2"/>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Merge w:val="restart"/>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序号</w:t>
            </w:r>
          </w:p>
        </w:tc>
        <w:tc>
          <w:tcPr>
            <w:tcW w:w="1022" w:type="pct"/>
            <w:gridSpan w:val="3"/>
            <w:vMerge w:val="restart"/>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工程分区</w:t>
            </w:r>
          </w:p>
        </w:tc>
        <w:tc>
          <w:tcPr>
            <w:tcW w:w="412" w:type="pct"/>
            <w:vMerge w:val="restart"/>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开挖</w:t>
            </w:r>
          </w:p>
        </w:tc>
        <w:tc>
          <w:tcPr>
            <w:tcW w:w="426" w:type="pct"/>
            <w:gridSpan w:val="2"/>
            <w:vMerge w:val="restart"/>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回填</w:t>
            </w:r>
          </w:p>
        </w:tc>
        <w:tc>
          <w:tcPr>
            <w:tcW w:w="688"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调入</w:t>
            </w:r>
          </w:p>
        </w:tc>
        <w:tc>
          <w:tcPr>
            <w:tcW w:w="684"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调出</w:t>
            </w:r>
          </w:p>
        </w:tc>
        <w:tc>
          <w:tcPr>
            <w:tcW w:w="685"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外借</w:t>
            </w:r>
          </w:p>
        </w:tc>
        <w:tc>
          <w:tcPr>
            <w:tcW w:w="691"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余方利用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Merge w:val="continue"/>
            <w:vAlign w:val="center"/>
          </w:tcPr>
          <w:p>
            <w:pPr>
              <w:autoSpaceDE w:val="0"/>
              <w:autoSpaceDN w:val="0"/>
              <w:spacing w:line="0" w:lineRule="atLeast"/>
              <w:ind w:right="-20" w:firstLine="0" w:firstLineChars="0"/>
              <w:jc w:val="center"/>
              <w:rPr>
                <w:rFonts w:eastAsia="仿宋_GB2312"/>
                <w:position w:val="-2"/>
                <w:sz w:val="21"/>
                <w:szCs w:val="21"/>
              </w:rPr>
            </w:pPr>
          </w:p>
        </w:tc>
        <w:tc>
          <w:tcPr>
            <w:tcW w:w="1022" w:type="pct"/>
            <w:gridSpan w:val="3"/>
            <w:vMerge w:val="continue"/>
            <w:vAlign w:val="center"/>
          </w:tcPr>
          <w:p>
            <w:pPr>
              <w:autoSpaceDE w:val="0"/>
              <w:autoSpaceDN w:val="0"/>
              <w:spacing w:line="0" w:lineRule="atLeast"/>
              <w:ind w:right="-20" w:firstLine="0" w:firstLineChars="0"/>
              <w:jc w:val="center"/>
              <w:rPr>
                <w:rFonts w:eastAsia="仿宋_GB2312"/>
                <w:position w:val="-2"/>
                <w:sz w:val="21"/>
                <w:szCs w:val="21"/>
              </w:rPr>
            </w:pPr>
          </w:p>
        </w:tc>
        <w:tc>
          <w:tcPr>
            <w:tcW w:w="412" w:type="pct"/>
            <w:vMerge w:val="continue"/>
            <w:vAlign w:val="center"/>
          </w:tcPr>
          <w:p>
            <w:pPr>
              <w:autoSpaceDE w:val="0"/>
              <w:autoSpaceDN w:val="0"/>
              <w:spacing w:line="0" w:lineRule="atLeast"/>
              <w:ind w:right="-20" w:firstLine="0" w:firstLineChars="0"/>
              <w:jc w:val="center"/>
              <w:rPr>
                <w:rFonts w:eastAsia="仿宋_GB2312"/>
                <w:position w:val="-2"/>
                <w:sz w:val="21"/>
                <w:szCs w:val="21"/>
              </w:rPr>
            </w:pPr>
          </w:p>
        </w:tc>
        <w:tc>
          <w:tcPr>
            <w:tcW w:w="426" w:type="pct"/>
            <w:gridSpan w:val="2"/>
            <w:vMerge w:val="continue"/>
            <w:vAlign w:val="center"/>
          </w:tcPr>
          <w:p>
            <w:pPr>
              <w:autoSpaceDE w:val="0"/>
              <w:autoSpaceDN w:val="0"/>
              <w:spacing w:line="0" w:lineRule="atLeast"/>
              <w:ind w:right="-20" w:firstLine="0" w:firstLineChars="0"/>
              <w:jc w:val="center"/>
              <w:rPr>
                <w:rFonts w:eastAsia="仿宋_GB2312"/>
                <w:position w:val="-2"/>
                <w:sz w:val="21"/>
                <w:szCs w:val="21"/>
              </w:rPr>
            </w:pP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数量</w:t>
            </w:r>
          </w:p>
        </w:tc>
        <w:tc>
          <w:tcPr>
            <w:tcW w:w="347"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来源</w:t>
            </w: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数量</w:t>
            </w:r>
          </w:p>
        </w:tc>
        <w:tc>
          <w:tcPr>
            <w:tcW w:w="343"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去向</w:t>
            </w: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数量</w:t>
            </w:r>
          </w:p>
        </w:tc>
        <w:tc>
          <w:tcPr>
            <w:tcW w:w="344"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来源</w:t>
            </w: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数量</w:t>
            </w:r>
          </w:p>
        </w:tc>
        <w:tc>
          <w:tcPr>
            <w:tcW w:w="350" w:type="pct"/>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1</w:t>
            </w:r>
          </w:p>
        </w:tc>
        <w:tc>
          <w:tcPr>
            <w:tcW w:w="1022"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管道工程区</w:t>
            </w:r>
          </w:p>
        </w:tc>
        <w:tc>
          <w:tcPr>
            <w:tcW w:w="412"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1.85</w:t>
            </w:r>
          </w:p>
        </w:tc>
        <w:tc>
          <w:tcPr>
            <w:tcW w:w="426"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1.85</w:t>
            </w: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p>
        </w:tc>
        <w:tc>
          <w:tcPr>
            <w:tcW w:w="347" w:type="pct"/>
            <w:gridSpan w:val="2"/>
            <w:vAlign w:val="center"/>
          </w:tcPr>
          <w:p>
            <w:pPr>
              <w:autoSpaceDE w:val="0"/>
              <w:autoSpaceDN w:val="0"/>
              <w:spacing w:line="0" w:lineRule="atLeast"/>
              <w:ind w:right="-20" w:firstLine="0" w:firstLineChars="0"/>
              <w:jc w:val="center"/>
              <w:rPr>
                <w:rFonts w:eastAsia="仿宋_GB2312"/>
                <w:position w:val="-2"/>
                <w:sz w:val="21"/>
                <w:szCs w:val="21"/>
              </w:rPr>
            </w:pP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p>
        </w:tc>
        <w:tc>
          <w:tcPr>
            <w:tcW w:w="343" w:type="pct"/>
            <w:gridSpan w:val="2"/>
            <w:vAlign w:val="center"/>
          </w:tcPr>
          <w:p>
            <w:pPr>
              <w:autoSpaceDE w:val="0"/>
              <w:autoSpaceDN w:val="0"/>
              <w:spacing w:line="0" w:lineRule="atLeast"/>
              <w:ind w:right="-20" w:firstLine="0" w:firstLineChars="0"/>
              <w:jc w:val="center"/>
              <w:rPr>
                <w:rFonts w:eastAsia="仿宋_GB2312"/>
                <w:position w:val="-2"/>
                <w:sz w:val="21"/>
                <w:szCs w:val="21"/>
              </w:rPr>
            </w:pP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p>
        </w:tc>
        <w:tc>
          <w:tcPr>
            <w:tcW w:w="344" w:type="pct"/>
            <w:gridSpan w:val="2"/>
            <w:vAlign w:val="center"/>
          </w:tcPr>
          <w:p>
            <w:pPr>
              <w:autoSpaceDE w:val="0"/>
              <w:autoSpaceDN w:val="0"/>
              <w:spacing w:line="0" w:lineRule="atLeast"/>
              <w:ind w:right="-20" w:firstLine="0" w:firstLineChars="0"/>
              <w:jc w:val="center"/>
              <w:rPr>
                <w:rFonts w:eastAsia="仿宋_GB2312"/>
                <w:position w:val="-2"/>
                <w:sz w:val="21"/>
                <w:szCs w:val="21"/>
              </w:rPr>
            </w:pP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p>
        </w:tc>
        <w:tc>
          <w:tcPr>
            <w:tcW w:w="350" w:type="pct"/>
            <w:vAlign w:val="center"/>
          </w:tcPr>
          <w:p>
            <w:pPr>
              <w:autoSpaceDE w:val="0"/>
              <w:autoSpaceDN w:val="0"/>
              <w:spacing w:line="0" w:lineRule="atLeast"/>
              <w:ind w:right="-20" w:firstLine="0" w:firstLineChars="0"/>
              <w:jc w:val="center"/>
              <w:rPr>
                <w:rFonts w:eastAsia="仿宋_GB2312"/>
                <w:positio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2</w:t>
            </w:r>
          </w:p>
        </w:tc>
        <w:tc>
          <w:tcPr>
            <w:tcW w:w="1022"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附属构筑物区</w:t>
            </w:r>
          </w:p>
        </w:tc>
        <w:tc>
          <w:tcPr>
            <w:tcW w:w="412"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0.05</w:t>
            </w:r>
          </w:p>
        </w:tc>
        <w:tc>
          <w:tcPr>
            <w:tcW w:w="426"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0.05</w:t>
            </w: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p>
        </w:tc>
        <w:tc>
          <w:tcPr>
            <w:tcW w:w="347" w:type="pct"/>
            <w:gridSpan w:val="2"/>
            <w:vAlign w:val="center"/>
          </w:tcPr>
          <w:p>
            <w:pPr>
              <w:autoSpaceDE w:val="0"/>
              <w:autoSpaceDN w:val="0"/>
              <w:spacing w:line="0" w:lineRule="atLeast"/>
              <w:ind w:right="-20" w:firstLine="0" w:firstLineChars="0"/>
              <w:jc w:val="center"/>
              <w:rPr>
                <w:rFonts w:eastAsia="仿宋_GB2312"/>
                <w:position w:val="-2"/>
                <w:sz w:val="21"/>
                <w:szCs w:val="21"/>
              </w:rPr>
            </w:pP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p>
        </w:tc>
        <w:tc>
          <w:tcPr>
            <w:tcW w:w="343" w:type="pct"/>
            <w:gridSpan w:val="2"/>
            <w:vAlign w:val="center"/>
          </w:tcPr>
          <w:p>
            <w:pPr>
              <w:autoSpaceDE w:val="0"/>
              <w:autoSpaceDN w:val="0"/>
              <w:spacing w:line="0" w:lineRule="atLeast"/>
              <w:ind w:right="-20" w:firstLine="0" w:firstLineChars="0"/>
              <w:jc w:val="center"/>
              <w:rPr>
                <w:rFonts w:eastAsia="仿宋_GB2312"/>
                <w:position w:val="-2"/>
                <w:sz w:val="21"/>
                <w:szCs w:val="21"/>
              </w:rPr>
            </w:pP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p>
        </w:tc>
        <w:tc>
          <w:tcPr>
            <w:tcW w:w="344" w:type="pct"/>
            <w:gridSpan w:val="2"/>
            <w:vAlign w:val="center"/>
          </w:tcPr>
          <w:p>
            <w:pPr>
              <w:autoSpaceDE w:val="0"/>
              <w:autoSpaceDN w:val="0"/>
              <w:spacing w:line="0" w:lineRule="atLeast"/>
              <w:ind w:right="-20" w:firstLine="0" w:firstLineChars="0"/>
              <w:jc w:val="center"/>
              <w:rPr>
                <w:rFonts w:eastAsia="仿宋_GB2312"/>
                <w:position w:val="-2"/>
                <w:sz w:val="21"/>
                <w:szCs w:val="21"/>
              </w:rPr>
            </w:pP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p>
        </w:tc>
        <w:tc>
          <w:tcPr>
            <w:tcW w:w="350" w:type="pct"/>
            <w:vAlign w:val="center"/>
          </w:tcPr>
          <w:p>
            <w:pPr>
              <w:autoSpaceDE w:val="0"/>
              <w:autoSpaceDN w:val="0"/>
              <w:spacing w:line="0" w:lineRule="atLeast"/>
              <w:ind w:right="-20" w:firstLine="0" w:firstLineChars="0"/>
              <w:jc w:val="center"/>
              <w:rPr>
                <w:rFonts w:eastAsia="仿宋_GB2312"/>
                <w:positio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noWrap/>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3</w:t>
            </w:r>
          </w:p>
        </w:tc>
        <w:tc>
          <w:tcPr>
            <w:tcW w:w="1022" w:type="pct"/>
            <w:gridSpan w:val="3"/>
            <w:noWrap/>
            <w:vAlign w:val="center"/>
          </w:tcPr>
          <w:p>
            <w:pPr>
              <w:autoSpaceDE w:val="0"/>
              <w:autoSpaceDN w:val="0"/>
              <w:spacing w:line="240" w:lineRule="auto"/>
              <w:ind w:right="-20" w:firstLine="0" w:firstLineChars="0"/>
              <w:jc w:val="center"/>
              <w:rPr>
                <w:rFonts w:eastAsia="仿宋_GB2312"/>
                <w:position w:val="-2"/>
                <w:sz w:val="21"/>
                <w:szCs w:val="21"/>
              </w:rPr>
            </w:pPr>
            <w:r>
              <w:rPr>
                <w:rFonts w:eastAsia="仿宋_GB2312"/>
                <w:position w:val="-2"/>
                <w:sz w:val="21"/>
                <w:szCs w:val="21"/>
              </w:rPr>
              <w:t>合计</w:t>
            </w:r>
          </w:p>
        </w:tc>
        <w:tc>
          <w:tcPr>
            <w:tcW w:w="412" w:type="pct"/>
            <w:noWrap/>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1.9</w:t>
            </w:r>
          </w:p>
        </w:tc>
        <w:tc>
          <w:tcPr>
            <w:tcW w:w="426" w:type="pct"/>
            <w:gridSpan w:val="2"/>
            <w:noWrap/>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1.9</w:t>
            </w:r>
          </w:p>
        </w:tc>
        <w:tc>
          <w:tcPr>
            <w:tcW w:w="341" w:type="pct"/>
            <w:noWrap/>
            <w:vAlign w:val="center"/>
          </w:tcPr>
          <w:p>
            <w:pPr>
              <w:spacing w:line="240" w:lineRule="auto"/>
              <w:ind w:firstLine="0" w:firstLineChars="0"/>
              <w:jc w:val="center"/>
              <w:rPr>
                <w:rFonts w:eastAsia="仿宋_GB2312"/>
                <w:sz w:val="21"/>
                <w:szCs w:val="21"/>
              </w:rPr>
            </w:pPr>
          </w:p>
        </w:tc>
        <w:tc>
          <w:tcPr>
            <w:tcW w:w="347" w:type="pct"/>
            <w:gridSpan w:val="2"/>
            <w:noWrap/>
            <w:vAlign w:val="center"/>
          </w:tcPr>
          <w:p>
            <w:pPr>
              <w:pStyle w:val="73"/>
              <w:widowControl w:val="0"/>
              <w:topLinePunct/>
              <w:adjustRightInd w:val="0"/>
              <w:snapToGrid w:val="0"/>
              <w:spacing w:line="240" w:lineRule="auto"/>
              <w:ind w:firstLine="1680"/>
              <w:jc w:val="center"/>
              <w:textAlignment w:val="center"/>
              <w:rPr>
                <w:rFonts w:cs="Times New Roman"/>
                <w:color w:val="auto"/>
                <w:kern w:val="0"/>
              </w:rPr>
            </w:pPr>
          </w:p>
        </w:tc>
        <w:tc>
          <w:tcPr>
            <w:tcW w:w="341" w:type="pct"/>
            <w:noWrap/>
            <w:vAlign w:val="center"/>
          </w:tcPr>
          <w:p>
            <w:pPr>
              <w:autoSpaceDE w:val="0"/>
              <w:autoSpaceDN w:val="0"/>
              <w:spacing w:line="240" w:lineRule="auto"/>
              <w:ind w:right="-20" w:firstLine="0" w:firstLineChars="0"/>
              <w:jc w:val="center"/>
              <w:rPr>
                <w:rFonts w:eastAsia="仿宋_GB2312"/>
                <w:sz w:val="21"/>
                <w:szCs w:val="21"/>
              </w:rPr>
            </w:pPr>
          </w:p>
        </w:tc>
        <w:tc>
          <w:tcPr>
            <w:tcW w:w="343" w:type="pct"/>
            <w:gridSpan w:val="2"/>
            <w:noWrap/>
            <w:vAlign w:val="center"/>
          </w:tcPr>
          <w:p>
            <w:pPr>
              <w:pStyle w:val="73"/>
              <w:widowControl w:val="0"/>
              <w:topLinePunct/>
              <w:adjustRightInd w:val="0"/>
              <w:snapToGrid w:val="0"/>
              <w:spacing w:line="240" w:lineRule="auto"/>
              <w:ind w:firstLine="1680"/>
              <w:jc w:val="center"/>
              <w:textAlignment w:val="center"/>
              <w:rPr>
                <w:rFonts w:cs="Times New Roman"/>
                <w:color w:val="auto"/>
                <w:kern w:val="0"/>
              </w:rPr>
            </w:pPr>
          </w:p>
        </w:tc>
        <w:tc>
          <w:tcPr>
            <w:tcW w:w="341" w:type="pct"/>
            <w:noWrap/>
            <w:vAlign w:val="center"/>
          </w:tcPr>
          <w:p>
            <w:pPr>
              <w:pStyle w:val="73"/>
              <w:widowControl w:val="0"/>
              <w:topLinePunct/>
              <w:adjustRightInd w:val="0"/>
              <w:snapToGrid w:val="0"/>
              <w:spacing w:line="240" w:lineRule="auto"/>
              <w:ind w:firstLine="1680"/>
              <w:jc w:val="center"/>
              <w:textAlignment w:val="center"/>
              <w:rPr>
                <w:rFonts w:cs="Times New Roman"/>
                <w:color w:val="auto"/>
                <w:kern w:val="0"/>
              </w:rPr>
            </w:pPr>
          </w:p>
        </w:tc>
        <w:tc>
          <w:tcPr>
            <w:tcW w:w="344" w:type="pct"/>
            <w:gridSpan w:val="2"/>
            <w:noWrap/>
            <w:vAlign w:val="center"/>
          </w:tcPr>
          <w:p>
            <w:pPr>
              <w:pStyle w:val="73"/>
              <w:widowControl w:val="0"/>
              <w:topLinePunct/>
              <w:adjustRightInd w:val="0"/>
              <w:snapToGrid w:val="0"/>
              <w:spacing w:line="240" w:lineRule="auto"/>
              <w:ind w:firstLine="1680"/>
              <w:jc w:val="center"/>
              <w:textAlignment w:val="center"/>
              <w:rPr>
                <w:rFonts w:cs="Times New Roman"/>
                <w:color w:val="auto"/>
                <w:kern w:val="0"/>
              </w:rPr>
            </w:pPr>
          </w:p>
        </w:tc>
        <w:tc>
          <w:tcPr>
            <w:tcW w:w="341" w:type="pct"/>
            <w:noWrap/>
            <w:vAlign w:val="center"/>
          </w:tcPr>
          <w:p>
            <w:pPr>
              <w:autoSpaceDE w:val="0"/>
              <w:autoSpaceDN w:val="0"/>
              <w:spacing w:line="240" w:lineRule="auto"/>
              <w:ind w:right="-20" w:firstLine="0" w:firstLineChars="0"/>
              <w:jc w:val="center"/>
              <w:rPr>
                <w:rFonts w:eastAsia="仿宋_GB2312"/>
                <w:sz w:val="21"/>
                <w:szCs w:val="21"/>
              </w:rPr>
            </w:pPr>
          </w:p>
        </w:tc>
        <w:tc>
          <w:tcPr>
            <w:tcW w:w="350" w:type="pct"/>
            <w:noWrap/>
            <w:vAlign w:val="center"/>
          </w:tcPr>
          <w:p>
            <w:pPr>
              <w:pStyle w:val="73"/>
              <w:widowControl w:val="0"/>
              <w:topLinePunct/>
              <w:adjustRightInd w:val="0"/>
              <w:snapToGrid w:val="0"/>
              <w:spacing w:line="240" w:lineRule="auto"/>
              <w:ind w:firstLine="1680"/>
              <w:jc w:val="center"/>
              <w:textAlignment w:val="center"/>
              <w:rPr>
                <w:rFonts w:cs="Times New Roman"/>
                <w:color w:val="auto"/>
                <w:kern w:val="0"/>
              </w:rPr>
            </w:pPr>
          </w:p>
        </w:tc>
      </w:tr>
    </w:tbl>
    <w:p>
      <w:pPr>
        <w:pStyle w:val="4"/>
        <w:keepLines/>
        <w:widowControl/>
        <w:numPr>
          <w:ilvl w:val="2"/>
          <w:numId w:val="1"/>
        </w:numPr>
        <w:tabs>
          <w:tab w:val="clear" w:pos="432"/>
          <w:tab w:val="clear" w:pos="960"/>
        </w:tabs>
        <w:kinsoku/>
        <w:overflowPunct/>
        <w:topLinePunct w:val="0"/>
        <w:autoSpaceDE/>
        <w:autoSpaceDN/>
        <w:adjustRightInd/>
        <w:snapToGrid/>
        <w:spacing w:beforeLines="100"/>
        <w:ind w:left="0" w:firstLine="0"/>
        <w:jc w:val="both"/>
        <w:rPr>
          <w:rFonts w:eastAsia="仿宋_GB2312"/>
        </w:rPr>
      </w:pPr>
      <w:r>
        <w:rPr>
          <w:rFonts w:hint="eastAsia" w:eastAsia="仿宋_GB2312"/>
        </w:rPr>
        <w:t>管网工程现状</w:t>
      </w:r>
    </w:p>
    <w:p>
      <w:pPr>
        <w:pStyle w:val="5"/>
      </w:pPr>
      <w:r>
        <w:rPr>
          <w:rFonts w:hint="eastAsia"/>
        </w:rPr>
        <w:t>排水现状</w:t>
      </w:r>
    </w:p>
    <w:p>
      <w:pPr>
        <w:ind w:firstLine="480"/>
        <w:rPr>
          <w:rFonts w:eastAsia="仿宋_GB2312"/>
        </w:rPr>
      </w:pPr>
      <w:r>
        <w:rPr>
          <w:rFonts w:hint="eastAsia" w:eastAsia="仿宋_GB2312"/>
        </w:rPr>
        <w:t>2014-2015年昆玉市进行了二二四团城市排水管网一二期建设，管材采用双壁波纹管，管径为d400~d800，主管建设在昆玉大道上。现状排水管网覆盖率约为80%。</w:t>
      </w:r>
    </w:p>
    <w:p>
      <w:pPr>
        <w:ind w:firstLine="480"/>
        <w:rPr>
          <w:rFonts w:eastAsia="仿宋_GB2312"/>
        </w:rPr>
      </w:pPr>
      <w:r>
        <w:rPr>
          <w:rFonts w:hint="eastAsia" w:eastAsia="仿宋_GB2312"/>
        </w:rPr>
        <w:t>本次改造的排水管网位于团团周围，均为2014年之前敷设的排水管网，为224团最早建设的一批管网，位于友好路、建新路、昆玉大道、玉泉街；现状管网管径为d150~d250，排水管网由南向北排入滨河路，在滨河路设d400的干管，由东向西排入污水主干管。</w:t>
      </w:r>
    </w:p>
    <w:p>
      <w:pPr>
        <w:ind w:firstLine="480"/>
        <w:rPr>
          <w:rFonts w:eastAsia="仿宋_GB2312"/>
        </w:rPr>
      </w:pPr>
      <w:r>
        <w:rPr>
          <w:rFonts w:hint="eastAsia" w:eastAsia="仿宋_GB2312"/>
        </w:rPr>
        <w:t>224团团部现状的排水问题极其严重，现状管线管径小，制约着城市的进步发展，威胁着居民的身体健康，不给予改变，所造成的环境及社会问题将更加严重，影响的范围也将更大，这也是目前团场基础设施建设亟待解决的问题。</w:t>
      </w:r>
    </w:p>
    <w:p>
      <w:pPr>
        <w:pStyle w:val="5"/>
      </w:pPr>
      <w:r>
        <w:rPr>
          <w:rFonts w:hint="eastAsia"/>
        </w:rPr>
        <w:t>排水存在的问题</w:t>
      </w:r>
    </w:p>
    <w:p>
      <w:pPr>
        <w:ind w:firstLine="480"/>
        <w:rPr>
          <w:rFonts w:eastAsia="仿宋_GB2312"/>
        </w:rPr>
      </w:pPr>
      <w:r>
        <w:rPr>
          <w:rFonts w:hint="eastAsia" w:eastAsia="仿宋_GB2312"/>
        </w:rPr>
        <w:t>根据以上的排水现状情况，并由于城市近些年来不断的迅速发展，人民生活水平的提高，现有的排水系统已远远落后于城市的发展，不能满足城市的发展需求，现状排水系统存在的问题是显而易见的，具体就此总结以下几点：</w:t>
      </w:r>
    </w:p>
    <w:p>
      <w:pPr>
        <w:ind w:firstLine="480"/>
        <w:rPr>
          <w:rFonts w:eastAsia="仿宋_GB2312"/>
        </w:rPr>
      </w:pPr>
      <w:r>
        <w:rPr>
          <w:rFonts w:hint="eastAsia" w:eastAsia="仿宋_GB2312"/>
        </w:rPr>
        <w:t>1、现状排水管网年久失修，不满足二二四团镇区的近期建设需要</w:t>
      </w:r>
    </w:p>
    <w:p>
      <w:pPr>
        <w:ind w:firstLine="480"/>
        <w:rPr>
          <w:rFonts w:eastAsia="仿宋_GB2312"/>
        </w:rPr>
      </w:pPr>
      <w:r>
        <w:rPr>
          <w:rFonts w:hint="eastAsia" w:eastAsia="仿宋_GB2312"/>
        </w:rPr>
        <w:t>由于二二四团镇区经济建设的需要，以至于二二四团镇区的近期建设面积在原有基础上成倍增长，原有的排水管网敷设均已超过10年，远远不能够满足其近期建设的排水需求。</w:t>
      </w:r>
    </w:p>
    <w:p>
      <w:pPr>
        <w:ind w:firstLine="480"/>
        <w:rPr>
          <w:rFonts w:eastAsia="仿宋_GB2312"/>
        </w:rPr>
      </w:pPr>
      <w:r>
        <w:rPr>
          <w:rFonts w:hint="eastAsia" w:eastAsia="仿宋_GB2312"/>
        </w:rPr>
        <w:t>2、部分排水管出现漏水现象</w:t>
      </w:r>
    </w:p>
    <w:p>
      <w:pPr>
        <w:ind w:firstLine="480"/>
        <w:rPr>
          <w:rFonts w:eastAsia="仿宋_GB2312"/>
        </w:rPr>
      </w:pPr>
      <w:r>
        <w:rPr>
          <w:rFonts w:hint="eastAsia" w:eastAsia="仿宋_GB2312"/>
        </w:rPr>
        <w:t>部分管网出现了漏水现象。使得部分污水直接流入地下，严重的污染了地下水。</w:t>
      </w:r>
    </w:p>
    <w:p>
      <w:pPr>
        <w:ind w:firstLine="480"/>
        <w:rPr>
          <w:rFonts w:eastAsia="仿宋_GB2312"/>
        </w:rPr>
      </w:pPr>
      <w:r>
        <w:rPr>
          <w:rFonts w:hint="eastAsia" w:eastAsia="仿宋_GB2312"/>
        </w:rPr>
        <w:t>3、管径偏小，严重影响镇区居民的使用</w:t>
      </w:r>
    </w:p>
    <w:p>
      <w:pPr>
        <w:ind w:firstLine="480"/>
        <w:rPr>
          <w:rFonts w:eastAsia="仿宋_GB2312"/>
        </w:rPr>
      </w:pPr>
      <w:r>
        <w:rPr>
          <w:rFonts w:hint="eastAsia" w:eastAsia="仿宋_GB2312"/>
        </w:rPr>
        <w:t>因镇区部分管网铺设较早，管道管径太小，远远跟不上现状排水要求，现状经常出现赌管、溢流等非常棘手的事件，不仅影响的居民的正常生活，而且带来很不好的影响，排水管网的改建亟不可待。</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项目组成及布置</w:t>
      </w:r>
    </w:p>
    <w:p>
      <w:pPr>
        <w:tabs>
          <w:tab w:val="left" w:pos="840"/>
          <w:tab w:val="left" w:pos="1485"/>
        </w:tabs>
        <w:ind w:firstLine="480"/>
        <w:rPr>
          <w:rFonts w:eastAsia="仿宋_GB2312"/>
        </w:rPr>
      </w:pPr>
      <w:r>
        <w:rPr>
          <w:rFonts w:hint="eastAsia" w:eastAsia="仿宋_GB2312"/>
        </w:rPr>
        <w:t>第十四师224团团部污水管网改造项目</w:t>
      </w:r>
      <w:r>
        <w:rPr>
          <w:rFonts w:eastAsia="仿宋_GB2312"/>
        </w:rPr>
        <w:t>改造</w:t>
      </w:r>
      <w:r>
        <w:rPr>
          <w:rFonts w:hint="eastAsia" w:eastAsia="仿宋_GB2312"/>
        </w:rPr>
        <w:t>排水管道4629</w:t>
      </w:r>
      <w:r>
        <w:rPr>
          <w:rFonts w:eastAsia="仿宋_GB2312"/>
        </w:rPr>
        <w:t>m，</w:t>
      </w:r>
      <w:r>
        <w:rPr>
          <w:rFonts w:hint="eastAsia" w:eastAsia="仿宋_GB2312"/>
        </w:rPr>
        <w:t>以及以及管道附属设施，购买吸污车</w:t>
      </w:r>
      <w:r>
        <w:rPr>
          <w:rFonts w:eastAsia="仿宋_GB2312"/>
        </w:rPr>
        <w:t>1</w:t>
      </w:r>
      <w:r>
        <w:rPr>
          <w:rFonts w:hint="eastAsia" w:eastAsia="仿宋_GB2312"/>
        </w:rPr>
        <w:t>辆、疏通车</w:t>
      </w:r>
      <w:r>
        <w:rPr>
          <w:rFonts w:eastAsia="仿宋_GB2312"/>
        </w:rPr>
        <w:t>1</w:t>
      </w:r>
      <w:r>
        <w:rPr>
          <w:rFonts w:hint="eastAsia" w:eastAsia="仿宋_GB2312"/>
        </w:rPr>
        <w:t>辆。主要由管道工程区、附属构筑物区组成。项目组成统计表，见表</w:t>
      </w:r>
      <w:r>
        <w:rPr>
          <w:rFonts w:eastAsia="仿宋_GB2312"/>
        </w:rPr>
        <w:t>2.1-2</w:t>
      </w:r>
      <w:r>
        <w:rPr>
          <w:rFonts w:hint="eastAsia" w:eastAsia="仿宋_GB2312"/>
        </w:rPr>
        <w:t>。</w:t>
      </w:r>
    </w:p>
    <w:p>
      <w:pPr>
        <w:topLinePunct w:val="0"/>
        <w:spacing w:line="240" w:lineRule="auto"/>
        <w:ind w:firstLine="0" w:firstLineChars="0"/>
        <w:jc w:val="center"/>
        <w:rPr>
          <w:rFonts w:eastAsia="仿宋_GB2312"/>
          <w:b/>
        </w:rPr>
      </w:pPr>
      <w:r>
        <w:rPr>
          <w:rFonts w:hint="eastAsia" w:eastAsia="仿宋_GB2312"/>
          <w:b/>
        </w:rPr>
        <w:t>表</w:t>
      </w:r>
      <w:r>
        <w:rPr>
          <w:rFonts w:eastAsia="仿宋_GB2312"/>
          <w:b/>
        </w:rPr>
        <w:t xml:space="preserve">2.1-2   </w:t>
      </w:r>
      <w:r>
        <w:rPr>
          <w:rFonts w:hint="eastAsia" w:eastAsia="仿宋_GB2312"/>
          <w:b/>
        </w:rPr>
        <w:t>项目组成统计表</w:t>
      </w:r>
    </w:p>
    <w:tbl>
      <w:tblPr>
        <w:tblStyle w:val="40"/>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839"/>
        <w:gridCol w:w="649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104"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项目组成名称</w:t>
            </w:r>
          </w:p>
        </w:tc>
        <w:tc>
          <w:tcPr>
            <w:tcW w:w="3896" w:type="pct"/>
            <w:vAlign w:val="center"/>
          </w:tcPr>
          <w:p>
            <w:pPr>
              <w:autoSpaceDE w:val="0"/>
              <w:autoSpaceDN w:val="0"/>
              <w:spacing w:line="0" w:lineRule="atLeast"/>
              <w:ind w:right="-20" w:firstLine="0" w:firstLineChars="0"/>
              <w:jc w:val="center"/>
              <w:rPr>
                <w:rFonts w:eastAsia="仿宋_GB2312"/>
                <w:sz w:val="21"/>
                <w:szCs w:val="21"/>
              </w:rPr>
            </w:pPr>
            <w:r>
              <w:rPr>
                <w:rFonts w:hint="eastAsia" w:eastAsia="仿宋_GB2312"/>
                <w:sz w:val="21"/>
                <w:szCs w:val="21"/>
              </w:rPr>
              <w:t>建设内容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104"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管道工程区</w:t>
            </w:r>
          </w:p>
        </w:tc>
        <w:tc>
          <w:tcPr>
            <w:tcW w:w="3896" w:type="pct"/>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改造</w:t>
            </w:r>
            <w:r>
              <w:rPr>
                <w:rFonts w:hint="eastAsia" w:eastAsia="仿宋_GB2312"/>
                <w:position w:val="-2"/>
                <w:sz w:val="21"/>
                <w:szCs w:val="21"/>
              </w:rPr>
              <w:t>排水管道4629</w:t>
            </w:r>
            <w:r>
              <w:rPr>
                <w:rFonts w:eastAsia="仿宋_GB2312"/>
                <w:position w:val="-2"/>
                <w:sz w:val="21"/>
                <w:szCs w:val="21"/>
              </w:rPr>
              <w:t>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104"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附属构筑物区</w:t>
            </w:r>
          </w:p>
        </w:tc>
        <w:tc>
          <w:tcPr>
            <w:tcW w:w="3896"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新建检查井203座</w:t>
            </w:r>
            <w:r>
              <w:rPr>
                <w:rFonts w:eastAsia="仿宋_GB2312"/>
                <w:position w:val="-2"/>
                <w:sz w:val="21"/>
                <w:szCs w:val="21"/>
              </w:rPr>
              <w:t>。</w:t>
            </w:r>
          </w:p>
        </w:tc>
      </w:tr>
    </w:tbl>
    <w:p>
      <w:pPr>
        <w:tabs>
          <w:tab w:val="left" w:pos="840"/>
          <w:tab w:val="left" w:pos="1485"/>
        </w:tabs>
        <w:spacing w:beforeLines="100"/>
        <w:ind w:firstLine="480"/>
        <w:rPr>
          <w:rFonts w:eastAsia="仿宋_GB2312"/>
        </w:rPr>
      </w:pPr>
      <w:bookmarkStart w:id="147" w:name="_Toc7801549"/>
      <w:bookmarkStart w:id="148" w:name="_Toc7801389"/>
      <w:bookmarkStart w:id="149" w:name="_Toc7801456"/>
      <w:r>
        <w:rPr>
          <w:rFonts w:hint="eastAsia" w:eastAsia="仿宋_GB2312"/>
        </w:rPr>
        <w:t>排水工程设计应以批准的镇区总体规划和排水总体规划为主要依据，从全局出发，根据规划年限、工程规模、经济效益、环境效益和社会效益，正确处理城镇、工业与农业之间，集中与分散、处理与利用、近期与远期的关系，通过全面论证，确保能够保护环境，技术先进，经济合理，安全适用。本次工程结合224团排水现状，对224团污水系统进行了提升改造。</w:t>
      </w:r>
    </w:p>
    <w:p>
      <w:pPr>
        <w:ind w:firstLine="480"/>
        <w:rPr>
          <w:rFonts w:eastAsia="仿宋_GB2312"/>
        </w:rPr>
      </w:pPr>
      <w:r>
        <w:rPr>
          <w:rFonts w:hint="eastAsia" w:eastAsia="仿宋_GB2312"/>
        </w:rPr>
        <w:t>1、设计规模</w:t>
      </w:r>
    </w:p>
    <w:p>
      <w:pPr>
        <w:ind w:firstLine="480"/>
        <w:rPr>
          <w:rFonts w:eastAsia="仿宋_GB2312"/>
        </w:rPr>
      </w:pPr>
      <w:r>
        <w:rPr>
          <w:rFonts w:hint="eastAsia" w:eastAsia="仿宋_GB2312"/>
        </w:rPr>
        <w:t>近期：总排水量</w:t>
      </w:r>
      <w:r>
        <w:rPr>
          <w:rFonts w:eastAsia="仿宋_GB2312"/>
        </w:rPr>
        <w:t>6000m</w:t>
      </w:r>
      <w:r>
        <w:rPr>
          <w:rFonts w:hint="eastAsia" w:eastAsia="仿宋_GB2312"/>
          <w:vertAlign w:val="superscript"/>
        </w:rPr>
        <w:t>3</w:t>
      </w:r>
      <w:r>
        <w:rPr>
          <w:rFonts w:eastAsia="仿宋_GB2312"/>
        </w:rPr>
        <w:t>/d</w:t>
      </w:r>
      <w:r>
        <w:rPr>
          <w:rFonts w:hint="eastAsia" w:eastAsia="仿宋_GB2312"/>
        </w:rPr>
        <w:t>；</w:t>
      </w:r>
    </w:p>
    <w:p>
      <w:pPr>
        <w:ind w:firstLine="480"/>
        <w:rPr>
          <w:rFonts w:eastAsia="仿宋_GB2312"/>
        </w:rPr>
      </w:pPr>
      <w:r>
        <w:rPr>
          <w:rFonts w:hint="eastAsia" w:eastAsia="仿宋_GB2312"/>
        </w:rPr>
        <w:t>远期：总排水量</w:t>
      </w:r>
      <w:r>
        <w:rPr>
          <w:rFonts w:eastAsia="仿宋_GB2312"/>
        </w:rPr>
        <w:t>16000 m</w:t>
      </w:r>
      <w:r>
        <w:rPr>
          <w:rFonts w:hint="eastAsia" w:eastAsia="仿宋_GB2312"/>
          <w:vertAlign w:val="superscript"/>
        </w:rPr>
        <w:t>3</w:t>
      </w:r>
      <w:r>
        <w:rPr>
          <w:rFonts w:eastAsia="仿宋_GB2312"/>
        </w:rPr>
        <w:t>/d</w:t>
      </w:r>
      <w:r>
        <w:rPr>
          <w:rFonts w:hint="eastAsia" w:eastAsia="仿宋_GB2312"/>
        </w:rPr>
        <w:t>；</w:t>
      </w:r>
    </w:p>
    <w:p>
      <w:pPr>
        <w:ind w:firstLine="480"/>
        <w:rPr>
          <w:rFonts w:eastAsia="仿宋_GB2312"/>
        </w:rPr>
      </w:pPr>
      <w:r>
        <w:rPr>
          <w:rFonts w:hint="eastAsia" w:eastAsia="仿宋_GB2312"/>
        </w:rPr>
        <w:t>2、设计参数</w:t>
      </w:r>
    </w:p>
    <w:p>
      <w:pPr>
        <w:ind w:firstLine="480"/>
        <w:rPr>
          <w:rFonts w:eastAsia="仿宋_GB2312"/>
        </w:rPr>
      </w:pPr>
      <w:r>
        <w:rPr>
          <w:rFonts w:hint="eastAsia" w:ascii="宋体" w:hAnsi="宋体" w:eastAsia="宋体" w:cs="宋体"/>
        </w:rPr>
        <w:t>①</w:t>
      </w:r>
      <w:r>
        <w:rPr>
          <w:rFonts w:hint="eastAsia" w:eastAsia="仿宋_GB2312"/>
        </w:rPr>
        <w:t>综合生活排水量标准：</w:t>
      </w:r>
    </w:p>
    <w:p>
      <w:pPr>
        <w:ind w:firstLine="480"/>
        <w:rPr>
          <w:rFonts w:eastAsia="仿宋_GB2312"/>
        </w:rPr>
      </w:pPr>
      <w:r>
        <w:rPr>
          <w:rFonts w:hint="eastAsia" w:eastAsia="仿宋_GB2312"/>
        </w:rPr>
        <w:t>近期综合生活最高日排水量标准：</w:t>
      </w:r>
      <w:r>
        <w:rPr>
          <w:rFonts w:eastAsia="仿宋_GB2312"/>
        </w:rPr>
        <w:t xml:space="preserve">110 </w:t>
      </w:r>
      <w:r>
        <w:rPr>
          <w:rFonts w:hint="eastAsia" w:eastAsia="仿宋_GB2312"/>
        </w:rPr>
        <w:t>升</w:t>
      </w:r>
      <w:r>
        <w:rPr>
          <w:rFonts w:eastAsia="仿宋_GB2312"/>
        </w:rPr>
        <w:t>/</w:t>
      </w:r>
      <w:r>
        <w:rPr>
          <w:rFonts w:hint="eastAsia" w:eastAsia="仿宋_GB2312"/>
        </w:rPr>
        <w:t>（人·日）；</w:t>
      </w:r>
    </w:p>
    <w:p>
      <w:pPr>
        <w:ind w:firstLine="480"/>
        <w:rPr>
          <w:rFonts w:eastAsia="仿宋_GB2312"/>
        </w:rPr>
      </w:pPr>
      <w:r>
        <w:rPr>
          <w:rFonts w:hint="eastAsia" w:eastAsia="仿宋_GB2312"/>
        </w:rPr>
        <w:t>远期综合生活最高日排水量标准：</w:t>
      </w:r>
      <w:r>
        <w:rPr>
          <w:rFonts w:eastAsia="仿宋_GB2312"/>
        </w:rPr>
        <w:t xml:space="preserve">130 </w:t>
      </w:r>
      <w:r>
        <w:rPr>
          <w:rFonts w:hint="eastAsia" w:eastAsia="仿宋_GB2312"/>
        </w:rPr>
        <w:t>升</w:t>
      </w:r>
      <w:r>
        <w:rPr>
          <w:rFonts w:eastAsia="仿宋_GB2312"/>
        </w:rPr>
        <w:t>/</w:t>
      </w:r>
      <w:r>
        <w:rPr>
          <w:rFonts w:hint="eastAsia" w:eastAsia="仿宋_GB2312"/>
        </w:rPr>
        <w:t>（人·日）。</w:t>
      </w:r>
    </w:p>
    <w:p>
      <w:pPr>
        <w:ind w:firstLine="480"/>
        <w:rPr>
          <w:rFonts w:eastAsia="仿宋_GB2312"/>
        </w:rPr>
      </w:pPr>
      <w:r>
        <w:rPr>
          <w:rFonts w:hint="eastAsia" w:ascii="宋体" w:hAnsi="宋体" w:eastAsia="宋体" w:cs="宋体"/>
        </w:rPr>
        <w:t>②</w:t>
      </w:r>
      <w:r>
        <w:rPr>
          <w:rFonts w:hint="eastAsia" w:eastAsia="仿宋_GB2312"/>
        </w:rPr>
        <w:t>根据规划工业用地规模对用水量情况进行预测。污水收集系数取值</w:t>
      </w:r>
      <w:r>
        <w:rPr>
          <w:rFonts w:eastAsia="仿宋_GB2312"/>
        </w:rPr>
        <w:t>0.8</w:t>
      </w:r>
      <w:r>
        <w:rPr>
          <w:rFonts w:hint="eastAsia" w:eastAsia="仿宋_GB2312"/>
        </w:rPr>
        <w:t>。</w:t>
      </w:r>
    </w:p>
    <w:p>
      <w:pPr>
        <w:ind w:firstLine="480"/>
        <w:rPr>
          <w:rFonts w:eastAsia="仿宋_GB2312"/>
        </w:rPr>
      </w:pPr>
      <w:r>
        <w:rPr>
          <w:rFonts w:hint="eastAsia" w:eastAsia="仿宋_GB2312"/>
        </w:rPr>
        <w:t>第十四师224团排水工程建设规模最终确定为：近期排水量为</w:t>
      </w:r>
      <w:r>
        <w:rPr>
          <w:rFonts w:eastAsia="仿宋_GB2312"/>
        </w:rPr>
        <w:t>6000</w:t>
      </w:r>
      <w:r>
        <w:rPr>
          <w:rFonts w:hint="eastAsia" w:eastAsia="仿宋_GB2312"/>
        </w:rPr>
        <w:t>立方米/日，远期排水量为</w:t>
      </w:r>
      <w:r>
        <w:rPr>
          <w:rFonts w:eastAsia="仿宋_GB2312"/>
        </w:rPr>
        <w:t>16000</w:t>
      </w:r>
      <w:r>
        <w:rPr>
          <w:rFonts w:hint="eastAsia" w:eastAsia="仿宋_GB2312"/>
        </w:rPr>
        <w:t>立方米/日。</w:t>
      </w:r>
    </w:p>
    <w:p>
      <w:pPr>
        <w:pStyle w:val="5"/>
      </w:pPr>
      <w:r>
        <w:rPr>
          <w:rFonts w:hint="eastAsia"/>
        </w:rPr>
        <w:t>平面布置</w:t>
      </w:r>
    </w:p>
    <w:p>
      <w:pPr>
        <w:tabs>
          <w:tab w:val="left" w:pos="840"/>
          <w:tab w:val="left" w:pos="1485"/>
        </w:tabs>
        <w:ind w:firstLine="480"/>
        <w:rPr>
          <w:rFonts w:eastAsia="仿宋_GB2312"/>
        </w:rPr>
      </w:pPr>
      <w:r>
        <w:rPr>
          <w:rFonts w:hint="eastAsia" w:eastAsia="仿宋_GB2312"/>
        </w:rPr>
        <w:t>224团镇区排水系统布局考虑充分利用地形，根据总体规划要求，按照地形特点来布置排水干管和截流干管，排水管网布局将排水主干管设置在昆玉大道，规划排水干管分别设置在迎宾路、玉枣路，干管污水均汇集在昆玉大道主干管上。</w:t>
      </w:r>
    </w:p>
    <w:p>
      <w:pPr>
        <w:tabs>
          <w:tab w:val="left" w:pos="840"/>
          <w:tab w:val="left" w:pos="1485"/>
        </w:tabs>
        <w:ind w:firstLine="480"/>
        <w:rPr>
          <w:rFonts w:eastAsia="仿宋_GB2312"/>
        </w:rPr>
      </w:pPr>
      <w:r>
        <w:rPr>
          <w:rFonts w:hint="eastAsia" w:eastAsia="仿宋_GB2312"/>
        </w:rPr>
        <w:t>本次管网设计按远期排水量设计，按近期需要建设，管网系统采用截流制，支管布置在地势较低一侧，主要布置在近期建设区域南侧；各支管污水经排水截流干管，接入排水总管，输送至污水处理厂内。</w:t>
      </w:r>
    </w:p>
    <w:p>
      <w:pPr>
        <w:pStyle w:val="5"/>
      </w:pPr>
      <w:r>
        <w:rPr>
          <w:rFonts w:hint="eastAsia"/>
        </w:rPr>
        <w:t>管道工程区</w:t>
      </w:r>
    </w:p>
    <w:p>
      <w:pPr>
        <w:tabs>
          <w:tab w:val="left" w:pos="840"/>
          <w:tab w:val="left" w:pos="1485"/>
        </w:tabs>
        <w:ind w:firstLine="480"/>
        <w:rPr>
          <w:rFonts w:eastAsia="仿宋_GB2312"/>
        </w:rPr>
      </w:pPr>
      <w:r>
        <w:rPr>
          <w:rFonts w:hint="eastAsia" w:eastAsia="仿宋_GB2312"/>
        </w:rPr>
        <w:t>本项目</w:t>
      </w:r>
      <w:r>
        <w:rPr>
          <w:rFonts w:eastAsia="仿宋_GB2312"/>
        </w:rPr>
        <w:t>改造</w:t>
      </w:r>
      <w:r>
        <w:rPr>
          <w:rFonts w:hint="eastAsia" w:eastAsia="仿宋_GB2312"/>
        </w:rPr>
        <w:t>排</w:t>
      </w:r>
      <w:r>
        <w:rPr>
          <w:rFonts w:eastAsia="仿宋_GB2312"/>
        </w:rPr>
        <w:t>水管道</w:t>
      </w:r>
      <w:r>
        <w:rPr>
          <w:rFonts w:hint="eastAsia" w:eastAsia="仿宋_GB2312"/>
        </w:rPr>
        <w:t>4629</w:t>
      </w:r>
      <w:r>
        <w:rPr>
          <w:rFonts w:eastAsia="仿宋_GB2312"/>
        </w:rPr>
        <w:t>m</w:t>
      </w:r>
      <w:r>
        <w:rPr>
          <w:rFonts w:hint="eastAsia" w:eastAsia="仿宋_GB2312"/>
        </w:rPr>
        <w:t>，其中改建</w:t>
      </w:r>
      <w:r>
        <w:rPr>
          <w:rFonts w:eastAsia="仿宋_GB2312"/>
        </w:rPr>
        <w:t>DN300HDPE</w:t>
      </w:r>
      <w:r>
        <w:rPr>
          <w:rFonts w:hint="eastAsia" w:eastAsia="仿宋_GB2312"/>
        </w:rPr>
        <w:t>双壁波纹排水管</w:t>
      </w:r>
      <w:r>
        <w:rPr>
          <w:rFonts w:eastAsia="仿宋_GB2312"/>
        </w:rPr>
        <w:t>1317m</w:t>
      </w:r>
      <w:r>
        <w:rPr>
          <w:rFonts w:hint="eastAsia" w:eastAsia="仿宋_GB2312"/>
        </w:rPr>
        <w:t>，改建</w:t>
      </w:r>
      <w:r>
        <w:rPr>
          <w:rFonts w:eastAsia="仿宋_GB2312"/>
        </w:rPr>
        <w:t>DN400HDPE</w:t>
      </w:r>
      <w:r>
        <w:rPr>
          <w:rFonts w:hint="eastAsia" w:eastAsia="仿宋_GB2312"/>
        </w:rPr>
        <w:t>双壁波纹管</w:t>
      </w:r>
      <w:r>
        <w:rPr>
          <w:rFonts w:eastAsia="仿宋_GB2312"/>
        </w:rPr>
        <w:t>3312m。</w:t>
      </w:r>
      <w:r>
        <w:rPr>
          <w:rFonts w:hint="eastAsia" w:eastAsia="仿宋_GB2312"/>
        </w:rPr>
        <w:t>总占地面积为2.71hm</w:t>
      </w:r>
      <w:r>
        <w:rPr>
          <w:rFonts w:hint="eastAsia" w:eastAsia="仿宋_GB2312"/>
          <w:vertAlign w:val="superscript"/>
        </w:rPr>
        <w:t>2</w:t>
      </w:r>
      <w:r>
        <w:rPr>
          <w:rFonts w:hint="eastAsia" w:eastAsia="仿宋_GB2312"/>
        </w:rPr>
        <w:t>，全部为临时占地。</w:t>
      </w:r>
    </w:p>
    <w:p>
      <w:pPr>
        <w:tabs>
          <w:tab w:val="left" w:pos="840"/>
          <w:tab w:val="left" w:pos="1485"/>
        </w:tabs>
        <w:ind w:firstLine="480"/>
        <w:rPr>
          <w:rFonts w:eastAsia="仿宋_GB2312"/>
          <w:b/>
        </w:rPr>
      </w:pPr>
      <w:r>
        <w:rPr>
          <w:rFonts w:hint="eastAsia" w:eastAsia="仿宋_GB2312"/>
          <w:b/>
        </w:rPr>
        <w:t>1、排水管网系统设计</w:t>
      </w:r>
    </w:p>
    <w:p>
      <w:pPr>
        <w:tabs>
          <w:tab w:val="left" w:pos="840"/>
          <w:tab w:val="left" w:pos="1485"/>
        </w:tabs>
        <w:ind w:firstLine="480"/>
        <w:rPr>
          <w:rFonts w:eastAsia="仿宋_GB2312"/>
        </w:rPr>
      </w:pPr>
      <w:r>
        <w:rPr>
          <w:rFonts w:hint="eastAsia" w:eastAsia="仿宋_GB2312"/>
        </w:rPr>
        <w:t>由于排水管网系统采用的是不完全分流制，无需负担自然降水导排，对于管道布置在道路两侧可调整范围较大，利于工程建设的投资经济性，设计中排水管网应尽量布置于道路两侧绿化带及人行道上，避开现有的建筑物及现有绿化区，以减少工程建设的拆迁补偿等附加费用。</w:t>
      </w:r>
    </w:p>
    <w:p>
      <w:pPr>
        <w:tabs>
          <w:tab w:val="left" w:pos="840"/>
          <w:tab w:val="left" w:pos="1485"/>
        </w:tabs>
        <w:ind w:firstLine="480"/>
        <w:rPr>
          <w:rFonts w:eastAsia="仿宋_GB2312"/>
        </w:rPr>
      </w:pPr>
      <w:r>
        <w:rPr>
          <w:rFonts w:hint="eastAsia" w:eastAsia="仿宋_GB2312"/>
        </w:rPr>
        <w:t>为方便排水用户的接入，以减少日后排水接户管穿越道路，本设计东西向排水管道布置于道路南侧，南北向排水管道布置于道路西侧。</w:t>
      </w:r>
    </w:p>
    <w:p>
      <w:pPr>
        <w:tabs>
          <w:tab w:val="left" w:pos="840"/>
          <w:tab w:val="left" w:pos="1485"/>
        </w:tabs>
        <w:ind w:firstLine="480"/>
        <w:rPr>
          <w:rFonts w:eastAsia="仿宋_GB2312"/>
        </w:rPr>
      </w:pPr>
      <w:r>
        <w:rPr>
          <w:rFonts w:hint="eastAsia" w:eastAsia="仿宋_GB2312"/>
        </w:rPr>
        <w:t>该项目根据224团土质的特点，本次改造管道管材DN</w:t>
      </w:r>
      <w:r>
        <w:rPr>
          <w:rFonts w:eastAsia="仿宋_GB2312"/>
        </w:rPr>
        <w:t>300~</w:t>
      </w:r>
      <w:r>
        <w:rPr>
          <w:rFonts w:hint="eastAsia" w:eastAsia="仿宋_GB2312"/>
        </w:rPr>
        <w:t>DN</w:t>
      </w:r>
      <w:r>
        <w:rPr>
          <w:rFonts w:eastAsia="仿宋_GB2312"/>
        </w:rPr>
        <w:t>400</w:t>
      </w:r>
      <w:r>
        <w:rPr>
          <w:rFonts w:hint="eastAsia" w:eastAsia="仿宋_GB2312"/>
        </w:rPr>
        <w:t>采用</w:t>
      </w:r>
      <w:r>
        <w:rPr>
          <w:rFonts w:eastAsia="仿宋_GB2312"/>
        </w:rPr>
        <w:t>HDPE</w:t>
      </w:r>
      <w:r>
        <w:rPr>
          <w:rFonts w:hint="eastAsia" w:eastAsia="仿宋_GB2312"/>
        </w:rPr>
        <w:t>双壁波纹排水管。</w:t>
      </w:r>
    </w:p>
    <w:p>
      <w:pPr>
        <w:tabs>
          <w:tab w:val="left" w:pos="840"/>
          <w:tab w:val="left" w:pos="1485"/>
        </w:tabs>
        <w:ind w:firstLine="480"/>
        <w:rPr>
          <w:rFonts w:eastAsia="仿宋_GB2312"/>
          <w:b/>
        </w:rPr>
      </w:pPr>
      <w:r>
        <w:rPr>
          <w:rFonts w:hint="eastAsia" w:eastAsia="仿宋_GB2312"/>
          <w:b/>
        </w:rPr>
        <w:t>2、排水管道埋设深度、基础、接口</w:t>
      </w:r>
    </w:p>
    <w:p>
      <w:pPr>
        <w:ind w:firstLine="480"/>
        <w:rPr>
          <w:rFonts w:eastAsia="仿宋_GB2312"/>
        </w:rPr>
      </w:pPr>
      <w:r>
        <w:rPr>
          <w:rFonts w:hint="eastAsia" w:eastAsia="仿宋_GB2312"/>
        </w:rPr>
        <w:t>（</w:t>
      </w:r>
      <w:r>
        <w:rPr>
          <w:rFonts w:eastAsia="仿宋_GB2312"/>
        </w:rPr>
        <w:t>1</w:t>
      </w:r>
      <w:r>
        <w:rPr>
          <w:rFonts w:hint="eastAsia" w:eastAsia="仿宋_GB2312"/>
        </w:rPr>
        <w:t>）管道埋深</w:t>
      </w:r>
    </w:p>
    <w:p>
      <w:pPr>
        <w:ind w:firstLine="480"/>
        <w:rPr>
          <w:rFonts w:eastAsia="仿宋_GB2312"/>
        </w:rPr>
      </w:pPr>
      <w:r>
        <w:rPr>
          <w:rFonts w:hint="eastAsia" w:eastAsia="仿宋_GB2312"/>
        </w:rPr>
        <w:t>根据镇气象特征、地形特点及地下水位因素，保证排水安全输送的前提下，镇排水管道埋深为：</w:t>
      </w:r>
    </w:p>
    <w:p>
      <w:pPr>
        <w:ind w:firstLine="480"/>
        <w:rPr>
          <w:rFonts w:eastAsia="仿宋_GB2312"/>
        </w:rPr>
      </w:pPr>
      <w:r>
        <w:rPr>
          <w:rFonts w:hint="eastAsia" w:eastAsia="仿宋_GB2312"/>
        </w:rPr>
        <w:t>排水主干管，截流干管是镇排水系统的主要部分，也是排水工程的一个主要工程部分，充分考虑安全性又不可埋设太深而造成工程费用增大，本工程设计其埋设深度为</w:t>
      </w:r>
      <w:r>
        <w:rPr>
          <w:rFonts w:eastAsia="仿宋_GB2312"/>
        </w:rPr>
        <w:t>2.5m</w:t>
      </w:r>
      <w:r>
        <w:rPr>
          <w:rFonts w:hint="eastAsia" w:eastAsia="仿宋_GB2312"/>
        </w:rPr>
        <w:t>～</w:t>
      </w:r>
      <w:r>
        <w:rPr>
          <w:rFonts w:eastAsia="仿宋_GB2312"/>
        </w:rPr>
        <w:t>3.5m</w:t>
      </w:r>
      <w:r>
        <w:rPr>
          <w:rFonts w:hint="eastAsia" w:eastAsia="仿宋_GB2312"/>
        </w:rPr>
        <w:t>。</w:t>
      </w:r>
    </w:p>
    <w:p>
      <w:pPr>
        <w:ind w:firstLine="480"/>
        <w:rPr>
          <w:rFonts w:eastAsia="仿宋_GB2312"/>
        </w:rPr>
      </w:pPr>
      <w:r>
        <w:rPr>
          <w:rFonts w:hint="eastAsia" w:eastAsia="仿宋_GB2312"/>
        </w:rPr>
        <w:t>汇水支干管及排水接户管其安全性容易保证，其埋设深度不易过深，设计为</w:t>
      </w:r>
      <w:r>
        <w:rPr>
          <w:rFonts w:eastAsia="仿宋_GB2312"/>
        </w:rPr>
        <w:t>1.5m</w:t>
      </w:r>
      <w:r>
        <w:rPr>
          <w:rFonts w:hint="eastAsia" w:eastAsia="仿宋_GB2312"/>
        </w:rPr>
        <w:t>～</w:t>
      </w:r>
      <w:r>
        <w:rPr>
          <w:rFonts w:eastAsia="仿宋_GB2312"/>
        </w:rPr>
        <w:t>2.5</w:t>
      </w:r>
      <w:r>
        <w:rPr>
          <w:rFonts w:hint="eastAsia" w:eastAsia="仿宋_GB2312"/>
        </w:rPr>
        <w:t>m之间。</w:t>
      </w:r>
    </w:p>
    <w:p>
      <w:pPr>
        <w:ind w:firstLine="480"/>
        <w:rPr>
          <w:rFonts w:eastAsia="仿宋_GB2312"/>
        </w:rPr>
      </w:pPr>
      <w:r>
        <w:rPr>
          <w:rFonts w:hint="eastAsia" w:eastAsia="仿宋_GB2312"/>
        </w:rPr>
        <w:t>（</w:t>
      </w:r>
      <w:r>
        <w:rPr>
          <w:rFonts w:eastAsia="仿宋_GB2312"/>
        </w:rPr>
        <w:t>2</w:t>
      </w:r>
      <w:r>
        <w:rPr>
          <w:rFonts w:hint="eastAsia" w:eastAsia="仿宋_GB2312"/>
        </w:rPr>
        <w:t>）管道基础及接口</w:t>
      </w:r>
    </w:p>
    <w:p>
      <w:pPr>
        <w:ind w:firstLine="480"/>
        <w:rPr>
          <w:rFonts w:eastAsia="仿宋_GB2312"/>
        </w:rPr>
      </w:pPr>
      <w:r>
        <w:rPr>
          <w:rFonts w:hint="eastAsia" w:eastAsia="仿宋_GB2312"/>
        </w:rPr>
        <w:t>本工程排水管道接口形式均设计为承插接口，接口内有橡胶圈进行密封，属于柔性接口，可保证排水安全性及便于施工、运行、维护。排水管道基础采用砂垫层基础，其下做</w:t>
      </w:r>
      <w:r>
        <w:rPr>
          <w:rFonts w:eastAsia="仿宋_GB2312"/>
        </w:rPr>
        <w:t>200mm</w:t>
      </w:r>
      <w:r>
        <w:rPr>
          <w:rFonts w:hint="eastAsia" w:eastAsia="仿宋_GB2312"/>
        </w:rPr>
        <w:t>厚砂垫层。</w:t>
      </w:r>
    </w:p>
    <w:p>
      <w:pPr>
        <w:ind w:firstLine="480"/>
        <w:rPr>
          <w:rFonts w:eastAsia="仿宋_GB2312"/>
        </w:rPr>
      </w:pPr>
      <w:r>
        <w:drawing>
          <wp:inline distT="0" distB="0" distL="114300" distR="114300">
            <wp:extent cx="3682365" cy="2474595"/>
            <wp:effectExtent l="0" t="0" r="5715"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2"/>
                    <a:stretch>
                      <a:fillRect/>
                    </a:stretch>
                  </pic:blipFill>
                  <pic:spPr>
                    <a:xfrm>
                      <a:off x="0" y="0"/>
                      <a:ext cx="3682365" cy="2474595"/>
                    </a:xfrm>
                    <a:prstGeom prst="rect">
                      <a:avLst/>
                    </a:prstGeom>
                    <a:noFill/>
                    <a:ln>
                      <a:noFill/>
                    </a:ln>
                  </pic:spPr>
                </pic:pic>
              </a:graphicData>
            </a:graphic>
          </wp:inline>
        </w:drawing>
      </w:r>
    </w:p>
    <w:p>
      <w:pPr>
        <w:tabs>
          <w:tab w:val="left" w:pos="840"/>
          <w:tab w:val="left" w:pos="1485"/>
        </w:tabs>
        <w:ind w:firstLine="480"/>
        <w:rPr>
          <w:rFonts w:eastAsia="仿宋_GB2312"/>
          <w:b/>
        </w:rPr>
      </w:pPr>
      <w:r>
        <w:rPr>
          <w:rFonts w:hint="eastAsia" w:eastAsia="仿宋_GB2312"/>
          <w:b/>
        </w:rPr>
        <w:t>3、主要工程量</w:t>
      </w:r>
    </w:p>
    <w:p>
      <w:pPr>
        <w:tabs>
          <w:tab w:val="left" w:pos="840"/>
          <w:tab w:val="left" w:pos="1485"/>
        </w:tabs>
        <w:ind w:firstLine="480"/>
        <w:rPr>
          <w:rFonts w:eastAsia="仿宋_GB2312"/>
        </w:rPr>
      </w:pPr>
      <w:r>
        <w:rPr>
          <w:rFonts w:hint="eastAsia" w:eastAsia="仿宋_GB2312"/>
        </w:rPr>
        <w:t>本次工程</w:t>
      </w:r>
      <w:r>
        <w:rPr>
          <w:rFonts w:eastAsia="仿宋_GB2312"/>
        </w:rPr>
        <w:t>改造</w:t>
      </w:r>
      <w:r>
        <w:rPr>
          <w:rFonts w:hint="eastAsia" w:eastAsia="仿宋_GB2312"/>
        </w:rPr>
        <w:t>排</w:t>
      </w:r>
      <w:r>
        <w:rPr>
          <w:rFonts w:eastAsia="仿宋_GB2312"/>
        </w:rPr>
        <w:t>水管道</w:t>
      </w:r>
      <w:r>
        <w:rPr>
          <w:rFonts w:hint="eastAsia" w:eastAsia="仿宋_GB2312"/>
        </w:rPr>
        <w:t>4629</w:t>
      </w:r>
      <w:r>
        <w:rPr>
          <w:rFonts w:eastAsia="仿宋_GB2312"/>
        </w:rPr>
        <w:t>m</w:t>
      </w:r>
      <w:r>
        <w:rPr>
          <w:rFonts w:hint="eastAsia" w:eastAsia="仿宋_GB2312"/>
        </w:rPr>
        <w:t>，其中改建</w:t>
      </w:r>
      <w:r>
        <w:rPr>
          <w:rFonts w:eastAsia="仿宋_GB2312"/>
        </w:rPr>
        <w:t>DN300HDPE</w:t>
      </w:r>
      <w:r>
        <w:rPr>
          <w:rFonts w:hint="eastAsia" w:eastAsia="仿宋_GB2312"/>
        </w:rPr>
        <w:t>双壁波纹排水管</w:t>
      </w:r>
      <w:r>
        <w:rPr>
          <w:rFonts w:eastAsia="仿宋_GB2312"/>
        </w:rPr>
        <w:t>1317m</w:t>
      </w:r>
      <w:r>
        <w:rPr>
          <w:rFonts w:hint="eastAsia" w:eastAsia="仿宋_GB2312"/>
        </w:rPr>
        <w:t>，开挖断面为梯形，开挖底宽0.9m，挖深2.5m，边坡0.25，施工作业带宽度为6.15m；改建</w:t>
      </w:r>
      <w:r>
        <w:rPr>
          <w:rFonts w:eastAsia="仿宋_GB2312"/>
        </w:rPr>
        <w:t>DN400HDPE</w:t>
      </w:r>
      <w:r>
        <w:rPr>
          <w:rFonts w:hint="eastAsia" w:eastAsia="仿宋_GB2312"/>
        </w:rPr>
        <w:t>双壁波纹管</w:t>
      </w:r>
      <w:r>
        <w:rPr>
          <w:rFonts w:eastAsia="仿宋_GB2312"/>
        </w:rPr>
        <w:t>3312m</w:t>
      </w:r>
      <w:r>
        <w:rPr>
          <w:rFonts w:hint="eastAsia" w:eastAsia="仿宋_GB2312"/>
        </w:rPr>
        <w:t>，开挖断面为梯形，开挖底宽1.0m，挖深2.5m，边坡0.25，施工作业带宽度为6.25m。</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125"/>
        <w:gridCol w:w="966"/>
        <w:gridCol w:w="966"/>
        <w:gridCol w:w="966"/>
        <w:gridCol w:w="966"/>
        <w:gridCol w:w="1604"/>
        <w:gridCol w:w="192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8" w:hRule="atLeast"/>
        </w:trPr>
        <w:tc>
          <w:tcPr>
            <w:tcW w:w="661" w:type="pct"/>
            <w:shd w:val="clear" w:color="auto" w:fill="auto"/>
            <w:noWrap/>
            <w:vAlign w:val="center"/>
          </w:tcPr>
          <w:p>
            <w:pPr>
              <w:widowControl/>
              <w:topLinePunct w:val="0"/>
              <w:adjustRightInd/>
              <w:snapToGrid/>
              <w:spacing w:line="240" w:lineRule="auto"/>
              <w:ind w:firstLine="440" w:firstLineChars="0"/>
              <w:jc w:val="center"/>
              <w:rPr>
                <w:rFonts w:eastAsia="仿宋_GB2312"/>
                <w:color w:val="FF0000"/>
                <w:sz w:val="21"/>
                <w:szCs w:val="21"/>
              </w:rPr>
            </w:pPr>
            <w:r>
              <w:rPr>
                <w:rFonts w:eastAsia="仿宋_GB2312"/>
                <w:color w:val="FF0000"/>
                <w:sz w:val="21"/>
                <w:szCs w:val="21"/>
              </w:rPr>
              <w:t>管径</w:t>
            </w: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长度</w:t>
            </w: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底宽</w:t>
            </w: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深度</w:t>
            </w: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边坡</w:t>
            </w:r>
          </w:p>
        </w:tc>
        <w:tc>
          <w:tcPr>
            <w:tcW w:w="942"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开挖宽度</w:t>
            </w:r>
          </w:p>
        </w:tc>
        <w:tc>
          <w:tcPr>
            <w:tcW w:w="1129"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作业带宽度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8" w:hRule="atLeast"/>
        </w:trPr>
        <w:tc>
          <w:tcPr>
            <w:tcW w:w="661"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dn300</w:t>
            </w: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1317</w:t>
            </w: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0.9</w:t>
            </w: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2.5</w:t>
            </w: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0.25</w:t>
            </w:r>
          </w:p>
        </w:tc>
        <w:tc>
          <w:tcPr>
            <w:tcW w:w="942"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2.15</w:t>
            </w:r>
          </w:p>
        </w:tc>
        <w:tc>
          <w:tcPr>
            <w:tcW w:w="1129"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6.15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8" w:hRule="atLeast"/>
        </w:trPr>
        <w:tc>
          <w:tcPr>
            <w:tcW w:w="661"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dn400</w:t>
            </w: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3312</w:t>
            </w: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1</w:t>
            </w: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2.5</w:t>
            </w: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0.25</w:t>
            </w:r>
          </w:p>
        </w:tc>
        <w:tc>
          <w:tcPr>
            <w:tcW w:w="942"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2.25</w:t>
            </w:r>
          </w:p>
        </w:tc>
        <w:tc>
          <w:tcPr>
            <w:tcW w:w="1129"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6.25</w:t>
            </w:r>
          </w:p>
        </w:tc>
      </w:tr>
    </w:tbl>
    <w:p>
      <w:pPr>
        <w:ind w:firstLine="480"/>
        <w:rPr>
          <w:rFonts w:eastAsia="仿宋_GB2312"/>
        </w:rPr>
      </w:pPr>
      <w:r>
        <w:rPr>
          <w:rFonts w:hint="eastAsia" w:eastAsia="仿宋_GB2312"/>
        </w:rPr>
        <w:t>由于本次工程施工区域占用部分市政道路，因此施工结束后需对破坏的路面进行恢复，本次需恢复道路1713m，具体做法为：①</w:t>
      </w:r>
      <w:r>
        <w:rPr>
          <w:rFonts w:eastAsia="仿宋_GB2312"/>
        </w:rPr>
        <w:t>180-220</w:t>
      </w:r>
      <w:r>
        <w:rPr>
          <w:rFonts w:hint="eastAsia" w:eastAsia="仿宋_GB2312"/>
        </w:rPr>
        <w:t>厚</w:t>
      </w:r>
      <w:r>
        <w:rPr>
          <w:rFonts w:eastAsia="仿宋_GB2312"/>
        </w:rPr>
        <w:t>C30</w:t>
      </w:r>
      <w:r>
        <w:rPr>
          <w:rFonts w:hint="eastAsia" w:eastAsia="仿宋_GB2312"/>
        </w:rPr>
        <w:t>混凝土层；②</w:t>
      </w:r>
      <w:r>
        <w:rPr>
          <w:rFonts w:eastAsia="仿宋_GB2312"/>
        </w:rPr>
        <w:t>150</w:t>
      </w:r>
      <w:r>
        <w:rPr>
          <w:rFonts w:hint="eastAsia" w:eastAsia="仿宋_GB2312"/>
        </w:rPr>
        <w:t>厚（</w:t>
      </w:r>
      <w:r>
        <w:rPr>
          <w:rFonts w:eastAsia="仿宋_GB2312"/>
        </w:rPr>
        <w:t>4%</w:t>
      </w:r>
      <w:r>
        <w:rPr>
          <w:rFonts w:hint="eastAsia" w:eastAsia="仿宋_GB2312"/>
        </w:rPr>
        <w:t>）水稳层；③路基碾压密实，密实度系数大于</w:t>
      </w:r>
      <w:r>
        <w:rPr>
          <w:rFonts w:eastAsia="仿宋_GB2312"/>
        </w:rPr>
        <w:t>0.93</w:t>
      </w:r>
      <w:r>
        <w:rPr>
          <w:rFonts w:hint="eastAsia" w:eastAsia="仿宋_GB2312"/>
        </w:rPr>
        <w:t>。</w:t>
      </w:r>
    </w:p>
    <w:p>
      <w:pPr>
        <w:pStyle w:val="5"/>
      </w:pPr>
      <w:r>
        <w:rPr>
          <w:rFonts w:hint="eastAsia"/>
        </w:rPr>
        <w:t>附属构筑物区</w:t>
      </w:r>
    </w:p>
    <w:p>
      <w:pPr>
        <w:ind w:firstLine="480"/>
        <w:rPr>
          <w:rFonts w:eastAsia="仿宋_GB2312"/>
        </w:rPr>
      </w:pPr>
      <w:r>
        <w:rPr>
          <w:rFonts w:hint="eastAsia" w:eastAsia="仿宋_GB2312"/>
        </w:rPr>
        <w:t>本工程</w:t>
      </w:r>
      <w:r>
        <w:rPr>
          <w:rFonts w:eastAsia="仿宋_GB2312"/>
        </w:rPr>
        <w:t>管道沿线附属建筑物</w:t>
      </w:r>
      <w:r>
        <w:rPr>
          <w:rFonts w:hint="eastAsia" w:eastAsia="仿宋_GB2312"/>
        </w:rPr>
        <w:t>主要为新建检查</w:t>
      </w:r>
      <w:r>
        <w:rPr>
          <w:rFonts w:eastAsia="仿宋_GB2312"/>
        </w:rPr>
        <w:t>井</w:t>
      </w:r>
      <w:r>
        <w:rPr>
          <w:rFonts w:hint="eastAsia" w:eastAsia="仿宋_GB2312"/>
        </w:rPr>
        <w:t>203座</w:t>
      </w:r>
      <w:r>
        <w:rPr>
          <w:rFonts w:eastAsia="仿宋_GB2312"/>
        </w:rPr>
        <w:t>。</w:t>
      </w:r>
      <w:r>
        <w:rPr>
          <w:rFonts w:hint="eastAsia" w:eastAsia="仿宋_GB2312"/>
        </w:rPr>
        <w:t>附属构筑物区总占地面积为0.17hm</w:t>
      </w:r>
      <w:r>
        <w:rPr>
          <w:rFonts w:hint="eastAsia" w:eastAsia="仿宋_GB2312"/>
          <w:vertAlign w:val="superscript"/>
        </w:rPr>
        <w:t>2</w:t>
      </w:r>
      <w:r>
        <w:rPr>
          <w:rFonts w:hint="eastAsia" w:eastAsia="仿宋_GB2312"/>
        </w:rPr>
        <w:t>，全部为永久占地。</w:t>
      </w:r>
    </w:p>
    <w:p>
      <w:pPr>
        <w:ind w:firstLine="480"/>
        <w:rPr>
          <w:rFonts w:eastAsia="仿宋_GB2312"/>
        </w:rPr>
      </w:pPr>
      <w:r>
        <w:rPr>
          <w:rFonts w:hint="eastAsia" w:eastAsia="仿宋_GB2312"/>
        </w:rPr>
        <w:t>224团排水管网布局范围较广，局部地形、管道工况较复杂，考虑排水管道日后的运行维护方便，排水检查井采用砌块检查井，为φ1250检查井，井内径1.25m，井室深1.5m，井深1.75m。</w:t>
      </w:r>
    </w:p>
    <w:p>
      <w:pPr>
        <w:ind w:firstLine="480"/>
        <w:rPr>
          <w:rFonts w:eastAsia="仿宋_GB2312"/>
        </w:rPr>
      </w:pPr>
      <w:r>
        <w:rPr>
          <w:rFonts w:hint="eastAsia" w:eastAsia="仿宋_GB2312"/>
        </w:rPr>
        <w:t>检查井井盖宜采用两种，位于车道有外负荷区域检查井，采用φ</w:t>
      </w:r>
      <w:r>
        <w:rPr>
          <w:rFonts w:eastAsia="仿宋_GB2312"/>
        </w:rPr>
        <w:t>700</w:t>
      </w:r>
      <w:r>
        <w:rPr>
          <w:rFonts w:hint="eastAsia" w:eastAsia="仿宋_GB2312"/>
        </w:rPr>
        <w:t>重型钢纤维砼井盖，位于人行道或空旷地无外负荷区域检查井，采用φ</w:t>
      </w:r>
      <w:r>
        <w:rPr>
          <w:rFonts w:eastAsia="仿宋_GB2312"/>
        </w:rPr>
        <w:t>700</w:t>
      </w:r>
      <w:r>
        <w:rPr>
          <w:rFonts w:hint="eastAsia" w:eastAsia="仿宋_GB2312"/>
        </w:rPr>
        <w:t>轻型钢纤维砼井盖。</w:t>
      </w:r>
    </w:p>
    <w:p>
      <w:pPr>
        <w:ind w:firstLine="480"/>
        <w:rPr>
          <w:rFonts w:eastAsia="仿宋_GB2312"/>
        </w:rPr>
      </w:pPr>
      <w:r>
        <w:rPr>
          <w:rFonts w:hint="eastAsia" w:eastAsia="仿宋_GB2312"/>
        </w:rPr>
        <w:t>管道检查井间距不可过大，设计为DN4</w:t>
      </w:r>
      <w:r>
        <w:rPr>
          <w:rFonts w:eastAsia="仿宋_GB2312"/>
        </w:rPr>
        <w:t>00</w:t>
      </w:r>
      <w:r>
        <w:rPr>
          <w:rFonts w:hint="eastAsia" w:eastAsia="仿宋_GB2312"/>
        </w:rPr>
        <w:t>排水管道检查井间距不大于</w:t>
      </w:r>
      <w:r>
        <w:rPr>
          <w:rFonts w:eastAsia="仿宋_GB2312"/>
        </w:rPr>
        <w:t>40m</w:t>
      </w:r>
      <w:r>
        <w:rPr>
          <w:rFonts w:hint="eastAsia" w:eastAsia="仿宋_GB2312"/>
        </w:rPr>
        <w:t>。</w:t>
      </w:r>
    </w:p>
    <w:p>
      <w:pPr>
        <w:pStyle w:val="3"/>
        <w:widowControl/>
        <w:numPr>
          <w:ilvl w:val="1"/>
          <w:numId w:val="1"/>
        </w:numPr>
        <w:tabs>
          <w:tab w:val="clear" w:pos="1002"/>
        </w:tabs>
        <w:topLinePunct w:val="0"/>
        <w:adjustRightInd/>
        <w:snapToGrid/>
        <w:ind w:left="0" w:firstLine="0"/>
        <w:jc w:val="both"/>
        <w:rPr>
          <w:rFonts w:eastAsia="仿宋_GB2312"/>
        </w:rPr>
      </w:pPr>
      <w:bookmarkStart w:id="150" w:name="_Toc50221499"/>
      <w:r>
        <w:rPr>
          <w:rFonts w:eastAsia="仿宋_GB2312"/>
        </w:rPr>
        <w:t>施工组织</w:t>
      </w:r>
      <w:bookmarkEnd w:id="147"/>
      <w:bookmarkEnd w:id="148"/>
      <w:bookmarkEnd w:id="149"/>
      <w:bookmarkEnd w:id="150"/>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施工</w:t>
      </w:r>
      <w:r>
        <w:rPr>
          <w:rFonts w:hint="eastAsia" w:eastAsia="仿宋_GB2312"/>
        </w:rPr>
        <w:t>生产生活区</w:t>
      </w:r>
    </w:p>
    <w:p>
      <w:pPr>
        <w:pStyle w:val="196"/>
        <w:adjustRightInd w:val="0"/>
        <w:rPr>
          <w:rFonts w:ascii="Times New Roman" w:hAnsi="Times New Roman" w:eastAsia="仿宋_GB2312" w:cs="Times New Roman"/>
          <w:spacing w:val="-2"/>
        </w:rPr>
      </w:pPr>
      <w:r>
        <w:rPr>
          <w:rFonts w:ascii="Times New Roman" w:hAnsi="Times New Roman" w:eastAsia="仿宋_GB2312" w:cs="Times New Roman"/>
        </w:rPr>
        <w:t>由于本项目位于第十四师</w:t>
      </w:r>
      <w:r>
        <w:rPr>
          <w:rFonts w:hint="eastAsia" w:ascii="Times New Roman" w:hAnsi="Times New Roman" w:eastAsia="仿宋_GB2312" w:cs="Times New Roman"/>
        </w:rPr>
        <w:t>224团</w:t>
      </w:r>
      <w:r>
        <w:rPr>
          <w:rFonts w:ascii="Times New Roman" w:hAnsi="Times New Roman" w:eastAsia="仿宋_GB2312" w:cs="Times New Roman"/>
        </w:rPr>
        <w:t>境内，建设区周边均有</w:t>
      </w:r>
      <w:r>
        <w:rPr>
          <w:rFonts w:hint="eastAsia" w:ascii="Times New Roman" w:hAnsi="Times New Roman" w:eastAsia="仿宋_GB2312" w:cs="Times New Roman"/>
        </w:rPr>
        <w:t>城镇</w:t>
      </w:r>
      <w:r>
        <w:rPr>
          <w:rFonts w:ascii="Times New Roman" w:hAnsi="Times New Roman" w:eastAsia="仿宋_GB2312" w:cs="Times New Roman"/>
        </w:rPr>
        <w:t>居民住宅，故本项目施工生产生活区租用当地民宅，可以减少地表扰动面积。</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hint="eastAsia" w:eastAsia="仿宋_GB2312"/>
        </w:rPr>
        <w:t>施工交通</w:t>
      </w:r>
    </w:p>
    <w:p>
      <w:pPr>
        <w:tabs>
          <w:tab w:val="left" w:pos="840"/>
          <w:tab w:val="left" w:pos="1485"/>
        </w:tabs>
        <w:ind w:firstLine="480"/>
        <w:rPr>
          <w:rFonts w:eastAsia="仿宋_GB2312"/>
        </w:rPr>
      </w:pPr>
      <w:r>
        <w:rPr>
          <w:rFonts w:hint="eastAsia" w:eastAsia="仿宋_GB2312"/>
        </w:rPr>
        <w:t>兵团第十四师</w:t>
      </w:r>
      <w:r>
        <w:rPr>
          <w:rFonts w:eastAsia="仿宋_GB2312"/>
        </w:rPr>
        <w:t>224</w:t>
      </w:r>
      <w:r>
        <w:rPr>
          <w:rFonts w:hint="eastAsia" w:eastAsia="仿宋_GB2312"/>
        </w:rPr>
        <w:t>团对外有较好的交通条件，其南部临</w:t>
      </w:r>
      <w:r>
        <w:rPr>
          <w:rFonts w:eastAsia="仿宋_GB2312"/>
        </w:rPr>
        <w:t>G315</w:t>
      </w:r>
      <w:r>
        <w:rPr>
          <w:rFonts w:hint="eastAsia" w:eastAsia="仿宋_GB2312"/>
        </w:rPr>
        <w:t>国道，喀和铁路从团部中间穿过，向西通往皮山、喀什，向东到达墨玉县城及和田市。二二四团内部通过近三年的开发建设骨干道路网已基本形成，南北向贯穿垦区的主干道已建成，向南与</w:t>
      </w:r>
      <w:r>
        <w:rPr>
          <w:rFonts w:eastAsia="仿宋_GB2312"/>
        </w:rPr>
        <w:t>G315</w:t>
      </w:r>
      <w:r>
        <w:rPr>
          <w:rFonts w:hint="eastAsia" w:eastAsia="仿宋_GB2312"/>
        </w:rPr>
        <w:t>国道相接，向北可至英阿瓦提村，垦区外有土质路通往墨玉县的雅瓦乡，接沥青公路可到达</w:t>
      </w:r>
      <w:r>
        <w:rPr>
          <w:rFonts w:eastAsia="仿宋_GB2312"/>
        </w:rPr>
        <w:t>47</w:t>
      </w:r>
      <w:r>
        <w:rPr>
          <w:rFonts w:hint="eastAsia" w:eastAsia="仿宋_GB2312"/>
        </w:rPr>
        <w:t>团和墨玉县城。垦区中部规划的六次干道以南南北向和东西向的道路网已建成，路面均为砂石路面，以上道路网的形成为垦区后续的开发建设提供了便利的交通条件。</w:t>
      </w:r>
    </w:p>
    <w:p>
      <w:pPr>
        <w:tabs>
          <w:tab w:val="left" w:pos="840"/>
          <w:tab w:val="left" w:pos="1485"/>
        </w:tabs>
        <w:ind w:firstLine="480"/>
        <w:rPr>
          <w:rFonts w:eastAsia="仿宋_GB2312"/>
        </w:rPr>
      </w:pPr>
      <w:r>
        <w:rPr>
          <w:rFonts w:hint="eastAsia" w:eastAsia="仿宋_GB2312"/>
        </w:rPr>
        <w:t>该工程污水管线均沿已有柏油路或土路布置，可满足施工期施工机械通行要求，对内交通便利。</w:t>
      </w:r>
      <w:r>
        <w:rPr>
          <w:rFonts w:eastAsia="仿宋_GB2312"/>
        </w:rPr>
        <w:t>工程外来器材物资及建筑材料运输均可采用公路运输，其运输能力完全能够满足本工程的要求。</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施工用水、用电</w:t>
      </w:r>
    </w:p>
    <w:p>
      <w:pPr>
        <w:tabs>
          <w:tab w:val="left" w:pos="840"/>
          <w:tab w:val="left" w:pos="1485"/>
        </w:tabs>
        <w:ind w:firstLine="480"/>
        <w:rPr>
          <w:rFonts w:eastAsia="仿宋_GB2312"/>
        </w:rPr>
      </w:pPr>
      <w:r>
        <w:rPr>
          <w:rFonts w:hint="eastAsia" w:eastAsia="仿宋_GB2312"/>
        </w:rPr>
        <w:t>施工用水：本项目施工用水量较小，施工用水及生活用水直接利用居民区的生活用水</w:t>
      </w:r>
      <w:r>
        <w:rPr>
          <w:rFonts w:eastAsia="仿宋_GB2312"/>
        </w:rPr>
        <w:t>。</w:t>
      </w:r>
    </w:p>
    <w:p>
      <w:pPr>
        <w:pStyle w:val="196"/>
        <w:adjustRightInd w:val="0"/>
        <w:rPr>
          <w:rFonts w:ascii="Times New Roman" w:hAnsi="Times New Roman" w:eastAsia="仿宋_GB2312"/>
          <w:spacing w:val="-2"/>
        </w:rPr>
      </w:pPr>
      <w:r>
        <w:rPr>
          <w:rFonts w:hint="eastAsia" w:eastAsia="仿宋_GB2312"/>
        </w:rPr>
        <w:t>施工用电：本项目施工用电来自</w:t>
      </w:r>
      <w:r>
        <w:rPr>
          <w:rFonts w:eastAsia="仿宋_GB2312"/>
        </w:rPr>
        <w:t>施工现场</w:t>
      </w:r>
      <w:r>
        <w:rPr>
          <w:rFonts w:hint="eastAsia" w:eastAsia="仿宋_GB2312"/>
        </w:rPr>
        <w:t>配备</w:t>
      </w:r>
      <w:r>
        <w:rPr>
          <w:rFonts w:eastAsia="仿宋_GB2312"/>
        </w:rPr>
        <w:t>移动式柴油发电机发电。</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取土（石、砂）场</w:t>
      </w:r>
    </w:p>
    <w:p>
      <w:pPr>
        <w:tabs>
          <w:tab w:val="left" w:pos="840"/>
          <w:tab w:val="left" w:pos="1485"/>
        </w:tabs>
        <w:ind w:firstLine="480"/>
        <w:rPr>
          <w:rFonts w:eastAsia="仿宋_GB2312"/>
        </w:rPr>
      </w:pPr>
      <w:r>
        <w:rPr>
          <w:rFonts w:eastAsia="仿宋_GB2312"/>
        </w:rPr>
        <w:t>本项目所需混凝土主要是购买成品混凝土，部分现场加工混凝土所需砂石料均从附近证照齐全的砂石料场购买，水土流失防治责任由相应的砂石料场业主负责。</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弃土（石、渣）场</w:t>
      </w:r>
    </w:p>
    <w:p>
      <w:pPr>
        <w:pStyle w:val="196"/>
        <w:adjustRightInd w:val="0"/>
        <w:rPr>
          <w:rFonts w:eastAsia="仿宋_GB2312"/>
          <w:color w:val="FF0000"/>
        </w:rPr>
      </w:pPr>
      <w:r>
        <w:rPr>
          <w:rFonts w:eastAsia="仿宋_GB2312"/>
        </w:rPr>
        <w:t>本项目不涉及弃渣场，项目建设期土方主要来源于</w:t>
      </w:r>
      <w:r>
        <w:rPr>
          <w:rFonts w:hint="eastAsia" w:eastAsia="仿宋_GB2312"/>
        </w:rPr>
        <w:t>各管沟开挖回填、建筑物基础开挖回填、场地平整</w:t>
      </w:r>
      <w:r>
        <w:rPr>
          <w:rFonts w:eastAsia="仿宋_GB2312"/>
        </w:rPr>
        <w:t>，通过合理调配利用，土方</w:t>
      </w:r>
      <w:r>
        <w:rPr>
          <w:rFonts w:hint="eastAsia" w:eastAsia="仿宋_GB2312"/>
        </w:rPr>
        <w:t>全部</w:t>
      </w:r>
      <w:r>
        <w:rPr>
          <w:rFonts w:eastAsia="仿宋_GB2312"/>
        </w:rPr>
        <w:t>回用于</w:t>
      </w:r>
      <w:r>
        <w:rPr>
          <w:rFonts w:hint="eastAsia" w:eastAsia="仿宋_GB2312"/>
        </w:rPr>
        <w:t>项目</w:t>
      </w:r>
      <w:r>
        <w:rPr>
          <w:rFonts w:eastAsia="仿宋_GB2312"/>
        </w:rPr>
        <w:t>建设区</w:t>
      </w:r>
      <w:r>
        <w:rPr>
          <w:rFonts w:hint="eastAsia" w:eastAsia="仿宋_GB2312"/>
        </w:rPr>
        <w:t>内，无永久弃渣</w:t>
      </w:r>
      <w:r>
        <w:rPr>
          <w:rFonts w:eastAsia="仿宋_GB2312"/>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施工方法与施工工艺</w:t>
      </w:r>
    </w:p>
    <w:p>
      <w:pPr>
        <w:pStyle w:val="5"/>
      </w:pPr>
      <w:r>
        <w:rPr>
          <w:rFonts w:hint="eastAsia"/>
        </w:rPr>
        <w:t>管道工程施工</w:t>
      </w:r>
    </w:p>
    <w:p>
      <w:pPr>
        <w:tabs>
          <w:tab w:val="left" w:pos="840"/>
          <w:tab w:val="left" w:pos="1485"/>
        </w:tabs>
        <w:ind w:firstLine="480"/>
        <w:rPr>
          <w:rFonts w:eastAsia="仿宋_GB2312"/>
        </w:rPr>
      </w:pPr>
      <w:r>
        <w:rPr>
          <w:rFonts w:hint="eastAsia" w:eastAsia="仿宋_GB2312"/>
        </w:rPr>
        <w:t>（</w:t>
      </w:r>
      <w:r>
        <w:rPr>
          <w:rFonts w:eastAsia="仿宋_GB2312"/>
        </w:rPr>
        <w:t>1</w:t>
      </w:r>
      <w:r>
        <w:rPr>
          <w:rFonts w:hint="eastAsia" w:eastAsia="仿宋_GB2312"/>
        </w:rPr>
        <w:t>）管沟开挖和回填</w:t>
      </w:r>
    </w:p>
    <w:p>
      <w:pPr>
        <w:tabs>
          <w:tab w:val="left" w:pos="840"/>
          <w:tab w:val="left" w:pos="1485"/>
        </w:tabs>
        <w:ind w:firstLine="480"/>
        <w:rPr>
          <w:rFonts w:eastAsia="仿宋_GB2312"/>
        </w:rPr>
      </w:pPr>
      <w:r>
        <w:rPr>
          <w:rFonts w:hint="eastAsia" w:eastAsia="仿宋_GB2312"/>
        </w:rPr>
        <w:t>管沟开挖前应进行复测和引桩拐点，每隔</w:t>
      </w:r>
      <w:r>
        <w:rPr>
          <w:rFonts w:eastAsia="仿宋_GB2312"/>
        </w:rPr>
        <w:t>200m</w:t>
      </w:r>
      <w:r>
        <w:rPr>
          <w:rFonts w:hint="eastAsia" w:eastAsia="仿宋_GB2312"/>
        </w:rPr>
        <w:t>处应设中心控制桩，并注明桩号，里程、高程。管沟开挖采用</w:t>
      </w:r>
      <w:r>
        <w:rPr>
          <w:rFonts w:eastAsia="仿宋_GB2312"/>
        </w:rPr>
        <w:t>0.6m</w:t>
      </w:r>
      <w:r>
        <w:rPr>
          <w:rFonts w:eastAsia="仿宋_GB2312"/>
          <w:vertAlign w:val="superscript"/>
        </w:rPr>
        <w:t>3</w:t>
      </w:r>
      <w:r>
        <w:rPr>
          <w:rFonts w:hint="eastAsia" w:eastAsia="仿宋_GB2312"/>
        </w:rPr>
        <w:t>挖掘机分段开挖，管沟底部设计高程以上</w:t>
      </w:r>
      <w:r>
        <w:rPr>
          <w:rFonts w:eastAsia="仿宋_GB2312"/>
        </w:rPr>
        <w:t>0.1-0.2m</w:t>
      </w:r>
      <w:r>
        <w:rPr>
          <w:rFonts w:hint="eastAsia" w:eastAsia="仿宋_GB2312"/>
        </w:rPr>
        <w:t>的原状土应予以保留，不宜挖至管沟底设计标高以下，铺设管道前用人工辅助找平，管沟底部要求平整，无石块、瓦砾、树梗等硬杂物。如局部超挖，需用砂土或符合要求的原状土填补并分层夯实，并使其达到天然密实度。开挖土方堆置在沟槽一侧，不得影响建筑物、各种管线和其他设施的安全和下管施工。堆土高度不宜超过</w:t>
      </w:r>
      <w:r>
        <w:rPr>
          <w:rFonts w:eastAsia="仿宋_GB2312"/>
        </w:rPr>
        <w:t>1.5m</w:t>
      </w:r>
      <w:r>
        <w:rPr>
          <w:rFonts w:hint="eastAsia" w:eastAsia="仿宋_GB2312"/>
        </w:rPr>
        <w:t>，且距沟槽边缘不宜小于</w:t>
      </w:r>
      <w:r>
        <w:rPr>
          <w:rFonts w:eastAsia="仿宋_GB2312"/>
        </w:rPr>
        <w:t>1m</w:t>
      </w:r>
      <w:r>
        <w:rPr>
          <w:rFonts w:hint="eastAsia" w:eastAsia="仿宋_GB2312"/>
        </w:rPr>
        <w:t>。配合人工修整开挖断面，管沟应顺直，沟底应平整坚实。</w:t>
      </w:r>
    </w:p>
    <w:p>
      <w:pPr>
        <w:tabs>
          <w:tab w:val="left" w:pos="840"/>
          <w:tab w:val="left" w:pos="1485"/>
        </w:tabs>
        <w:ind w:firstLine="480"/>
        <w:rPr>
          <w:rFonts w:eastAsia="仿宋_GB2312"/>
        </w:rPr>
      </w:pPr>
      <w:r>
        <w:rPr>
          <w:rFonts w:hint="eastAsia" w:eastAsia="仿宋_GB2312"/>
        </w:rPr>
        <w:t>管道工程区应对称分层回填，严禁单侧回填，每次回填厚度为</w:t>
      </w:r>
      <w:r>
        <w:rPr>
          <w:rFonts w:eastAsia="仿宋_GB2312"/>
        </w:rPr>
        <w:t>30cm</w:t>
      </w:r>
      <w:r>
        <w:rPr>
          <w:rFonts w:hint="eastAsia" w:eastAsia="仿宋_GB2312"/>
        </w:rPr>
        <w:t>。管底以下</w:t>
      </w:r>
      <w:r>
        <w:rPr>
          <w:rFonts w:eastAsia="仿宋_GB2312"/>
        </w:rPr>
        <w:t>10cm</w:t>
      </w:r>
      <w:r>
        <w:rPr>
          <w:rFonts w:hint="eastAsia" w:eastAsia="仿宋_GB2312"/>
        </w:rPr>
        <w:t>至管顶以上</w:t>
      </w:r>
      <w:r>
        <w:rPr>
          <w:rFonts w:eastAsia="仿宋_GB2312"/>
        </w:rPr>
        <w:t>20cm</w:t>
      </w:r>
      <w:r>
        <w:rPr>
          <w:rFonts w:hint="eastAsia" w:eastAsia="仿宋_GB2312"/>
        </w:rPr>
        <w:t>应人工回填细粒料，砂砾石段细砂砾料采用开挖原状土筛分回填，除管底以下</w:t>
      </w:r>
      <w:r>
        <w:rPr>
          <w:rFonts w:eastAsia="仿宋_GB2312"/>
        </w:rPr>
        <w:t>10cm</w:t>
      </w:r>
      <w:r>
        <w:rPr>
          <w:rFonts w:hint="eastAsia" w:eastAsia="仿宋_GB2312"/>
        </w:rPr>
        <w:t>至管顶以上</w:t>
      </w:r>
      <w:r>
        <w:rPr>
          <w:rFonts w:eastAsia="仿宋_GB2312"/>
        </w:rPr>
        <w:t>20cm</w:t>
      </w:r>
      <w:r>
        <w:rPr>
          <w:rFonts w:hint="eastAsia" w:eastAsia="仿宋_GB2312"/>
        </w:rPr>
        <w:t>范围内回填细砂砾料，最大粒径不超</w:t>
      </w:r>
      <w:r>
        <w:rPr>
          <w:rFonts w:eastAsia="仿宋_GB2312"/>
        </w:rPr>
        <w:t>2.0cm,</w:t>
      </w:r>
      <w:r>
        <w:rPr>
          <w:rFonts w:hint="eastAsia" w:eastAsia="仿宋_GB2312"/>
        </w:rPr>
        <w:t>采用人工回填；回填料中不应有机杂物和垃圾。其余部分采用</w:t>
      </w:r>
      <w:r>
        <w:rPr>
          <w:rFonts w:eastAsia="仿宋_GB2312"/>
        </w:rPr>
        <w:t>59KW</w:t>
      </w:r>
      <w:r>
        <w:rPr>
          <w:rFonts w:hint="eastAsia" w:eastAsia="仿宋_GB2312"/>
        </w:rPr>
        <w:t>机械回填。镇墩、阀井开挖宜与管沟开挖同时进行。</w:t>
      </w:r>
    </w:p>
    <w:p>
      <w:pPr>
        <w:tabs>
          <w:tab w:val="left" w:pos="840"/>
          <w:tab w:val="left" w:pos="1485"/>
        </w:tabs>
        <w:ind w:firstLine="480"/>
        <w:rPr>
          <w:rFonts w:eastAsia="仿宋_GB2312"/>
        </w:rPr>
      </w:pPr>
      <w:r>
        <w:rPr>
          <w:rFonts w:hint="eastAsia" w:eastAsia="仿宋_GB2312"/>
        </w:rPr>
        <w:t>（</w:t>
      </w:r>
      <w:r>
        <w:rPr>
          <w:rFonts w:eastAsia="仿宋_GB2312"/>
        </w:rPr>
        <w:t>2</w:t>
      </w:r>
      <w:r>
        <w:rPr>
          <w:rFonts w:hint="eastAsia" w:eastAsia="仿宋_GB2312"/>
        </w:rPr>
        <w:t>）管道的铺设</w:t>
      </w:r>
    </w:p>
    <w:p>
      <w:pPr>
        <w:tabs>
          <w:tab w:val="left" w:pos="840"/>
          <w:tab w:val="left" w:pos="1485"/>
        </w:tabs>
        <w:ind w:firstLine="480"/>
        <w:rPr>
          <w:rFonts w:eastAsia="仿宋_GB2312"/>
        </w:rPr>
      </w:pPr>
      <w:r>
        <w:rPr>
          <w:rFonts w:hint="eastAsia" w:eastAsia="仿宋_GB2312"/>
        </w:rPr>
        <w:t>本次工程管材在</w:t>
      </w:r>
      <w:r>
        <w:rPr>
          <w:rFonts w:eastAsia="仿宋_GB2312"/>
        </w:rPr>
        <w:t>110-200mm</w:t>
      </w:r>
      <w:r>
        <w:rPr>
          <w:rFonts w:hint="eastAsia" w:eastAsia="仿宋_GB2312"/>
        </w:rPr>
        <w:t>之间，在管道施工中，可以采用人工下管的施工方法。人工下管一般以</w:t>
      </w:r>
      <w:r>
        <w:rPr>
          <w:rFonts w:eastAsia="仿宋_GB2312"/>
        </w:rPr>
        <w:t>2-4</w:t>
      </w:r>
      <w:r>
        <w:rPr>
          <w:rFonts w:hint="eastAsia" w:eastAsia="仿宋_GB2312"/>
        </w:rPr>
        <w:t>人为一组，施工人员分两侧排开，用大绳将管材吊起，缓慢地将管材放入管沟中，下管时应匀速缓放，严禁直接将管材推入管沟中。</w:t>
      </w:r>
    </w:p>
    <w:p>
      <w:pPr>
        <w:pStyle w:val="5"/>
      </w:pPr>
      <w:r>
        <w:rPr>
          <w:rFonts w:hint="eastAsia"/>
        </w:rPr>
        <w:t>附属建筑物施工</w:t>
      </w:r>
    </w:p>
    <w:p>
      <w:pPr>
        <w:tabs>
          <w:tab w:val="left" w:pos="840"/>
          <w:tab w:val="left" w:pos="1485"/>
        </w:tabs>
        <w:ind w:firstLine="480"/>
        <w:rPr>
          <w:rFonts w:eastAsia="仿宋_GB2312"/>
        </w:rPr>
      </w:pPr>
      <w:r>
        <w:rPr>
          <w:rFonts w:hint="eastAsia" w:eastAsia="仿宋_GB2312"/>
        </w:rPr>
        <w:t>考虑管线线路长，附属建筑物施工分散，构筑物施工可与管道施工同步进行。采用</w:t>
      </w:r>
      <w:r>
        <w:rPr>
          <w:rFonts w:eastAsia="仿宋_GB2312"/>
        </w:rPr>
        <w:t>10t</w:t>
      </w:r>
      <w:r>
        <w:rPr>
          <w:rFonts w:hint="eastAsia" w:eastAsia="仿宋_GB2312"/>
        </w:rPr>
        <w:t>自卸车运输砼骨料，平均拉运</w:t>
      </w:r>
      <w:r>
        <w:rPr>
          <w:rFonts w:eastAsia="仿宋_GB2312"/>
        </w:rPr>
        <w:t>77km</w:t>
      </w:r>
      <w:r>
        <w:rPr>
          <w:rFonts w:hint="eastAsia" w:eastAsia="仿宋_GB2312"/>
        </w:rPr>
        <w:t>至临时砼骨料堆放点，采用</w:t>
      </w:r>
      <w:r>
        <w:rPr>
          <w:rFonts w:eastAsia="仿宋_GB2312"/>
        </w:rPr>
        <w:t>0.4m</w:t>
      </w:r>
      <w:r>
        <w:rPr>
          <w:rFonts w:eastAsia="仿宋_GB2312"/>
          <w:vertAlign w:val="superscript"/>
        </w:rPr>
        <w:t>3</w:t>
      </w:r>
      <w:r>
        <w:rPr>
          <w:rFonts w:hint="eastAsia" w:eastAsia="仿宋_GB2312"/>
        </w:rPr>
        <w:t>搅拌机搅拌，手推胶轮车推送，溜槽入仓</w:t>
      </w:r>
      <w:r>
        <w:rPr>
          <w:rFonts w:eastAsia="仿宋_GB2312"/>
        </w:rPr>
        <w:t>1.1kw</w:t>
      </w:r>
      <w:r>
        <w:rPr>
          <w:rFonts w:hint="eastAsia" w:eastAsia="仿宋_GB2312"/>
        </w:rPr>
        <w:t>插入式振捣器振捣。砼应随拌、随运、随用，运输中不应有分离、漏浆和严重泌水现象，机械和人工捣固的时间，应以砼开始泛浆时为准。混凝土的下落高度不应超过</w:t>
      </w:r>
      <w:r>
        <w:rPr>
          <w:rFonts w:eastAsia="仿宋_GB2312"/>
        </w:rPr>
        <w:t>2m</w:t>
      </w:r>
      <w:r>
        <w:rPr>
          <w:rFonts w:hint="eastAsia" w:eastAsia="仿宋_GB2312"/>
        </w:rPr>
        <w:t>，混凝土必须分层浇注，浇注层的厚度应满足规范的要求，混凝土应连续浇注，以保证结构良好的整体性，如必须间歇，在</w:t>
      </w:r>
      <w:r>
        <w:rPr>
          <w:rFonts w:eastAsia="仿宋_GB2312"/>
        </w:rPr>
        <w:t>25</w:t>
      </w:r>
      <w:r>
        <w:rPr>
          <w:rFonts w:hint="eastAsia" w:eastAsia="仿宋_GB2312"/>
        </w:rPr>
        <w:t>℃以下间歇时间最长不超过</w:t>
      </w:r>
      <w:r>
        <w:rPr>
          <w:rFonts w:eastAsia="仿宋_GB2312"/>
        </w:rPr>
        <w:t>210</w:t>
      </w:r>
      <w:r>
        <w:rPr>
          <w:rFonts w:hint="eastAsia" w:eastAsia="仿宋_GB2312"/>
        </w:rPr>
        <w:t>分钟。砼配合比应进行配合比试验确定，其选用配合比应满足强度、抗渗、抗冻、和易性的设计要求，在砼浇筑完毕后</w:t>
      </w:r>
      <w:r>
        <w:rPr>
          <w:rFonts w:eastAsia="仿宋_GB2312"/>
        </w:rPr>
        <w:t>12</w:t>
      </w:r>
      <w:r>
        <w:rPr>
          <w:rFonts w:hint="eastAsia" w:eastAsia="仿宋_GB2312"/>
        </w:rPr>
        <w:t>－</w:t>
      </w:r>
      <w:r>
        <w:rPr>
          <w:rFonts w:eastAsia="仿宋_GB2312"/>
        </w:rPr>
        <w:t>28h</w:t>
      </w:r>
      <w:r>
        <w:rPr>
          <w:rFonts w:hint="eastAsia" w:eastAsia="仿宋_GB2312"/>
        </w:rPr>
        <w:t>内开始洒水养护，其养护期时间应在</w:t>
      </w:r>
      <w:r>
        <w:rPr>
          <w:rFonts w:eastAsia="仿宋_GB2312"/>
        </w:rPr>
        <w:t>14</w:t>
      </w:r>
      <w:r>
        <w:rPr>
          <w:rFonts w:hint="eastAsia" w:eastAsia="仿宋_GB2312"/>
        </w:rPr>
        <w:t>天以上，在干燥、炎热气候条件下，应养护</w:t>
      </w:r>
      <w:r>
        <w:rPr>
          <w:rFonts w:eastAsia="仿宋_GB2312"/>
        </w:rPr>
        <w:t>28</w:t>
      </w:r>
      <w:r>
        <w:rPr>
          <w:rFonts w:hint="eastAsia" w:eastAsia="仿宋_GB2312"/>
        </w:rPr>
        <w:t>天以上。混凝土与土体接触面应人工刷沥青防腐</w:t>
      </w:r>
    </w:p>
    <w:p>
      <w:pPr>
        <w:pStyle w:val="3"/>
        <w:widowControl/>
        <w:numPr>
          <w:ilvl w:val="1"/>
          <w:numId w:val="1"/>
        </w:numPr>
        <w:tabs>
          <w:tab w:val="clear" w:pos="1002"/>
        </w:tabs>
        <w:topLinePunct w:val="0"/>
        <w:adjustRightInd/>
        <w:snapToGrid/>
        <w:ind w:left="0" w:firstLine="0"/>
        <w:jc w:val="both"/>
        <w:rPr>
          <w:rFonts w:eastAsia="仿宋_GB2312"/>
        </w:rPr>
      </w:pPr>
      <w:bookmarkStart w:id="151" w:name="_Toc7801457"/>
      <w:bookmarkStart w:id="152" w:name="_Toc7801550"/>
      <w:bookmarkStart w:id="153" w:name="_Toc7801390"/>
      <w:bookmarkStart w:id="154" w:name="_Toc255304525"/>
      <w:bookmarkStart w:id="155" w:name="_Toc50221500"/>
      <w:r>
        <w:rPr>
          <w:rFonts w:eastAsia="仿宋_GB2312"/>
        </w:rPr>
        <w:t>工程占地</w:t>
      </w:r>
      <w:bookmarkEnd w:id="151"/>
      <w:bookmarkEnd w:id="152"/>
      <w:bookmarkEnd w:id="153"/>
      <w:bookmarkEnd w:id="154"/>
      <w:bookmarkEnd w:id="155"/>
    </w:p>
    <w:p>
      <w:pPr>
        <w:tabs>
          <w:tab w:val="left" w:pos="840"/>
          <w:tab w:val="left" w:pos="1485"/>
        </w:tabs>
        <w:ind w:firstLine="480"/>
        <w:rPr>
          <w:rFonts w:eastAsia="仿宋_GB2312"/>
          <w:color w:val="FF0000"/>
        </w:rPr>
      </w:pPr>
      <w:r>
        <w:rPr>
          <w:rFonts w:hint="eastAsia" w:eastAsia="仿宋_GB2312"/>
        </w:rPr>
        <w:t>第十四师224团团部污水管网改造项目</w:t>
      </w:r>
      <w:r>
        <w:rPr>
          <w:rFonts w:eastAsia="仿宋_GB2312"/>
        </w:rPr>
        <w:t>总占地面积为</w:t>
      </w:r>
      <w:r>
        <w:rPr>
          <w:rFonts w:hint="eastAsia" w:eastAsia="仿宋_GB2312"/>
        </w:rPr>
        <w:t>2.88h</w:t>
      </w:r>
      <w:r>
        <w:rPr>
          <w:rFonts w:eastAsia="仿宋_GB2312"/>
        </w:rPr>
        <w:t>m²，</w:t>
      </w:r>
      <w:r>
        <w:rPr>
          <w:rFonts w:hint="eastAsia" w:eastAsia="仿宋_GB2312"/>
        </w:rPr>
        <w:t>其中</w:t>
      </w:r>
      <w:r>
        <w:rPr>
          <w:rFonts w:eastAsia="仿宋_GB2312"/>
        </w:rPr>
        <w:t>永久占地</w:t>
      </w:r>
      <w:r>
        <w:rPr>
          <w:rFonts w:hint="eastAsia" w:eastAsia="仿宋_GB2312"/>
        </w:rPr>
        <w:t>0.17h</w:t>
      </w:r>
      <w:r>
        <w:rPr>
          <w:rFonts w:eastAsia="仿宋_GB2312"/>
        </w:rPr>
        <w:t>m²，</w:t>
      </w:r>
      <w:r>
        <w:rPr>
          <w:rFonts w:hint="eastAsia" w:eastAsia="仿宋_GB2312"/>
        </w:rPr>
        <w:t>临时占地2.71h</w:t>
      </w:r>
      <w:r>
        <w:rPr>
          <w:rFonts w:eastAsia="仿宋_GB2312"/>
        </w:rPr>
        <w:t>m²，项目占地范围内土地</w:t>
      </w:r>
      <w:r>
        <w:rPr>
          <w:rFonts w:hint="eastAsia" w:eastAsia="仿宋_GB2312"/>
        </w:rPr>
        <w:t>类型</w:t>
      </w:r>
      <w:r>
        <w:rPr>
          <w:rFonts w:eastAsia="仿宋_GB2312"/>
        </w:rPr>
        <w:t>为</w:t>
      </w:r>
      <w:r>
        <w:rPr>
          <w:rFonts w:hint="eastAsia" w:eastAsia="仿宋_GB2312"/>
        </w:rPr>
        <w:t>建设用地</w:t>
      </w:r>
      <w:r>
        <w:rPr>
          <w:rFonts w:eastAsia="仿宋_GB2312"/>
        </w:rPr>
        <w:t>。</w:t>
      </w:r>
    </w:p>
    <w:p>
      <w:pPr>
        <w:tabs>
          <w:tab w:val="left" w:pos="840"/>
          <w:tab w:val="left" w:pos="1485"/>
        </w:tabs>
        <w:ind w:firstLine="480"/>
        <w:rPr>
          <w:rFonts w:eastAsia="仿宋_GB2312"/>
        </w:rPr>
      </w:pPr>
      <w:r>
        <w:rPr>
          <w:rFonts w:hint="eastAsia" w:eastAsia="仿宋_GB2312"/>
        </w:rPr>
        <w:t>其中管道工程区新建排水管道4629m，作业带宽度为6.15m、6.25m，占地2.71</w:t>
      </w:r>
      <w:r>
        <w:rPr>
          <w:rFonts w:eastAsia="仿宋_GB2312"/>
        </w:rPr>
        <w:t>hm</w:t>
      </w:r>
      <w:r>
        <w:rPr>
          <w:rFonts w:eastAsia="仿宋_GB2312"/>
          <w:vertAlign w:val="superscript"/>
        </w:rPr>
        <w:t>2</w:t>
      </w:r>
      <w:r>
        <w:rPr>
          <w:rFonts w:hint="eastAsia" w:eastAsia="仿宋_GB2312"/>
        </w:rPr>
        <w:t>，全部为临时占地；附属构筑物区主要为新建检查井占地，共新建检查井203座，合计0.17</w:t>
      </w:r>
      <w:r>
        <w:rPr>
          <w:rFonts w:eastAsia="仿宋_GB2312"/>
        </w:rPr>
        <w:t>hm</w:t>
      </w:r>
      <w:r>
        <w:rPr>
          <w:rFonts w:eastAsia="仿宋_GB2312"/>
          <w:vertAlign w:val="superscript"/>
        </w:rPr>
        <w:t>2</w:t>
      </w:r>
      <w:r>
        <w:rPr>
          <w:rFonts w:hint="eastAsia" w:eastAsia="仿宋_GB2312"/>
        </w:rPr>
        <w:t>，全部为永久占地。</w:t>
      </w:r>
    </w:p>
    <w:p>
      <w:pPr>
        <w:tabs>
          <w:tab w:val="left" w:pos="840"/>
          <w:tab w:val="left" w:pos="1485"/>
        </w:tabs>
        <w:ind w:firstLine="480"/>
        <w:rPr>
          <w:rFonts w:eastAsia="仿宋_GB2312"/>
        </w:rPr>
      </w:pPr>
      <w:r>
        <w:rPr>
          <w:rFonts w:eastAsia="仿宋_GB2312"/>
        </w:rPr>
        <w:t>工程占地面积统计表，见表2.</w:t>
      </w:r>
      <w:r>
        <w:rPr>
          <w:rFonts w:hint="eastAsia" w:eastAsia="仿宋_GB2312"/>
        </w:rPr>
        <w:t>3</w:t>
      </w:r>
      <w:r>
        <w:rPr>
          <w:rFonts w:eastAsia="仿宋_GB2312"/>
        </w:rPr>
        <w:t>-1。</w:t>
      </w:r>
    </w:p>
    <w:p>
      <w:pPr>
        <w:tabs>
          <w:tab w:val="left" w:pos="840"/>
          <w:tab w:val="left" w:pos="1485"/>
        </w:tabs>
        <w:spacing w:line="240" w:lineRule="auto"/>
        <w:ind w:firstLine="480"/>
        <w:jc w:val="center"/>
        <w:rPr>
          <w:rFonts w:eastAsia="仿宋_GB2312"/>
          <w:b/>
          <w:vertAlign w:val="superscript"/>
        </w:rPr>
      </w:pPr>
      <w:r>
        <w:rPr>
          <w:rFonts w:eastAsia="仿宋_GB2312"/>
          <w:b/>
        </w:rPr>
        <w:t>表2.</w:t>
      </w:r>
      <w:r>
        <w:rPr>
          <w:rFonts w:hint="eastAsia" w:eastAsia="仿宋_GB2312"/>
          <w:b/>
        </w:rPr>
        <w:t>3</w:t>
      </w:r>
      <w:r>
        <w:rPr>
          <w:rFonts w:eastAsia="仿宋_GB2312"/>
          <w:b/>
        </w:rPr>
        <w:t>-1  工程占地面积统计表单位：</w:t>
      </w:r>
      <w:r>
        <w:rPr>
          <w:rFonts w:hint="eastAsia" w:eastAsia="仿宋_GB2312"/>
          <w:b/>
        </w:rPr>
        <w:t>h</w:t>
      </w:r>
      <w:r>
        <w:rPr>
          <w:rFonts w:eastAsia="仿宋_GB2312"/>
          <w:b/>
        </w:rPr>
        <w:t>m</w:t>
      </w:r>
      <w:r>
        <w:rPr>
          <w:rFonts w:eastAsia="仿宋_GB2312"/>
          <w:b/>
          <w:vertAlign w:val="superscript"/>
        </w:rPr>
        <w:t>2</w:t>
      </w:r>
    </w:p>
    <w:tbl>
      <w:tblPr>
        <w:tblStyle w:val="40"/>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812"/>
        <w:gridCol w:w="1276"/>
        <w:gridCol w:w="1134"/>
        <w:gridCol w:w="1134"/>
        <w:gridCol w:w="1134"/>
        <w:gridCol w:w="1134"/>
        <w:gridCol w:w="89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64" w:type="pct"/>
            <w:vMerge w:val="restart"/>
            <w:tcBorders>
              <w:top w:val="single" w:color="000000" w:sz="12" w:space="0"/>
              <w:left w:val="single" w:color="000000" w:sz="12"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工程名称</w:t>
            </w:r>
          </w:p>
        </w:tc>
        <w:tc>
          <w:tcPr>
            <w:tcW w:w="749" w:type="pct"/>
            <w:vMerge w:val="restart"/>
            <w:tcBorders>
              <w:top w:val="single" w:color="000000" w:sz="12"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color w:val="FF0000"/>
                <w:sz w:val="21"/>
                <w:szCs w:val="21"/>
              </w:rPr>
            </w:pPr>
            <w:r>
              <w:rPr>
                <w:rFonts w:hint="eastAsia" w:eastAsia="仿宋_GB2312"/>
                <w:sz w:val="21"/>
                <w:szCs w:val="21"/>
              </w:rPr>
              <w:t>边界条件</w:t>
            </w:r>
          </w:p>
        </w:tc>
        <w:tc>
          <w:tcPr>
            <w:tcW w:w="1997" w:type="pct"/>
            <w:gridSpan w:val="3"/>
            <w:tcBorders>
              <w:top w:val="single" w:color="000000" w:sz="12"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面积</w:t>
            </w:r>
            <w:r>
              <w:rPr>
                <w:rFonts w:eastAsia="仿宋_GB2312"/>
                <w:sz w:val="21"/>
                <w:szCs w:val="21"/>
              </w:rPr>
              <w:t>(hm</w:t>
            </w:r>
            <w:r>
              <w:rPr>
                <w:rFonts w:eastAsia="仿宋_GB2312"/>
                <w:sz w:val="21"/>
                <w:szCs w:val="21"/>
                <w:vertAlign w:val="superscript"/>
              </w:rPr>
              <w:t>2</w:t>
            </w:r>
            <w:r>
              <w:rPr>
                <w:rFonts w:eastAsia="仿宋_GB2312"/>
                <w:sz w:val="21"/>
                <w:szCs w:val="21"/>
              </w:rPr>
              <w:t>)</w:t>
            </w:r>
          </w:p>
        </w:tc>
        <w:tc>
          <w:tcPr>
            <w:tcW w:w="666" w:type="pct"/>
            <w:vMerge w:val="restart"/>
            <w:tcBorders>
              <w:top w:val="single" w:color="000000" w:sz="12"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行政</w:t>
            </w:r>
          </w:p>
          <w:p>
            <w:pPr>
              <w:spacing w:line="240" w:lineRule="auto"/>
              <w:ind w:firstLine="0" w:firstLineChars="0"/>
              <w:jc w:val="center"/>
              <w:rPr>
                <w:rFonts w:eastAsia="仿宋_GB2312"/>
                <w:sz w:val="21"/>
                <w:szCs w:val="21"/>
              </w:rPr>
            </w:pPr>
            <w:r>
              <w:rPr>
                <w:rFonts w:hint="eastAsia" w:eastAsia="仿宋_GB2312"/>
                <w:sz w:val="21"/>
                <w:szCs w:val="21"/>
              </w:rPr>
              <w:t>区划</w:t>
            </w:r>
          </w:p>
        </w:tc>
        <w:tc>
          <w:tcPr>
            <w:tcW w:w="523" w:type="pct"/>
            <w:vMerge w:val="restart"/>
            <w:tcBorders>
              <w:top w:val="single" w:color="000000" w:sz="12" w:space="0"/>
              <w:left w:val="single" w:color="000000" w:sz="6" w:space="0"/>
              <w:bottom w:val="single" w:color="000000" w:sz="6" w:space="0"/>
              <w:right w:val="single" w:color="000000" w:sz="12"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占地</w:t>
            </w:r>
          </w:p>
          <w:p>
            <w:pPr>
              <w:spacing w:line="240" w:lineRule="auto"/>
              <w:ind w:firstLine="0" w:firstLineChars="0"/>
              <w:jc w:val="center"/>
              <w:rPr>
                <w:rFonts w:eastAsia="仿宋_GB2312"/>
                <w:sz w:val="21"/>
                <w:szCs w:val="21"/>
              </w:rPr>
            </w:pPr>
            <w:r>
              <w:rPr>
                <w:rFonts w:hint="eastAsia" w:eastAsia="仿宋_GB2312"/>
                <w:sz w:val="21"/>
                <w:szCs w:val="21"/>
              </w:rPr>
              <w:t>类型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64" w:type="pct"/>
            <w:vMerge w:val="continue"/>
            <w:tcBorders>
              <w:top w:val="single" w:color="000000" w:sz="12" w:space="0"/>
              <w:left w:val="single" w:color="000000" w:sz="12" w:space="0"/>
              <w:bottom w:val="single" w:color="000000" w:sz="6" w:space="0"/>
              <w:right w:val="single" w:color="000000" w:sz="6" w:space="0"/>
            </w:tcBorders>
            <w:vAlign w:val="center"/>
          </w:tcPr>
          <w:p>
            <w:pPr>
              <w:widowControl/>
              <w:topLinePunct w:val="0"/>
              <w:adjustRightInd/>
              <w:snapToGrid/>
              <w:spacing w:line="240" w:lineRule="auto"/>
              <w:ind w:firstLine="0" w:firstLineChars="0"/>
              <w:jc w:val="left"/>
              <w:rPr>
                <w:rFonts w:eastAsia="仿宋_GB2312"/>
                <w:sz w:val="21"/>
                <w:szCs w:val="21"/>
              </w:rPr>
            </w:pPr>
          </w:p>
        </w:tc>
        <w:tc>
          <w:tcPr>
            <w:tcW w:w="749" w:type="pct"/>
            <w:vMerge w:val="continue"/>
            <w:tcBorders>
              <w:top w:val="single" w:color="000000" w:sz="12" w:space="0"/>
              <w:left w:val="single" w:color="000000" w:sz="6" w:space="0"/>
              <w:bottom w:val="single" w:color="000000" w:sz="6" w:space="0"/>
              <w:right w:val="single" w:color="000000" w:sz="6" w:space="0"/>
            </w:tcBorders>
            <w:vAlign w:val="center"/>
          </w:tcPr>
          <w:p>
            <w:pPr>
              <w:widowControl/>
              <w:topLinePunct w:val="0"/>
              <w:adjustRightInd/>
              <w:snapToGrid/>
              <w:spacing w:line="240" w:lineRule="auto"/>
              <w:ind w:firstLine="0" w:firstLineChars="0"/>
              <w:jc w:val="left"/>
              <w:rPr>
                <w:rFonts w:eastAsia="仿宋_GB2312"/>
                <w:color w:val="FF0000"/>
                <w:sz w:val="21"/>
                <w:szCs w:val="21"/>
              </w:rPr>
            </w:pPr>
          </w:p>
        </w:tc>
        <w:tc>
          <w:tcPr>
            <w:tcW w:w="666"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永久占地</w:t>
            </w:r>
          </w:p>
        </w:tc>
        <w:tc>
          <w:tcPr>
            <w:tcW w:w="666"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临时占地</w:t>
            </w:r>
          </w:p>
        </w:tc>
        <w:tc>
          <w:tcPr>
            <w:tcW w:w="666"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小计</w:t>
            </w:r>
          </w:p>
        </w:tc>
        <w:tc>
          <w:tcPr>
            <w:tcW w:w="666" w:type="pct"/>
            <w:vMerge w:val="continue"/>
            <w:tcBorders>
              <w:top w:val="single" w:color="000000" w:sz="12" w:space="0"/>
              <w:left w:val="single" w:color="000000" w:sz="6" w:space="0"/>
              <w:bottom w:val="single" w:color="000000" w:sz="6" w:space="0"/>
              <w:right w:val="single" w:color="000000" w:sz="6" w:space="0"/>
            </w:tcBorders>
            <w:vAlign w:val="center"/>
          </w:tcPr>
          <w:p>
            <w:pPr>
              <w:widowControl/>
              <w:topLinePunct w:val="0"/>
              <w:adjustRightInd/>
              <w:snapToGrid/>
              <w:spacing w:line="240" w:lineRule="auto"/>
              <w:ind w:firstLine="0" w:firstLineChars="0"/>
              <w:jc w:val="left"/>
              <w:rPr>
                <w:rFonts w:eastAsia="仿宋_GB2312"/>
                <w:sz w:val="21"/>
                <w:szCs w:val="21"/>
              </w:rPr>
            </w:pPr>
          </w:p>
        </w:tc>
        <w:tc>
          <w:tcPr>
            <w:tcW w:w="523" w:type="pct"/>
            <w:vMerge w:val="continue"/>
            <w:tcBorders>
              <w:top w:val="single" w:color="000000" w:sz="12" w:space="0"/>
              <w:left w:val="single" w:color="000000" w:sz="6" w:space="0"/>
              <w:bottom w:val="single" w:color="000000" w:sz="6" w:space="0"/>
              <w:right w:val="single" w:color="000000" w:sz="12" w:space="0"/>
            </w:tcBorders>
            <w:vAlign w:val="center"/>
          </w:tcPr>
          <w:p>
            <w:pPr>
              <w:widowControl/>
              <w:topLinePunct w:val="0"/>
              <w:adjustRightInd/>
              <w:snapToGrid/>
              <w:spacing w:line="240" w:lineRule="auto"/>
              <w:ind w:firstLine="0" w:firstLineChars="0"/>
              <w:jc w:val="left"/>
              <w:rPr>
                <w:rFonts w:eastAsia="仿宋_GB2312"/>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64" w:type="pct"/>
            <w:tcBorders>
              <w:top w:val="single" w:color="000000" w:sz="6" w:space="0"/>
              <w:left w:val="single" w:color="000000" w:sz="12"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管道工程区</w:t>
            </w:r>
          </w:p>
        </w:tc>
        <w:tc>
          <w:tcPr>
            <w:tcW w:w="749"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实际占地</w:t>
            </w:r>
          </w:p>
        </w:tc>
        <w:tc>
          <w:tcPr>
            <w:tcW w:w="666"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w:t>
            </w:r>
          </w:p>
        </w:tc>
        <w:tc>
          <w:tcPr>
            <w:tcW w:w="666"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2.71</w:t>
            </w:r>
          </w:p>
        </w:tc>
        <w:tc>
          <w:tcPr>
            <w:tcW w:w="666"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2.71</w:t>
            </w:r>
          </w:p>
        </w:tc>
        <w:tc>
          <w:tcPr>
            <w:tcW w:w="666" w:type="pct"/>
            <w:vMerge w:val="restart"/>
            <w:tcBorders>
              <w:top w:val="single" w:color="000000" w:sz="6" w:space="0"/>
              <w:left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第十四师224团</w:t>
            </w:r>
          </w:p>
        </w:tc>
        <w:tc>
          <w:tcPr>
            <w:tcW w:w="523" w:type="pct"/>
            <w:vMerge w:val="restart"/>
            <w:tcBorders>
              <w:top w:val="single" w:color="000000" w:sz="6" w:space="0"/>
              <w:left w:val="single" w:color="000000" w:sz="6" w:space="0"/>
              <w:right w:val="single" w:color="000000" w:sz="12"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建设</w:t>
            </w:r>
          </w:p>
          <w:p>
            <w:pPr>
              <w:spacing w:line="240" w:lineRule="auto"/>
              <w:ind w:firstLine="0" w:firstLineChars="0"/>
              <w:jc w:val="center"/>
              <w:rPr>
                <w:rFonts w:eastAsia="仿宋_GB2312"/>
                <w:sz w:val="21"/>
                <w:szCs w:val="21"/>
              </w:rPr>
            </w:pPr>
            <w:r>
              <w:rPr>
                <w:rFonts w:hint="eastAsia" w:eastAsia="仿宋_GB2312"/>
                <w:sz w:val="21"/>
                <w:szCs w:val="21"/>
              </w:rPr>
              <w:t>用地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64" w:type="pct"/>
            <w:tcBorders>
              <w:top w:val="single" w:color="000000" w:sz="6" w:space="0"/>
              <w:left w:val="single" w:color="000000" w:sz="12"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附属构筑物区</w:t>
            </w:r>
          </w:p>
        </w:tc>
        <w:tc>
          <w:tcPr>
            <w:tcW w:w="749"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实际占地</w:t>
            </w:r>
          </w:p>
        </w:tc>
        <w:tc>
          <w:tcPr>
            <w:tcW w:w="666"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0.17</w:t>
            </w:r>
          </w:p>
        </w:tc>
        <w:tc>
          <w:tcPr>
            <w:tcW w:w="666"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w:t>
            </w:r>
          </w:p>
        </w:tc>
        <w:tc>
          <w:tcPr>
            <w:tcW w:w="666"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0.17</w:t>
            </w:r>
          </w:p>
        </w:tc>
        <w:tc>
          <w:tcPr>
            <w:tcW w:w="666" w:type="pct"/>
            <w:vMerge w:val="continue"/>
            <w:tcBorders>
              <w:left w:val="single" w:color="000000" w:sz="6" w:space="0"/>
              <w:right w:val="single" w:color="000000" w:sz="6" w:space="0"/>
            </w:tcBorders>
            <w:vAlign w:val="center"/>
          </w:tcPr>
          <w:p>
            <w:pPr>
              <w:widowControl/>
              <w:topLinePunct w:val="0"/>
              <w:adjustRightInd/>
              <w:snapToGrid/>
              <w:spacing w:line="240" w:lineRule="auto"/>
              <w:ind w:firstLine="0" w:firstLineChars="0"/>
              <w:jc w:val="left"/>
              <w:rPr>
                <w:rFonts w:eastAsia="仿宋_GB2312"/>
                <w:sz w:val="21"/>
                <w:szCs w:val="21"/>
              </w:rPr>
            </w:pPr>
          </w:p>
        </w:tc>
        <w:tc>
          <w:tcPr>
            <w:tcW w:w="523" w:type="pct"/>
            <w:vMerge w:val="continue"/>
            <w:tcBorders>
              <w:left w:val="single" w:color="000000" w:sz="6" w:space="0"/>
              <w:right w:val="single" w:color="000000" w:sz="12" w:space="0"/>
            </w:tcBorders>
            <w:vAlign w:val="center"/>
          </w:tcPr>
          <w:p>
            <w:pPr>
              <w:widowControl/>
              <w:topLinePunct w:val="0"/>
              <w:adjustRightInd/>
              <w:snapToGrid/>
              <w:spacing w:line="240" w:lineRule="auto"/>
              <w:ind w:firstLine="0" w:firstLineChars="0"/>
              <w:jc w:val="left"/>
              <w:rPr>
                <w:rFonts w:eastAsia="仿宋_GB2312"/>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64" w:type="pct"/>
            <w:tcBorders>
              <w:top w:val="single" w:color="000000" w:sz="6" w:space="0"/>
              <w:left w:val="single" w:color="000000" w:sz="12" w:space="0"/>
              <w:bottom w:val="single" w:color="000000" w:sz="12" w:space="0"/>
              <w:right w:val="single" w:color="auto" w:sz="4"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合计</w:t>
            </w:r>
          </w:p>
        </w:tc>
        <w:tc>
          <w:tcPr>
            <w:tcW w:w="749" w:type="pct"/>
            <w:tcBorders>
              <w:top w:val="single" w:color="000000" w:sz="6" w:space="0"/>
              <w:left w:val="single" w:color="auto" w:sz="4" w:space="0"/>
              <w:bottom w:val="single" w:color="000000" w:sz="12"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p>
        </w:tc>
        <w:tc>
          <w:tcPr>
            <w:tcW w:w="666" w:type="pct"/>
            <w:tcBorders>
              <w:top w:val="single" w:color="000000" w:sz="6" w:space="0"/>
              <w:left w:val="single" w:color="000000" w:sz="6" w:space="0"/>
              <w:bottom w:val="single" w:color="000000" w:sz="12"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0.17</w:t>
            </w:r>
          </w:p>
        </w:tc>
        <w:tc>
          <w:tcPr>
            <w:tcW w:w="666" w:type="pct"/>
            <w:tcBorders>
              <w:top w:val="single" w:color="000000" w:sz="6" w:space="0"/>
              <w:left w:val="single" w:color="000000" w:sz="6" w:space="0"/>
              <w:bottom w:val="single" w:color="000000" w:sz="12"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2.71</w:t>
            </w:r>
          </w:p>
        </w:tc>
        <w:tc>
          <w:tcPr>
            <w:tcW w:w="666" w:type="pct"/>
            <w:tcBorders>
              <w:top w:val="single" w:color="000000" w:sz="6" w:space="0"/>
              <w:left w:val="single" w:color="000000" w:sz="6" w:space="0"/>
              <w:bottom w:val="single" w:color="000000" w:sz="12"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2.88</w:t>
            </w:r>
          </w:p>
        </w:tc>
        <w:tc>
          <w:tcPr>
            <w:tcW w:w="666" w:type="pct"/>
            <w:tcBorders>
              <w:top w:val="single" w:color="000000" w:sz="6" w:space="0"/>
              <w:left w:val="single" w:color="000000" w:sz="6" w:space="0"/>
              <w:bottom w:val="single" w:color="000000" w:sz="12" w:space="0"/>
              <w:right w:val="single" w:color="000000" w:sz="6" w:space="0"/>
            </w:tcBorders>
            <w:shd w:val="clear" w:color="auto" w:fill="FFFFFF"/>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sz w:val="21"/>
                <w:szCs w:val="21"/>
              </w:rPr>
              <w:t>－</w:t>
            </w:r>
          </w:p>
        </w:tc>
        <w:tc>
          <w:tcPr>
            <w:tcW w:w="523" w:type="pct"/>
            <w:tcBorders>
              <w:top w:val="single" w:color="000000" w:sz="6" w:space="0"/>
              <w:left w:val="single" w:color="000000" w:sz="6" w:space="0"/>
              <w:bottom w:val="single" w:color="000000" w:sz="12" w:space="0"/>
              <w:right w:val="single" w:color="000000" w:sz="12"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w:t>
            </w:r>
          </w:p>
        </w:tc>
      </w:tr>
    </w:tbl>
    <w:p>
      <w:pPr>
        <w:pStyle w:val="3"/>
        <w:widowControl/>
        <w:numPr>
          <w:ilvl w:val="1"/>
          <w:numId w:val="1"/>
        </w:numPr>
        <w:tabs>
          <w:tab w:val="clear" w:pos="1002"/>
        </w:tabs>
        <w:topLinePunct w:val="0"/>
        <w:adjustRightInd/>
        <w:snapToGrid/>
        <w:spacing w:beforeLines="100"/>
        <w:ind w:left="0" w:firstLine="0"/>
        <w:jc w:val="both"/>
        <w:rPr>
          <w:rFonts w:eastAsia="仿宋_GB2312"/>
        </w:rPr>
      </w:pPr>
      <w:bookmarkStart w:id="156" w:name="_Toc7801551"/>
      <w:bookmarkStart w:id="157" w:name="_Toc50221501"/>
      <w:bookmarkStart w:id="158" w:name="_Toc7801458"/>
      <w:bookmarkStart w:id="159" w:name="_Toc7801391"/>
      <w:r>
        <w:rPr>
          <w:rFonts w:eastAsia="仿宋_GB2312"/>
        </w:rPr>
        <w:t>土石方平衡</w:t>
      </w:r>
      <w:bookmarkEnd w:id="156"/>
      <w:bookmarkEnd w:id="157"/>
      <w:bookmarkEnd w:id="158"/>
      <w:bookmarkEnd w:id="159"/>
    </w:p>
    <w:p>
      <w:pPr>
        <w:ind w:firstLine="480"/>
        <w:rPr>
          <w:rFonts w:eastAsia="仿宋_GB2312"/>
        </w:rPr>
      </w:pPr>
      <w:bookmarkStart w:id="160" w:name="_Toc255304527"/>
      <w:r>
        <w:rPr>
          <w:rFonts w:hint="eastAsia" w:eastAsia="仿宋_GB2312"/>
        </w:rPr>
        <w:t>本项目土石方主要产生于施工期各建筑物基础开挖回填、管沟开挖回填、场地平整。</w:t>
      </w:r>
    </w:p>
    <w:p>
      <w:pPr>
        <w:ind w:firstLine="480"/>
        <w:rPr>
          <w:rFonts w:eastAsia="仿宋_GB2312"/>
        </w:rPr>
      </w:pPr>
      <w:r>
        <w:rPr>
          <w:rFonts w:hint="eastAsia" w:eastAsia="仿宋_GB2312"/>
        </w:rPr>
        <w:t>本工程开挖总量为1.9万</w:t>
      </w:r>
      <w:r>
        <w:rPr>
          <w:rFonts w:eastAsia="仿宋_GB2312"/>
        </w:rPr>
        <w:t>m</w:t>
      </w:r>
      <w:r>
        <w:rPr>
          <w:rFonts w:eastAsia="仿宋_GB2312"/>
          <w:vertAlign w:val="superscript"/>
        </w:rPr>
        <w:t>3</w:t>
      </w:r>
      <w:r>
        <w:rPr>
          <w:rFonts w:hint="eastAsia" w:eastAsia="仿宋_GB2312"/>
        </w:rPr>
        <w:t>，土方填筑总量为1.9万</w:t>
      </w:r>
      <w:r>
        <w:rPr>
          <w:rFonts w:eastAsia="仿宋_GB2312"/>
        </w:rPr>
        <w:t>m</w:t>
      </w:r>
      <w:r>
        <w:rPr>
          <w:rFonts w:eastAsia="仿宋_GB2312"/>
          <w:vertAlign w:val="superscript"/>
        </w:rPr>
        <w:t>3</w:t>
      </w:r>
      <w:r>
        <w:rPr>
          <w:rFonts w:hint="eastAsia" w:eastAsia="仿宋_GB2312"/>
        </w:rPr>
        <w:t>，通过内部调运大部分土方回填利用，剩余土方平摊至施工范围内</w:t>
      </w:r>
      <w:r>
        <w:rPr>
          <w:rFonts w:hint="eastAsia" w:ascii="仿宋_GB2312" w:hAnsi="仿宋_GB2312" w:eastAsia="仿宋_GB2312" w:cs="仿宋_GB2312"/>
        </w:rPr>
        <w:t>，</w:t>
      </w:r>
      <w:r>
        <w:rPr>
          <w:rFonts w:hint="eastAsia" w:eastAsia="仿宋_GB2312"/>
        </w:rPr>
        <w:t>无外借，无永久弃方。</w:t>
      </w:r>
      <w:r>
        <w:rPr>
          <w:rFonts w:hint="eastAsia" w:eastAsia="仿宋_GB2312"/>
          <w:color w:val="000000"/>
        </w:rPr>
        <w:t>本项目仅有少量路面拆除垃圾运至垃圾场处理。</w:t>
      </w:r>
      <w:r>
        <w:rPr>
          <w:rFonts w:eastAsia="仿宋_GB2312"/>
          <w:color w:val="FF0000"/>
        </w:rPr>
        <w:t>本工程</w:t>
      </w:r>
      <w:r>
        <w:rPr>
          <w:rFonts w:hint="eastAsia" w:eastAsia="仿宋_GB2312"/>
          <w:color w:val="FF0000"/>
        </w:rPr>
        <w:t>占地均为建设用地，大部分施工区域位于道路下，因此本项目不采取表土剥离。</w:t>
      </w:r>
    </w:p>
    <w:p>
      <w:pPr>
        <w:ind w:firstLine="480"/>
        <w:rPr>
          <w:rFonts w:eastAsia="仿宋_GB2312"/>
        </w:rPr>
      </w:pPr>
      <w:r>
        <w:rPr>
          <w:rFonts w:hint="eastAsia" w:eastAsia="仿宋_GB2312"/>
        </w:rPr>
        <w:t>本着开挖土方尽量就近利用并减少占地的原则，进行工程的土石方平衡。土石方挖填、调运详见表</w:t>
      </w:r>
      <w:r>
        <w:rPr>
          <w:rFonts w:eastAsia="仿宋_GB2312"/>
        </w:rPr>
        <w:t>2.4-1</w:t>
      </w:r>
      <w:r>
        <w:rPr>
          <w:rFonts w:hint="eastAsia" w:eastAsia="仿宋_GB2312"/>
        </w:rPr>
        <w:t>和图</w:t>
      </w:r>
      <w:r>
        <w:rPr>
          <w:rFonts w:eastAsia="仿宋_GB2312"/>
        </w:rPr>
        <w:t>2.4-1</w:t>
      </w:r>
      <w:r>
        <w:rPr>
          <w:rFonts w:hint="eastAsia" w:eastAsia="仿宋_GB2312"/>
        </w:rPr>
        <w:t>。</w:t>
      </w:r>
    </w:p>
    <w:p>
      <w:pPr>
        <w:tabs>
          <w:tab w:val="left" w:pos="840"/>
          <w:tab w:val="left" w:pos="1485"/>
        </w:tabs>
        <w:spacing w:line="240" w:lineRule="auto"/>
        <w:ind w:firstLine="480"/>
        <w:jc w:val="center"/>
        <w:rPr>
          <w:rFonts w:eastAsia="仿宋_GB2312"/>
          <w:b/>
        </w:rPr>
      </w:pPr>
      <w:r>
        <w:rPr>
          <w:rFonts w:eastAsia="仿宋_GB2312"/>
          <w:b/>
        </w:rPr>
        <w:t xml:space="preserve">2.4-1    </w:t>
      </w:r>
      <w:r>
        <w:rPr>
          <w:rFonts w:hint="eastAsia" w:eastAsia="仿宋_GB2312"/>
          <w:b/>
        </w:rPr>
        <w:t>土石方平衡表单位：万</w:t>
      </w:r>
      <w:r>
        <w:rPr>
          <w:rFonts w:eastAsia="仿宋_GB2312"/>
          <w:b/>
        </w:rPr>
        <w:t>m</w:t>
      </w:r>
      <w:r>
        <w:rPr>
          <w:rFonts w:eastAsia="仿宋_GB2312"/>
          <w:b/>
          <w:vertAlign w:val="superscript"/>
        </w:rPr>
        <w:t>3</w:t>
      </w:r>
    </w:p>
    <w:tbl>
      <w:tblPr>
        <w:tblStyle w:val="40"/>
        <w:tblW w:w="5103"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44"/>
        <w:gridCol w:w="772"/>
        <w:gridCol w:w="772"/>
        <w:gridCol w:w="664"/>
        <w:gridCol w:w="664"/>
        <w:gridCol w:w="664"/>
        <w:gridCol w:w="664"/>
        <w:gridCol w:w="664"/>
        <w:gridCol w:w="664"/>
        <w:gridCol w:w="664"/>
        <w:gridCol w:w="6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061" w:type="pct"/>
            <w:vMerge w:val="restart"/>
            <w:tcBorders>
              <w:top w:val="single" w:color="auto" w:sz="12" w:space="0"/>
              <w:left w:val="single" w:color="auto" w:sz="12"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工程分区</w:t>
            </w:r>
          </w:p>
        </w:tc>
        <w:tc>
          <w:tcPr>
            <w:tcW w:w="444" w:type="pct"/>
            <w:vMerge w:val="restart"/>
            <w:tcBorders>
              <w:top w:val="single" w:color="auto" w:sz="12" w:space="0"/>
              <w:left w:val="single" w:color="auto" w:sz="6" w:space="0"/>
              <w:bottom w:val="single" w:color="auto" w:sz="6" w:space="0"/>
              <w:right w:val="single" w:color="auto" w:sz="6" w:space="0"/>
            </w:tcBorders>
            <w:vAlign w:val="center"/>
          </w:tcPr>
          <w:p>
            <w:pPr>
              <w:spacing w:line="240" w:lineRule="auto"/>
              <w:ind w:firstLine="0" w:firstLineChars="0"/>
              <w:jc w:val="center"/>
              <w:rPr>
                <w:rFonts w:eastAsia="仿宋_GB2312"/>
                <w:sz w:val="21"/>
                <w:szCs w:val="21"/>
              </w:rPr>
            </w:pPr>
            <w:r>
              <w:rPr>
                <w:rFonts w:hint="eastAsia" w:eastAsia="仿宋_GB2312"/>
                <w:sz w:val="21"/>
                <w:szCs w:val="21"/>
              </w:rPr>
              <w:t>开挖</w:t>
            </w:r>
          </w:p>
        </w:tc>
        <w:tc>
          <w:tcPr>
            <w:tcW w:w="444" w:type="pct"/>
            <w:vMerge w:val="restart"/>
            <w:tcBorders>
              <w:top w:val="single" w:color="auto" w:sz="12" w:space="0"/>
              <w:left w:val="single" w:color="auto" w:sz="6" w:space="0"/>
              <w:bottom w:val="single" w:color="auto" w:sz="6" w:space="0"/>
              <w:right w:val="single" w:color="auto" w:sz="6" w:space="0"/>
            </w:tcBorders>
            <w:vAlign w:val="center"/>
          </w:tcPr>
          <w:p>
            <w:pPr>
              <w:spacing w:line="240" w:lineRule="auto"/>
              <w:ind w:firstLine="0" w:firstLineChars="0"/>
              <w:jc w:val="center"/>
              <w:rPr>
                <w:rFonts w:eastAsia="仿宋_GB2312"/>
                <w:sz w:val="21"/>
                <w:szCs w:val="21"/>
              </w:rPr>
            </w:pPr>
            <w:r>
              <w:rPr>
                <w:rFonts w:hint="eastAsia" w:eastAsia="仿宋_GB2312"/>
                <w:sz w:val="21"/>
                <w:szCs w:val="21"/>
              </w:rPr>
              <w:t>回填</w:t>
            </w:r>
          </w:p>
        </w:tc>
        <w:tc>
          <w:tcPr>
            <w:tcW w:w="764" w:type="pct"/>
            <w:gridSpan w:val="2"/>
            <w:tcBorders>
              <w:top w:val="single" w:color="auto" w:sz="12"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调入</w:t>
            </w:r>
          </w:p>
        </w:tc>
        <w:tc>
          <w:tcPr>
            <w:tcW w:w="764" w:type="pct"/>
            <w:gridSpan w:val="2"/>
            <w:tcBorders>
              <w:top w:val="single" w:color="auto" w:sz="12"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调出</w:t>
            </w:r>
          </w:p>
        </w:tc>
        <w:tc>
          <w:tcPr>
            <w:tcW w:w="764" w:type="pct"/>
            <w:gridSpan w:val="2"/>
            <w:tcBorders>
              <w:top w:val="single" w:color="auto" w:sz="12"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外借</w:t>
            </w:r>
          </w:p>
        </w:tc>
        <w:tc>
          <w:tcPr>
            <w:tcW w:w="759" w:type="pct"/>
            <w:gridSpan w:val="2"/>
            <w:tcBorders>
              <w:top w:val="single" w:color="auto" w:sz="12" w:space="0"/>
              <w:left w:val="single" w:color="auto" w:sz="6" w:space="0"/>
              <w:bottom w:val="single" w:color="auto" w:sz="6" w:space="0"/>
              <w:right w:val="single" w:color="auto" w:sz="12"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废弃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061" w:type="pct"/>
            <w:vMerge w:val="continue"/>
            <w:tcBorders>
              <w:top w:val="single" w:color="auto" w:sz="12" w:space="0"/>
              <w:left w:val="single" w:color="auto" w:sz="12" w:space="0"/>
              <w:bottom w:val="single" w:color="auto" w:sz="6" w:space="0"/>
              <w:right w:val="single" w:color="auto" w:sz="6" w:space="0"/>
            </w:tcBorders>
            <w:vAlign w:val="center"/>
          </w:tcPr>
          <w:p>
            <w:pPr>
              <w:widowControl/>
              <w:topLinePunct w:val="0"/>
              <w:adjustRightInd/>
              <w:snapToGrid/>
              <w:spacing w:line="240" w:lineRule="auto"/>
              <w:ind w:firstLine="0" w:firstLineChars="0"/>
              <w:jc w:val="center"/>
              <w:rPr>
                <w:rFonts w:eastAsia="仿宋_GB2312"/>
                <w:sz w:val="21"/>
                <w:szCs w:val="21"/>
              </w:rPr>
            </w:pPr>
          </w:p>
        </w:tc>
        <w:tc>
          <w:tcPr>
            <w:tcW w:w="444" w:type="pct"/>
            <w:vMerge w:val="continue"/>
            <w:tcBorders>
              <w:top w:val="single" w:color="auto" w:sz="12" w:space="0"/>
              <w:left w:val="single" w:color="auto" w:sz="6" w:space="0"/>
              <w:bottom w:val="single" w:color="auto" w:sz="6" w:space="0"/>
              <w:right w:val="single" w:color="auto" w:sz="6" w:space="0"/>
            </w:tcBorders>
            <w:vAlign w:val="center"/>
          </w:tcPr>
          <w:p>
            <w:pPr>
              <w:widowControl/>
              <w:topLinePunct w:val="0"/>
              <w:adjustRightInd/>
              <w:snapToGrid/>
              <w:spacing w:line="240" w:lineRule="auto"/>
              <w:ind w:firstLine="0" w:firstLineChars="0"/>
              <w:jc w:val="center"/>
              <w:rPr>
                <w:rFonts w:eastAsia="仿宋_GB2312"/>
                <w:sz w:val="21"/>
                <w:szCs w:val="21"/>
              </w:rPr>
            </w:pPr>
          </w:p>
        </w:tc>
        <w:tc>
          <w:tcPr>
            <w:tcW w:w="444" w:type="pct"/>
            <w:vMerge w:val="continue"/>
            <w:tcBorders>
              <w:top w:val="single" w:color="auto" w:sz="12" w:space="0"/>
              <w:left w:val="single" w:color="auto" w:sz="6" w:space="0"/>
              <w:bottom w:val="single" w:color="auto" w:sz="6" w:space="0"/>
              <w:right w:val="single" w:color="auto" w:sz="6" w:space="0"/>
            </w:tcBorders>
            <w:vAlign w:val="center"/>
          </w:tcPr>
          <w:p>
            <w:pPr>
              <w:widowControl/>
              <w:topLinePunct w:val="0"/>
              <w:adjustRightInd/>
              <w:snapToGrid/>
              <w:spacing w:line="240" w:lineRule="auto"/>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数量</w:t>
            </w: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来源</w:t>
            </w: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数量</w:t>
            </w: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去向</w:t>
            </w: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数量</w:t>
            </w: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来源</w:t>
            </w: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数量</w:t>
            </w:r>
          </w:p>
        </w:tc>
        <w:tc>
          <w:tcPr>
            <w:tcW w:w="377" w:type="pct"/>
            <w:tcBorders>
              <w:top w:val="single" w:color="auto" w:sz="6" w:space="0"/>
              <w:left w:val="single" w:color="auto" w:sz="6" w:space="0"/>
              <w:bottom w:val="single" w:color="auto" w:sz="6" w:space="0"/>
              <w:right w:val="single" w:color="auto" w:sz="12"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061" w:type="pct"/>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jc w:val="center"/>
              <w:rPr>
                <w:rFonts w:eastAsia="仿宋_GB2312"/>
                <w:sz w:val="21"/>
                <w:szCs w:val="21"/>
              </w:rPr>
            </w:pPr>
            <w:r>
              <w:rPr>
                <w:rFonts w:hint="eastAsia" w:eastAsia="仿宋_GB2312"/>
                <w:sz w:val="21"/>
                <w:szCs w:val="21"/>
              </w:rPr>
              <w:t>管道工程区</w:t>
            </w:r>
          </w:p>
        </w:tc>
        <w:tc>
          <w:tcPr>
            <w:tcW w:w="444" w:type="pct"/>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rFonts w:eastAsia="仿宋_GB2312"/>
                <w:sz w:val="21"/>
                <w:szCs w:val="21"/>
              </w:rPr>
            </w:pPr>
            <w:r>
              <w:rPr>
                <w:rFonts w:hint="eastAsia" w:eastAsia="仿宋_GB2312"/>
                <w:sz w:val="21"/>
                <w:szCs w:val="21"/>
              </w:rPr>
              <w:t>1.85</w:t>
            </w:r>
          </w:p>
        </w:tc>
        <w:tc>
          <w:tcPr>
            <w:tcW w:w="444" w:type="pct"/>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rFonts w:eastAsia="仿宋_GB2312"/>
                <w:sz w:val="21"/>
                <w:szCs w:val="21"/>
              </w:rPr>
            </w:pPr>
            <w:r>
              <w:rPr>
                <w:rFonts w:hint="eastAsia" w:eastAsia="仿宋_GB2312"/>
                <w:sz w:val="21"/>
                <w:szCs w:val="21"/>
              </w:rPr>
              <w:t>1.85</w:t>
            </w: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77" w:type="pct"/>
            <w:tcBorders>
              <w:top w:val="single" w:color="auto" w:sz="6" w:space="0"/>
              <w:left w:val="single" w:color="auto" w:sz="6" w:space="0"/>
              <w:bottom w:val="single" w:color="auto" w:sz="6" w:space="0"/>
              <w:right w:val="single" w:color="auto" w:sz="12" w:space="0"/>
            </w:tcBorders>
            <w:vAlign w:val="center"/>
          </w:tcPr>
          <w:p>
            <w:pPr>
              <w:widowControl/>
              <w:spacing w:line="0" w:lineRule="atLeast"/>
              <w:ind w:firstLine="0" w:firstLineChars="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061" w:type="pct"/>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jc w:val="center"/>
              <w:rPr>
                <w:rFonts w:eastAsia="仿宋_GB2312"/>
                <w:sz w:val="21"/>
                <w:szCs w:val="21"/>
              </w:rPr>
            </w:pPr>
            <w:r>
              <w:rPr>
                <w:rFonts w:hint="eastAsia" w:eastAsia="仿宋_GB2312"/>
                <w:sz w:val="21"/>
                <w:szCs w:val="21"/>
              </w:rPr>
              <w:t>附属构筑物区</w:t>
            </w:r>
          </w:p>
        </w:tc>
        <w:tc>
          <w:tcPr>
            <w:tcW w:w="444" w:type="pct"/>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rFonts w:eastAsia="仿宋_GB2312"/>
                <w:sz w:val="21"/>
                <w:szCs w:val="21"/>
              </w:rPr>
            </w:pPr>
            <w:r>
              <w:rPr>
                <w:rFonts w:hint="eastAsia" w:eastAsia="仿宋_GB2312"/>
                <w:sz w:val="21"/>
                <w:szCs w:val="21"/>
              </w:rPr>
              <w:t>0.05</w:t>
            </w:r>
          </w:p>
        </w:tc>
        <w:tc>
          <w:tcPr>
            <w:tcW w:w="444" w:type="pct"/>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rFonts w:eastAsia="仿宋_GB2312"/>
                <w:sz w:val="21"/>
                <w:szCs w:val="21"/>
              </w:rPr>
            </w:pPr>
            <w:r>
              <w:rPr>
                <w:rFonts w:hint="eastAsia" w:eastAsia="仿宋_GB2312"/>
                <w:sz w:val="21"/>
                <w:szCs w:val="21"/>
              </w:rPr>
              <w:t>0.05</w:t>
            </w: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77" w:type="pct"/>
            <w:tcBorders>
              <w:top w:val="single" w:color="auto" w:sz="6" w:space="0"/>
              <w:left w:val="single" w:color="auto" w:sz="6" w:space="0"/>
              <w:bottom w:val="single" w:color="auto" w:sz="6" w:space="0"/>
              <w:right w:val="single" w:color="auto" w:sz="12" w:space="0"/>
            </w:tcBorders>
            <w:vAlign w:val="center"/>
          </w:tcPr>
          <w:p>
            <w:pPr>
              <w:widowControl/>
              <w:spacing w:line="0" w:lineRule="atLeast"/>
              <w:ind w:firstLine="0" w:firstLineChars="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061" w:type="pct"/>
            <w:tcBorders>
              <w:top w:val="single" w:color="auto" w:sz="6" w:space="0"/>
              <w:left w:val="single" w:color="auto" w:sz="12" w:space="0"/>
              <w:bottom w:val="single" w:color="auto" w:sz="12" w:space="0"/>
              <w:right w:val="single" w:color="auto" w:sz="6" w:space="0"/>
            </w:tcBorders>
            <w:vAlign w:val="center"/>
          </w:tcPr>
          <w:p>
            <w:pPr>
              <w:spacing w:line="240" w:lineRule="auto"/>
              <w:ind w:firstLine="0" w:firstLineChars="0"/>
              <w:jc w:val="center"/>
              <w:rPr>
                <w:rFonts w:eastAsia="仿宋_GB2312"/>
                <w:sz w:val="21"/>
                <w:szCs w:val="21"/>
              </w:rPr>
            </w:pPr>
            <w:r>
              <w:rPr>
                <w:rFonts w:hint="eastAsia" w:eastAsia="仿宋_GB2312"/>
                <w:sz w:val="21"/>
                <w:szCs w:val="21"/>
              </w:rPr>
              <w:t>合计</w:t>
            </w:r>
          </w:p>
        </w:tc>
        <w:tc>
          <w:tcPr>
            <w:tcW w:w="444" w:type="pct"/>
            <w:tcBorders>
              <w:top w:val="single" w:color="auto" w:sz="6" w:space="0"/>
              <w:left w:val="single" w:color="auto" w:sz="6" w:space="0"/>
              <w:bottom w:val="single" w:color="auto" w:sz="12" w:space="0"/>
              <w:right w:val="single" w:color="auto" w:sz="6" w:space="0"/>
            </w:tcBorders>
            <w:vAlign w:val="center"/>
          </w:tcPr>
          <w:p>
            <w:pPr>
              <w:spacing w:line="240" w:lineRule="auto"/>
              <w:ind w:firstLine="0" w:firstLineChars="0"/>
              <w:jc w:val="center"/>
              <w:rPr>
                <w:rFonts w:eastAsia="仿宋_GB2312"/>
                <w:sz w:val="21"/>
                <w:szCs w:val="21"/>
              </w:rPr>
            </w:pPr>
            <w:r>
              <w:rPr>
                <w:rFonts w:hint="eastAsia" w:eastAsia="仿宋_GB2312"/>
                <w:sz w:val="21"/>
                <w:szCs w:val="21"/>
              </w:rPr>
              <w:t>1.9</w:t>
            </w:r>
          </w:p>
        </w:tc>
        <w:tc>
          <w:tcPr>
            <w:tcW w:w="444" w:type="pct"/>
            <w:tcBorders>
              <w:top w:val="single" w:color="auto" w:sz="6" w:space="0"/>
              <w:left w:val="single" w:color="auto" w:sz="6" w:space="0"/>
              <w:bottom w:val="single" w:color="auto" w:sz="12" w:space="0"/>
              <w:right w:val="single" w:color="auto" w:sz="6" w:space="0"/>
            </w:tcBorders>
            <w:vAlign w:val="center"/>
          </w:tcPr>
          <w:p>
            <w:pPr>
              <w:spacing w:line="240" w:lineRule="auto"/>
              <w:ind w:firstLine="0" w:firstLineChars="0"/>
              <w:jc w:val="center"/>
              <w:rPr>
                <w:rFonts w:eastAsia="仿宋_GB2312"/>
                <w:sz w:val="21"/>
                <w:szCs w:val="21"/>
              </w:rPr>
            </w:pPr>
            <w:r>
              <w:rPr>
                <w:rFonts w:hint="eastAsia" w:eastAsia="仿宋_GB2312"/>
                <w:sz w:val="21"/>
                <w:szCs w:val="21"/>
              </w:rPr>
              <w:t>1.9</w:t>
            </w:r>
          </w:p>
        </w:tc>
        <w:tc>
          <w:tcPr>
            <w:tcW w:w="382" w:type="pct"/>
            <w:tcBorders>
              <w:top w:val="single" w:color="auto" w:sz="6" w:space="0"/>
              <w:left w:val="single" w:color="auto" w:sz="6" w:space="0"/>
              <w:bottom w:val="single" w:color="auto" w:sz="12" w:space="0"/>
              <w:right w:val="single" w:color="auto" w:sz="6" w:space="0"/>
            </w:tcBorders>
            <w:vAlign w:val="center"/>
          </w:tcPr>
          <w:p>
            <w:pPr>
              <w:widowControl/>
              <w:spacing w:line="240" w:lineRule="auto"/>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12" w:space="0"/>
              <w:right w:val="single" w:color="auto" w:sz="6" w:space="0"/>
            </w:tcBorders>
            <w:vAlign w:val="center"/>
          </w:tcPr>
          <w:p>
            <w:pPr>
              <w:widowControl/>
              <w:spacing w:line="240" w:lineRule="auto"/>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12" w:space="0"/>
              <w:right w:val="single" w:color="auto" w:sz="6" w:space="0"/>
            </w:tcBorders>
            <w:vAlign w:val="center"/>
          </w:tcPr>
          <w:p>
            <w:pPr>
              <w:widowControl/>
              <w:spacing w:line="240" w:lineRule="auto"/>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12" w:space="0"/>
              <w:right w:val="single" w:color="auto" w:sz="6" w:space="0"/>
            </w:tcBorders>
            <w:vAlign w:val="center"/>
          </w:tcPr>
          <w:p>
            <w:pPr>
              <w:widowControl/>
              <w:spacing w:line="240" w:lineRule="auto"/>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12" w:space="0"/>
              <w:right w:val="single" w:color="auto" w:sz="6" w:space="0"/>
            </w:tcBorders>
            <w:vAlign w:val="center"/>
          </w:tcPr>
          <w:p>
            <w:pPr>
              <w:widowControl/>
              <w:spacing w:line="240" w:lineRule="auto"/>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12"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12" w:space="0"/>
              <w:right w:val="single" w:color="auto" w:sz="6" w:space="0"/>
            </w:tcBorders>
            <w:vAlign w:val="center"/>
          </w:tcPr>
          <w:p>
            <w:pPr>
              <w:spacing w:line="240" w:lineRule="auto"/>
              <w:ind w:firstLine="0" w:firstLineChars="0"/>
              <w:jc w:val="center"/>
              <w:rPr>
                <w:rFonts w:eastAsia="仿宋_GB2312"/>
                <w:sz w:val="21"/>
                <w:szCs w:val="21"/>
              </w:rPr>
            </w:pPr>
          </w:p>
        </w:tc>
        <w:tc>
          <w:tcPr>
            <w:tcW w:w="377" w:type="pct"/>
            <w:tcBorders>
              <w:top w:val="single" w:color="auto" w:sz="6" w:space="0"/>
              <w:left w:val="single" w:color="auto" w:sz="6" w:space="0"/>
              <w:bottom w:val="single" w:color="auto" w:sz="12" w:space="0"/>
              <w:right w:val="single" w:color="auto" w:sz="12" w:space="0"/>
            </w:tcBorders>
            <w:vAlign w:val="center"/>
          </w:tcPr>
          <w:p>
            <w:pPr>
              <w:widowControl/>
              <w:spacing w:line="0" w:lineRule="atLeast"/>
              <w:ind w:firstLine="0" w:firstLineChars="0"/>
              <w:jc w:val="center"/>
              <w:rPr>
                <w:rFonts w:eastAsia="仿宋_GB2312"/>
                <w:sz w:val="21"/>
                <w:szCs w:val="21"/>
              </w:rPr>
            </w:pPr>
          </w:p>
        </w:tc>
      </w:tr>
    </w:tbl>
    <w:p>
      <w:pPr>
        <w:pStyle w:val="15"/>
        <w:ind w:firstLine="0" w:firstLineChars="0"/>
        <w:jc w:val="center"/>
      </w:pPr>
    </w:p>
    <w:p>
      <w:pPr>
        <w:pStyle w:val="15"/>
        <w:ind w:firstLine="0" w:firstLineChars="0"/>
        <w:jc w:val="center"/>
        <w:rPr>
          <w:rFonts w:eastAsia="仿宋_GB2312"/>
          <w:b/>
          <w:color w:val="000000"/>
        </w:rPr>
      </w:pPr>
      <w:r>
        <w:object>
          <v:shape id="_x0000_i1025" o:spt="75" type="#_x0000_t75" style="height:141.75pt;width:420.75pt;" o:ole="t" filled="f" o:preferrelative="t" stroked="f" coordsize="21600,21600">
            <v:path/>
            <v:fill on="f" focussize="0,0"/>
            <v:stroke on="f" joinstyle="miter"/>
            <v:imagedata r:id="rId34" o:title=""/>
            <o:lock v:ext="edit" aspectratio="t"/>
            <w10:wrap type="none"/>
            <w10:anchorlock/>
          </v:shape>
          <o:OLEObject Type="Embed" ProgID="Visio.Drawing.11" ShapeID="_x0000_i1025" DrawAspect="Content" ObjectID="_1468075725" r:id="rId33">
            <o:LockedField>false</o:LockedField>
          </o:OLEObject>
        </w:object>
      </w:r>
      <w:r>
        <w:rPr>
          <w:rFonts w:eastAsia="仿宋_GB2312"/>
          <w:b/>
          <w:color w:val="000000"/>
        </w:rPr>
        <w:t>图2.4-1    土石方流向</w:t>
      </w:r>
      <w:r>
        <w:rPr>
          <w:rFonts w:hint="eastAsia" w:eastAsia="仿宋_GB2312"/>
          <w:b/>
          <w:color w:val="000000"/>
        </w:rPr>
        <w:t>框</w:t>
      </w:r>
      <w:r>
        <w:rPr>
          <w:rFonts w:eastAsia="仿宋_GB2312"/>
          <w:b/>
          <w:color w:val="000000"/>
        </w:rPr>
        <w:t>图单位：</w:t>
      </w:r>
      <w:r>
        <w:rPr>
          <w:rFonts w:hint="eastAsia" w:eastAsia="仿宋_GB2312"/>
          <w:b/>
          <w:color w:val="000000"/>
        </w:rPr>
        <w:t>万</w:t>
      </w:r>
      <w:r>
        <w:rPr>
          <w:rFonts w:eastAsia="仿宋_GB2312"/>
          <w:b/>
          <w:color w:val="000000"/>
        </w:rPr>
        <w:t>m³</w:t>
      </w:r>
    </w:p>
    <w:bookmarkEnd w:id="160"/>
    <w:p>
      <w:pPr>
        <w:pStyle w:val="3"/>
        <w:widowControl/>
        <w:numPr>
          <w:ilvl w:val="1"/>
          <w:numId w:val="1"/>
        </w:numPr>
        <w:tabs>
          <w:tab w:val="clear" w:pos="1002"/>
        </w:tabs>
        <w:topLinePunct w:val="0"/>
        <w:adjustRightInd/>
        <w:snapToGrid/>
        <w:ind w:left="0" w:firstLine="0"/>
        <w:jc w:val="both"/>
        <w:rPr>
          <w:rFonts w:eastAsia="仿宋_GB2312"/>
        </w:rPr>
      </w:pPr>
      <w:bookmarkStart w:id="161" w:name="_Toc255304532"/>
      <w:bookmarkStart w:id="162" w:name="_Toc7801392"/>
      <w:bookmarkStart w:id="163" w:name="_Toc7801459"/>
      <w:bookmarkStart w:id="164" w:name="_Toc7801552"/>
      <w:bookmarkStart w:id="165" w:name="_Toc50221502"/>
      <w:bookmarkStart w:id="166" w:name="_Toc255304535"/>
      <w:r>
        <w:rPr>
          <w:rFonts w:eastAsia="仿宋_GB2312"/>
        </w:rPr>
        <w:t>拆迁（移民）安置</w:t>
      </w:r>
      <w:bookmarkEnd w:id="161"/>
      <w:r>
        <w:rPr>
          <w:rFonts w:eastAsia="仿宋_GB2312"/>
        </w:rPr>
        <w:t>与专项设施改(迁)建</w:t>
      </w:r>
      <w:bookmarkEnd w:id="162"/>
      <w:bookmarkEnd w:id="163"/>
      <w:bookmarkEnd w:id="164"/>
      <w:bookmarkEnd w:id="165"/>
    </w:p>
    <w:p>
      <w:pPr>
        <w:ind w:firstLine="480"/>
        <w:rPr>
          <w:rFonts w:eastAsia="仿宋_GB2312"/>
        </w:rPr>
      </w:pPr>
      <w:r>
        <w:rPr>
          <w:rFonts w:hint="eastAsia" w:eastAsia="仿宋_GB2312"/>
        </w:rPr>
        <w:t>目前项目规划占地范围内基本无当地居民的生产和生活设施，也不涉及当地的水利工程、供电线路等基础设施，所以工程建设不涉及移民安置及专向设施改建。</w:t>
      </w:r>
    </w:p>
    <w:p>
      <w:pPr>
        <w:pStyle w:val="3"/>
        <w:widowControl/>
        <w:numPr>
          <w:ilvl w:val="1"/>
          <w:numId w:val="1"/>
        </w:numPr>
        <w:tabs>
          <w:tab w:val="clear" w:pos="1002"/>
        </w:tabs>
        <w:topLinePunct w:val="0"/>
        <w:adjustRightInd/>
        <w:snapToGrid/>
        <w:ind w:left="0" w:firstLine="0"/>
        <w:jc w:val="both"/>
        <w:rPr>
          <w:rFonts w:eastAsia="仿宋_GB2312"/>
        </w:rPr>
      </w:pPr>
      <w:bookmarkStart w:id="167" w:name="_Toc7801553"/>
      <w:bookmarkStart w:id="168" w:name="_Toc50221503"/>
      <w:bookmarkStart w:id="169" w:name="_Toc7801460"/>
      <w:bookmarkStart w:id="170" w:name="_Toc7801393"/>
      <w:r>
        <w:rPr>
          <w:rFonts w:eastAsia="仿宋_GB2312"/>
        </w:rPr>
        <w:t>施工进度</w:t>
      </w:r>
      <w:bookmarkEnd w:id="166"/>
      <w:bookmarkEnd w:id="167"/>
      <w:bookmarkEnd w:id="168"/>
      <w:bookmarkEnd w:id="169"/>
      <w:bookmarkEnd w:id="170"/>
    </w:p>
    <w:p>
      <w:pPr>
        <w:ind w:firstLine="480"/>
        <w:rPr>
          <w:rFonts w:eastAsia="仿宋_GB2312"/>
        </w:rPr>
      </w:pPr>
      <w:r>
        <w:rPr>
          <w:rFonts w:eastAsia="仿宋_GB2312"/>
        </w:rPr>
        <w:t>项目计划于20</w:t>
      </w:r>
      <w:r>
        <w:rPr>
          <w:rFonts w:hint="eastAsia" w:eastAsia="仿宋_GB2312"/>
        </w:rPr>
        <w:t>20</w:t>
      </w:r>
      <w:r>
        <w:rPr>
          <w:rFonts w:eastAsia="仿宋_GB2312"/>
        </w:rPr>
        <w:t>年</w:t>
      </w:r>
      <w:r>
        <w:rPr>
          <w:rFonts w:hint="eastAsia" w:eastAsia="仿宋_GB2312"/>
        </w:rPr>
        <w:t>11</w:t>
      </w:r>
      <w:r>
        <w:rPr>
          <w:rFonts w:eastAsia="仿宋_GB2312"/>
        </w:rPr>
        <w:t>月开始施工，20</w:t>
      </w:r>
      <w:r>
        <w:rPr>
          <w:rFonts w:hint="eastAsia" w:eastAsia="仿宋_GB2312"/>
        </w:rPr>
        <w:t>20</w:t>
      </w:r>
      <w:r>
        <w:rPr>
          <w:rFonts w:eastAsia="仿宋_GB2312"/>
        </w:rPr>
        <w:t>年</w:t>
      </w:r>
      <w:r>
        <w:rPr>
          <w:rFonts w:hint="eastAsia" w:eastAsia="仿宋_GB2312"/>
        </w:rPr>
        <w:t>12</w:t>
      </w:r>
      <w:r>
        <w:rPr>
          <w:rFonts w:eastAsia="仿宋_GB2312"/>
        </w:rPr>
        <w:t>月完工，总工期</w:t>
      </w:r>
      <w:r>
        <w:rPr>
          <w:rFonts w:hint="eastAsia" w:eastAsia="仿宋_GB2312"/>
        </w:rPr>
        <w:t>2</w:t>
      </w:r>
      <w:r>
        <w:rPr>
          <w:rFonts w:eastAsia="仿宋_GB2312"/>
        </w:rPr>
        <w:t>个月</w:t>
      </w:r>
      <w:r>
        <w:rPr>
          <w:rFonts w:hint="eastAsia" w:eastAsia="仿宋_GB2312"/>
        </w:rPr>
        <w:t>，</w:t>
      </w:r>
      <w:r>
        <w:rPr>
          <w:rFonts w:eastAsia="仿宋_GB2312"/>
        </w:rPr>
        <w:t>施工进度见表2.6-1所示。</w:t>
      </w:r>
    </w:p>
    <w:p>
      <w:pPr>
        <w:tabs>
          <w:tab w:val="left" w:pos="840"/>
          <w:tab w:val="left" w:pos="1485"/>
        </w:tabs>
        <w:spacing w:line="240" w:lineRule="auto"/>
        <w:ind w:firstLine="480"/>
        <w:jc w:val="center"/>
        <w:rPr>
          <w:rFonts w:eastAsia="仿宋_GB2312"/>
          <w:b/>
        </w:rPr>
        <w:sectPr>
          <w:headerReference r:id="rId15" w:type="default"/>
          <w:pgSz w:w="11906" w:h="16838"/>
          <w:pgMar w:top="1440" w:right="1803" w:bottom="1440" w:left="1803" w:header="851" w:footer="850" w:gutter="0"/>
          <w:cols w:space="720" w:num="1"/>
          <w:docGrid w:linePitch="326" w:charSpace="0"/>
        </w:sectPr>
      </w:pPr>
    </w:p>
    <w:p>
      <w:pPr>
        <w:tabs>
          <w:tab w:val="left" w:pos="840"/>
          <w:tab w:val="left" w:pos="1485"/>
        </w:tabs>
        <w:spacing w:line="240" w:lineRule="auto"/>
        <w:ind w:firstLine="480"/>
        <w:jc w:val="center"/>
        <w:rPr>
          <w:rFonts w:eastAsia="仿宋_GB2312"/>
          <w:b/>
        </w:rPr>
      </w:pPr>
      <w:r>
        <w:rPr>
          <w:rFonts w:eastAsia="仿宋_GB2312"/>
          <w:b/>
        </w:rPr>
        <w:t>2.6-1    主体工程施工进度表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67"/>
        <w:gridCol w:w="3423"/>
        <w:gridCol w:w="34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9" w:type="pct"/>
            <w:vMerge w:val="restart"/>
            <w:vAlign w:val="center"/>
          </w:tcPr>
          <w:p>
            <w:pPr>
              <w:widowControl/>
              <w:spacing w:line="0" w:lineRule="atLeast"/>
              <w:ind w:firstLine="0" w:firstLineChars="0"/>
              <w:jc w:val="center"/>
              <w:rPr>
                <w:rFonts w:eastAsia="仿宋_GB2312"/>
                <w:sz w:val="21"/>
                <w:szCs w:val="21"/>
              </w:rPr>
            </w:pPr>
            <w:bookmarkStart w:id="171" w:name="_Toc4951124"/>
            <w:r>
              <w:rPr>
                <w:rFonts w:hint="eastAsia" w:eastAsia="仿宋_GB2312"/>
                <w:sz w:val="21"/>
                <w:szCs w:val="21"/>
              </w:rPr>
              <w:t>任务名称</w:t>
            </w:r>
          </w:p>
        </w:tc>
        <w:tc>
          <w:tcPr>
            <w:tcW w:w="4021" w:type="pct"/>
            <w:gridSpan w:val="2"/>
            <w:vAlign w:val="center"/>
          </w:tcPr>
          <w:p>
            <w:pPr>
              <w:spacing w:line="240" w:lineRule="auto"/>
              <w:ind w:firstLine="0" w:firstLineChars="0"/>
              <w:jc w:val="center"/>
              <w:rPr>
                <w:rFonts w:eastAsia="仿宋_GB2312"/>
                <w:sz w:val="21"/>
                <w:szCs w:val="21"/>
              </w:rPr>
            </w:pPr>
            <w:r>
              <w:rPr>
                <w:rFonts w:eastAsia="仿宋_GB2312"/>
                <w:sz w:val="21"/>
                <w:szCs w:val="21"/>
              </w:rPr>
              <w:t>2020</w:t>
            </w:r>
            <w:r>
              <w:rPr>
                <w:rFonts w:hint="eastAsia" w:eastAsia="仿宋_GB2312"/>
                <w:sz w:val="21"/>
                <w:szCs w:val="21"/>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9"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2010"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11</w:t>
            </w:r>
          </w:p>
        </w:tc>
        <w:tc>
          <w:tcPr>
            <w:tcW w:w="2010"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9" w:type="pct"/>
            <w:vAlign w:val="center"/>
          </w:tcPr>
          <w:p>
            <w:pPr>
              <w:spacing w:line="240" w:lineRule="auto"/>
              <w:ind w:firstLine="0" w:firstLineChars="0"/>
              <w:jc w:val="center"/>
              <w:rPr>
                <w:rFonts w:eastAsia="仿宋_GB2312"/>
                <w:sz w:val="21"/>
                <w:szCs w:val="21"/>
              </w:rPr>
            </w:pPr>
            <w:r>
              <w:rPr>
                <w:rFonts w:hint="eastAsia" w:eastAsia="仿宋_GB2312"/>
                <w:sz w:val="21"/>
                <w:szCs w:val="21"/>
              </w:rPr>
              <w:t>施工准备期</w:t>
            </w:r>
          </w:p>
        </w:tc>
        <w:tc>
          <w:tcPr>
            <w:tcW w:w="2010" w:type="pct"/>
            <w:vAlign w:val="center"/>
          </w:tcPr>
          <w:p>
            <w:pPr>
              <w:widowControl/>
              <w:ind w:firstLine="480"/>
              <w:jc w:val="center"/>
              <w:rPr>
                <w:rFonts w:eastAsia="仿宋_GB2312"/>
                <w:sz w:val="21"/>
                <w:szCs w:val="21"/>
              </w:rPr>
            </w:pPr>
            <w:r>
              <w:pict>
                <v:shape id="直接箭头连接符 24" o:spid="_x0000_s1049" o:spt="32" type="#_x0000_t32" style="position:absolute;left:0pt;margin-left:-4.45pt;margin-top:2.25pt;height:0pt;width:18pt;z-index:254241792;mso-width-relative:margin;mso-height-relative:margin;"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oH8AEAAJgDAAAOAAAAZHJzL2Uyb0RvYy54bWysU81uEzEQviPxDpbvZJOIlmiVTQ+JyqVA&#10;pJYHcGzvroXXY42dbPISvAASJ+AEPfXO00B5DMbODwVuiD1YHs/MNzPffDu92HaWbTQGA67io8GQ&#10;M+0kKOOair++uXwy4SxE4ZSw4HTFdzrwi9njR9Pel3oMLVilkRGIC2XvK97G6MuiCLLVnQgD8NqR&#10;swbsRCQTm0Kh6Am9s8V4ODwvekDlEaQOgV4XeyefZfy61jK+quugI7MVp95iPjGfq3QWs6koGxS+&#10;NfLQhviHLjphHBU9QS1EFGyN5i+ozkiEAHUcSOgKqGsjdZ6BphkN/5jmuhVe51mInOBPNIX/Bytf&#10;bpbIjKr4+ClnTnS0o/t3d9/ffry//fLtw92Pr+/T/fMnRn4iq/ehpJy5W2IaV27dtb8C+SYwB/NW&#10;uEbnpm92noBGKaP4LSUZwVPJVf8CFMWIdYTM3LbGLkESJ2ybF7Q7LUhvI5P0OB5Pzoe0Rnl0FaI8&#10;5nkM8bmGjqVLxUNEYZo2zsE5UgHgKFcRm6sQU1eiPCakog4ujbVZDNaxnipNzp6d5YwA1qjkTXEB&#10;m9XcItuIpKf85RnJ8zAsQS9EaPdxim57oSGsndpXty7h6SzRQ0tHbvYsr0DtlngkkNafmz5INenr&#10;oZ1p/vVDzX4CAAD//wMAUEsDBBQABgAIAAAAIQA/9p/+2QAAAAUBAAAPAAAAZHJzL2Rvd25yZXYu&#10;eG1sTI7BbsIwEETvlfgHa5G4gQMqxaRxUNXSHnqDwt3ESxwRr6PYJGm/vm4vcBzN6M3LNoOtWYet&#10;rxxJmM8SYEiF0xWVEg5f71MBzAdFWtWOUMI3etjko4dMpdr1tMNuH0oWIeRTJcGE0KSc+8KgVX7m&#10;GqTYnV1rVYixLbluVR/htuaLJHniVlUUH4xq8NVgcdlfrYT+R2wPx7MQeOzo43Np1pfVW5ByMh5e&#10;noEFHMJtDH/6UR3y6HRyV9Ke1RKmYh2XEh6XwGK9WM2Bnf4jzzN+b5//AgAA//8DAFBLAQItABQA&#10;BgAIAAAAIQC2gziS/gAAAOEBAAATAAAAAAAAAAAAAAAAAAAAAABbQ29udGVudF9UeXBlc10ueG1s&#10;UEsBAi0AFAAGAAgAAAAhADj9If/WAAAAlAEAAAsAAAAAAAAAAAAAAAAALwEAAF9yZWxzLy5yZWxz&#10;UEsBAi0AFAAGAAgAAAAhAOQvKgfwAQAAmAMAAA4AAAAAAAAAAAAAAAAALgIAAGRycy9lMm9Eb2Mu&#10;eG1sUEsBAi0AFAAGAAgAAAAhAD/2n/7ZAAAABQEAAA8AAAAAAAAAAAAAAAAASgQAAGRycy9kb3du&#10;cmV2LnhtbFBLBQYAAAAABAAEAPMAAABQBQAAAAA=&#10;">
                  <v:path arrowok="t"/>
                  <v:fill on="f" focussize="0,0"/>
                  <v:stroke weight="2.25pt" dashstyle="dash"/>
                  <v:imagedata o:title=""/>
                  <o:lock v:ext="edit"/>
                </v:shape>
              </w:pict>
            </w:r>
          </w:p>
        </w:tc>
        <w:tc>
          <w:tcPr>
            <w:tcW w:w="2010" w:type="pct"/>
            <w:vAlign w:val="center"/>
          </w:tcPr>
          <w:p>
            <w:pPr>
              <w:widowControl/>
              <w:ind w:firstLine="42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9" w:type="pct"/>
            <w:vAlign w:val="center"/>
          </w:tcPr>
          <w:p>
            <w:pPr>
              <w:spacing w:line="240" w:lineRule="auto"/>
              <w:ind w:firstLine="0" w:firstLineChars="0"/>
              <w:jc w:val="center"/>
              <w:rPr>
                <w:rFonts w:eastAsia="仿宋_GB2312"/>
                <w:sz w:val="21"/>
                <w:szCs w:val="21"/>
              </w:rPr>
            </w:pPr>
            <w:r>
              <w:rPr>
                <w:rFonts w:hint="eastAsia" w:eastAsia="仿宋_GB2312"/>
                <w:sz w:val="21"/>
                <w:szCs w:val="21"/>
              </w:rPr>
              <w:t>管沟开挖</w:t>
            </w:r>
          </w:p>
        </w:tc>
        <w:tc>
          <w:tcPr>
            <w:tcW w:w="2010" w:type="pct"/>
            <w:vAlign w:val="center"/>
          </w:tcPr>
          <w:p>
            <w:pPr>
              <w:widowControl/>
              <w:ind w:firstLine="480"/>
              <w:jc w:val="center"/>
              <w:rPr>
                <w:rFonts w:eastAsia="仿宋_GB2312"/>
                <w:sz w:val="21"/>
                <w:szCs w:val="21"/>
              </w:rPr>
            </w:pPr>
            <w:r>
              <w:pict>
                <v:shape id="直接箭头连接符 17" o:spid="_x0000_s1048" o:spt="32" type="#_x0000_t32" style="position:absolute;left:0pt;margin-left:16.55pt;margin-top:1.45pt;height:0pt;width:177pt;z-index:254243840;mso-width-relative:margin;mso-height-relative:margin;"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B48QEAAJkDAAAOAAAAZHJzL2Uyb0RvYy54bWysU82OEzEMviPxDlHudNqKpcuo0z20Wi4L&#10;VNrlAdwkMxORiaMk7bQvwQsgcQJOwGnvPA0sj4GT/rDADTGHKI7tz/bnb6YX286wjfJBo634aDDk&#10;TFmBUtum4q9uLh+dcxYiWAkGrar4TgV+MXv4YNq7Uo2xRSOVZwRiQ9m7ircxurIogmhVB2GATlly&#10;1ug7iGT6ppAeekLvTDEeDp8UPXrpPAoVAr0u9k4+y/h1rUR8WddBRWYqTr3FfPp8rtJZzKZQNh5c&#10;q8WhDfiHLjrQloqeoBYQga29/guq08JjwDoOBHYF1rUWKs9A04yGf0xz3YJTeRYiJ7gTTeH/wYoX&#10;m6VnWtLuJpxZ6GhHd29vv7/5cPfl87f3tz++vkv3Tx8Z+Yms3oWScuZ26dO4Ymuv3RWK14FZnLdg&#10;G5Wbvtk5AhqljOK3lGQERyVX/XOUFAPriJm5be27BEmcsG1e0O60ILWNTNDjePx48nRIexRHXwHl&#10;MdH5EJ8p7Fi6VDxED7pp4xytJRmgH+UysLkKMbUF5TEhVbV4qY3JajCW9VTq/GxyljMCGi2TN8UF&#10;36zmxrMNJEHlLw9JnvthCXoBod3HSbrtleZxbeW+urEJT2WNHlo6krOneYVyt/RHBmn/uemDVpPA&#10;7tuZ519/1OwnAAAA//8DAFBLAwQUAAYACAAAACEA4wzcbdkAAAAGAQAADwAAAGRycy9kb3ducmV2&#10;LnhtbEyOTU/DMBBE70j8B2srcaNOG0HdNE6F+Dpwo7R3N94mUeN1FLtJ4NezcIHj04xmXr6dXCsG&#10;7EPjScNinoBAKr1tqNKw/3i5VSBCNGRN6wk1fGKAbXF9lZvM+pHecdjFSvAIhcxoqGPsMilDWaMz&#10;Ye47JM5OvncmMvaVtL0Zedy1cpkk99KZhvihNh0+1liedxenYfxSz/vDSSk8DPT6dlevz6unqPXN&#10;bHrYgIg4xb8y/OizOhTsdPQXskG0GtJ0wU0NyzUIjlO1Yj7+sixy+V+/+AYAAP//AwBQSwECLQAU&#10;AAYACAAAACEAtoM4kv4AAADhAQAAEwAAAAAAAAAAAAAAAAAAAAAAW0NvbnRlbnRfVHlwZXNdLnht&#10;bFBLAQItABQABgAIAAAAIQA4/SH/1gAAAJQBAAALAAAAAAAAAAAAAAAAAC8BAABfcmVscy8ucmVs&#10;c1BLAQItABQABgAIAAAAIQBAkQB48QEAAJkDAAAOAAAAAAAAAAAAAAAAAC4CAABkcnMvZTJvRG9j&#10;LnhtbFBLAQItABQABgAIAAAAIQDjDNxt2QAAAAYBAAAPAAAAAAAAAAAAAAAAAEsEAABkcnMvZG93&#10;bnJldi54bWxQSwUGAAAAAAQABADzAAAAUQUAAAAA&#10;">
                  <v:path arrowok="t"/>
                  <v:fill on="f" focussize="0,0"/>
                  <v:stroke weight="2.25pt" dashstyle="dash"/>
                  <v:imagedata o:title=""/>
                  <o:lock v:ext="edit"/>
                </v:shape>
              </w:pict>
            </w:r>
          </w:p>
        </w:tc>
        <w:tc>
          <w:tcPr>
            <w:tcW w:w="2010" w:type="pct"/>
            <w:vAlign w:val="center"/>
          </w:tcPr>
          <w:p>
            <w:pPr>
              <w:widowControl/>
              <w:ind w:firstLine="42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9" w:type="pct"/>
            <w:vAlign w:val="center"/>
          </w:tcPr>
          <w:p>
            <w:pPr>
              <w:spacing w:line="240" w:lineRule="auto"/>
              <w:ind w:firstLine="0" w:firstLineChars="0"/>
              <w:jc w:val="center"/>
              <w:rPr>
                <w:rFonts w:eastAsia="仿宋_GB2312"/>
                <w:sz w:val="21"/>
                <w:szCs w:val="21"/>
              </w:rPr>
            </w:pPr>
            <w:r>
              <w:rPr>
                <w:rFonts w:hint="eastAsia" w:eastAsia="仿宋_GB2312"/>
                <w:sz w:val="21"/>
                <w:szCs w:val="21"/>
              </w:rPr>
              <w:t>管道安装</w:t>
            </w:r>
          </w:p>
        </w:tc>
        <w:tc>
          <w:tcPr>
            <w:tcW w:w="2010" w:type="pct"/>
            <w:vAlign w:val="center"/>
          </w:tcPr>
          <w:p>
            <w:pPr>
              <w:widowControl/>
              <w:ind w:firstLine="480"/>
              <w:jc w:val="center"/>
              <w:rPr>
                <w:rFonts w:eastAsia="仿宋_GB2312"/>
                <w:sz w:val="21"/>
                <w:szCs w:val="21"/>
              </w:rPr>
            </w:pPr>
            <w:r>
              <w:pict>
                <v:shape id="直接箭头连接符 13" o:spid="_x0000_s1047" o:spt="32" type="#_x0000_t32" style="position:absolute;left:0pt;margin-left:64.15pt;margin-top:1.4pt;height:0pt;width:183pt;z-index:254245888;mso-width-relative:margin;mso-height-relative:margin;"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YN8QEAAJkDAAAOAAAAZHJzL2Uyb0RvYy54bWysU81uEzEQviPxDpbvZJOUQrXKpodE5VIg&#10;UssDOLZ318LrsTxONnkJXgCJE3ACTr3zNNA+RsfODwVuiD1YHs/MNzPffDs533SWrXVAA67io8GQ&#10;M+0kKOOair+5vnhyxhlG4ZSw4HTFtxr5+fTxo0nvSz2GFqzSgRGIw7L3FW9j9GVRoGx1J3AAXjty&#10;1hA6EckMTaGC6Am9s8V4OHxW9BCUDyA1Ir3Od04+zfh1rWV8XdeoI7MVp95iPkM+l+ksphNRNkH4&#10;1sh9G+IfuuiEcVT0CDUXUbBVMH9BdUYGQKjjQEJXQF0bqfMMNM1o+Mc0V63wOs9C5KA/0oT/D1a+&#10;Wi8CM4p2d8KZEx3t6Pb9zc93n26/ff3x8ebu+4d0//KZkZ/I6j2WlDNzi5DGlRt35S9BvkXmYNYK&#10;1+jc9PXWE9AoZRS/pSQDPZVc9i9BUYxYRcjMberQJUjihG3ygrbHBelNZJIexyfjp6Mh7VEefIUo&#10;D4k+YHyhoWPpUnGMQZimjTNwjmQAYZTLiPUlxtSWKA8JqaqDC2NtVoN1rKdSZ6fPT3MGgjUqeVMc&#10;hmY5s4GtRRJU/vKQ5HkYlqDnAttdnKLbTmkBVk7tqluX8HTW6L6lAzk7mpegtotwYJD2n5veazUJ&#10;7KGdef71R03vAQAA//8DAFBLAwQUAAYACAAAACEAH7ClE9kAAAAHAQAADwAAAGRycy9kb3ducmV2&#10;LnhtbEyPy07DMBBF90j8gzVI7KjTUMBN41SI16I7Srt342kSNR5HsZsEvp6BDSyP7tWdM/l6cq0Y&#10;sA+NJw3zWQICqfS2oUrD7uP1RoEI0ZA1rSfU8IkB1sXlRW4y60d6x2EbK8EjFDKjoY6xy6QMZY3O&#10;hJnvkDg7+t6ZyNhX0vZm5HHXyjRJ7qUzDfGF2nT4VGN52p6dhvFLvez2R6VwP9Db5q5enh6eo9bX&#10;V9PjCkTEKf6V4Uef1aFgp4M/kw2iZU7VLVc1pPwB54vlgvnwy7LI5X//4hsAAP//AwBQSwECLQAU&#10;AAYACAAAACEAtoM4kv4AAADhAQAAEwAAAAAAAAAAAAAAAAAAAAAAW0NvbnRlbnRfVHlwZXNdLnht&#10;bFBLAQItABQABgAIAAAAIQA4/SH/1gAAAJQBAAALAAAAAAAAAAAAAAAAAC8BAABfcmVscy8ucmVs&#10;c1BLAQItABQABgAIAAAAIQCPy5YN8QEAAJkDAAAOAAAAAAAAAAAAAAAAAC4CAABkcnMvZTJvRG9j&#10;LnhtbFBLAQItABQABgAIAAAAIQAfsKUT2QAAAAcBAAAPAAAAAAAAAAAAAAAAAEsEAABkcnMvZG93&#10;bnJldi54bWxQSwUGAAAAAAQABADzAAAAUQUAAAAA&#10;">
                  <v:path arrowok="t"/>
                  <v:fill on="f" focussize="0,0"/>
                  <v:stroke weight="2.25pt" dashstyle="dash"/>
                  <v:imagedata o:title=""/>
                  <o:lock v:ext="edit"/>
                </v:shape>
              </w:pict>
            </w:r>
          </w:p>
        </w:tc>
        <w:tc>
          <w:tcPr>
            <w:tcW w:w="2010" w:type="pct"/>
            <w:vAlign w:val="center"/>
          </w:tcPr>
          <w:p>
            <w:pPr>
              <w:widowControl/>
              <w:ind w:firstLine="42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9" w:type="pct"/>
            <w:vAlign w:val="center"/>
          </w:tcPr>
          <w:p>
            <w:pPr>
              <w:spacing w:line="240" w:lineRule="auto"/>
              <w:ind w:firstLine="0" w:firstLineChars="0"/>
              <w:jc w:val="center"/>
              <w:rPr>
                <w:rFonts w:eastAsia="仿宋_GB2312"/>
                <w:sz w:val="21"/>
                <w:szCs w:val="21"/>
              </w:rPr>
            </w:pPr>
            <w:r>
              <w:rPr>
                <w:rFonts w:hint="eastAsia" w:eastAsia="仿宋_GB2312"/>
                <w:sz w:val="21"/>
                <w:szCs w:val="21"/>
              </w:rPr>
              <w:t>闸阀井工程</w:t>
            </w:r>
          </w:p>
        </w:tc>
        <w:tc>
          <w:tcPr>
            <w:tcW w:w="2010" w:type="pct"/>
            <w:vAlign w:val="center"/>
          </w:tcPr>
          <w:p>
            <w:pPr>
              <w:widowControl/>
              <w:ind w:firstLine="480"/>
              <w:jc w:val="center"/>
              <w:rPr>
                <w:rFonts w:eastAsia="仿宋_GB2312"/>
                <w:sz w:val="21"/>
                <w:szCs w:val="21"/>
              </w:rPr>
            </w:pPr>
            <w:r>
              <w:pict>
                <v:shape id="直接箭头连接符 225" o:spid="_x0000_s1046" o:spt="32" type="#_x0000_t32" style="position:absolute;left:0pt;margin-left:56.1pt;margin-top:3.4pt;height:0pt;width:150.75pt;z-index:254247936;mso-width-relative:margin;mso-height-relative:margin;"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a28QEAAJsDAAAOAAAAZHJzL2Uyb0RvYy54bWysU8GO0zAQvSPxD5bvNE1FYYma7qHVclmg&#10;0i4f4NpOYuF4LNtt0p/gB5A4ASeW0975Glg+g7HTlAVuiBws2zPz5s3zy+K8bzXZS+cVmJLmkykl&#10;0nAQytQlfX198eiMEh+YEUyDkSU9SE/Plw8fLDpbyBk0oIV0BEGMLzpb0iYEW2SZ541smZ+AlQaD&#10;FbiWBTy6OhOOdYje6mw2nT7JOnDCOuDSe7xdD0G6TPhVJXl4VVVeBqJLitxCWl1at3HNlgtW1I7Z&#10;RvEjDfYPLFqmDDY9Qa1ZYGTn1F9QreIOPFRhwqHNoKoUl2kGnCaf/jHNVcOsTLOgON6eZPL/D5a/&#10;3G8cUaKks9mcEsNafKS7d7ff3368+3Lz7cPtj6/v4/7zJxITUK7O+gKrVmbj4sC8N1f2EvgbTwys&#10;GmZqmWhfHywi5bEi+60kHrzFptvuBQjMYbsASbu+cm2ERFVIn57ocHoi2QfC8TJ/lj+eR6Z8jGWs&#10;GAut8+G5hJbETUl9cEzVTViBMWgEcHlqw/aXPkRarBgLYlcDF0rr5AdtSIeCnM2fzlOFB61EjMY8&#10;7+rtSjuyZ9FS6UtDYuR+WoReM98MeQJ3g9cc7IwYumsT8WRy6ZHSKM4g8xbEYeNGBdEBifTRrdFi&#10;989J51//1PInAAAA//8DAFBLAwQUAAYACAAAACEAxKeclNoAAAAHAQAADwAAAGRycy9kb3ducmV2&#10;LnhtbEyPy07DMBBF90j8gzVI7KiTAG0IcSrEa8GO0u7deBpHjcdR7CaBr2dgA8uje3XnTLmeXSdG&#10;HELrSUG6SEAg1d601CjYfrxc5SBC1GR05wkVfGKAdXV+VurC+InecdzERvAIhUIrsDH2hZShtuh0&#10;WPgeibODH5yOjEMjzaAnHnedzJJkKZ1uiS9Y3eOjxfq4OTkF01f+vN0d8hx3I72+3dq74+opKnV5&#10;MT/cg4g4x78y/OizOlTstPcnMkF0zGmWcVXBkj/g/Ca9XoHY/7KsSvnfv/oGAAD//wMAUEsBAi0A&#10;FAAGAAgAAAAhALaDOJL+AAAA4QEAABMAAAAAAAAAAAAAAAAAAAAAAFtDb250ZW50X1R5cGVzXS54&#10;bWxQSwECLQAUAAYACAAAACEAOP0h/9YAAACUAQAACwAAAAAAAAAAAAAAAAAvAQAAX3JlbHMvLnJl&#10;bHNQSwECLQAUAAYACAAAACEAwy7WtvEBAACbAwAADgAAAAAAAAAAAAAAAAAuAgAAZHJzL2Uyb0Rv&#10;Yy54bWxQSwECLQAUAAYACAAAACEAxKeclNoAAAAHAQAADwAAAAAAAAAAAAAAAABLBAAAZHJzL2Rv&#10;d25yZXYueG1sUEsFBgAAAAAEAAQA8wAAAFIFAAAAAA==&#10;">
                  <v:path arrowok="t"/>
                  <v:fill on="f" focussize="0,0"/>
                  <v:stroke weight="2.25pt" dashstyle="dash"/>
                  <v:imagedata o:title=""/>
                  <o:lock v:ext="edit"/>
                </v:shape>
              </w:pict>
            </w:r>
          </w:p>
        </w:tc>
        <w:tc>
          <w:tcPr>
            <w:tcW w:w="2010" w:type="pct"/>
            <w:vAlign w:val="center"/>
          </w:tcPr>
          <w:p>
            <w:pPr>
              <w:widowControl/>
              <w:ind w:firstLine="42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9" w:type="pct"/>
            <w:vAlign w:val="center"/>
          </w:tcPr>
          <w:p>
            <w:pPr>
              <w:spacing w:line="240" w:lineRule="auto"/>
              <w:ind w:firstLine="0" w:firstLineChars="0"/>
              <w:jc w:val="center"/>
              <w:rPr>
                <w:rFonts w:eastAsia="仿宋_GB2312"/>
                <w:sz w:val="21"/>
                <w:szCs w:val="21"/>
              </w:rPr>
            </w:pPr>
            <w:r>
              <w:rPr>
                <w:rFonts w:hint="eastAsia" w:eastAsia="仿宋_GB2312"/>
                <w:sz w:val="21"/>
                <w:szCs w:val="21"/>
              </w:rPr>
              <w:t>管沟回填</w:t>
            </w:r>
          </w:p>
        </w:tc>
        <w:tc>
          <w:tcPr>
            <w:tcW w:w="2010" w:type="pct"/>
            <w:vAlign w:val="center"/>
          </w:tcPr>
          <w:p>
            <w:pPr>
              <w:widowControl/>
              <w:ind w:firstLine="480"/>
              <w:jc w:val="center"/>
              <w:rPr>
                <w:rFonts w:eastAsia="仿宋_GB2312"/>
                <w:sz w:val="21"/>
                <w:szCs w:val="21"/>
              </w:rPr>
            </w:pPr>
            <w:r>
              <w:pict>
                <v:shape id="直接箭头连接符 226" o:spid="_x0000_s1045" o:spt="32" type="#_x0000_t32" style="position:absolute;left:0pt;margin-left:90.05pt;margin-top:3.8pt;height:0pt;width:197.25pt;z-index:254249984;mso-width-relative:margin;mso-height-relative:margin;"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9Ol7wEAAJsDAAAOAAAAZHJzL2Uyb0RvYy54bWysU82O0zAQviPxDpbvNGmlLquo6R5aLZcF&#10;VtrlAaa2k1g4Hst2m/YleAEkTsAJOO2dp4HlMRi7P8ByQ+Qw8nhmvpn5/GV2se0N2ygfNNqaj0cl&#10;Z8oKlNq2NX91e/nknLMQwUowaFXNdyrwi/njR7PBVWqCHRqpPCMQG6rB1byL0VVFEUSneggjdMpS&#10;sEHfQyTXt4X0MBB6b4pJWZ4VA3rpPAoVAt0u90E+z/hNo0R82TRBRWZqTrPFbH22q2SL+Qyq1oPr&#10;tDiMAf8wRQ/aUtMT1BIisLXXf0H1WngM2MSRwL7AptFC5R1om3H5YJubDpzKuxA5wZ1oCv8PVrzY&#10;XHumZc0nkzPOLPT0SPdv776/+XD/5fO393c/vr5L508fWUogugYXKqpa2GufFhZbe+OuULwOzOKi&#10;A9uqPPbtzhHSOFUUf5QkJzhquhqeo6QcWEfM3G0b3ydIYoVt8xPtTk+ktpEJupxMy2n5dMqZOMYK&#10;qI6Fzof4TGHP0qHmIXrQbRcXaC0JAf04t4HNVYhpLKiOBamrxUttTNaDsWygVudTapRCAY2WKZod&#10;364WxrMNJEnlLy/5IC1BLyF0+zxJp73WPK6t3Hc3NuGprNLDSEdy9jSvUO6u/ZFBUkAe+qDWJLHf&#10;/czzr39q/hMAAP//AwBQSwMEFAAGAAgAAAAhADopE7PaAAAABwEAAA8AAABkcnMvZG93bnJldi54&#10;bWxMjstOwzAQRfdI/QdrKrGjThFtTIhTIV4Ldi3t3o2nSdR4HMVuEvh6Bjawm6N7defkm8m1YsA+&#10;NJ40LBcJCKTS24YqDfuP1xsFIkRD1rSeUMMnBtgUs6vcZNaPtMVhFyvBIxQyo6GOscukDGWNzoSF&#10;75A4O/nemcjYV9L2ZuRx18rbJFlLZxriD7Xp8KnG8ry7OA3jl3rZH05K4WGgt/dVfX9On6PW1/Pp&#10;8QFExCn+leFHn9WhYKejv5ANomVWyZKrGtI1CM5X6R0fx1+WRS7/+xffAAAA//8DAFBLAQItABQA&#10;BgAIAAAAIQC2gziS/gAAAOEBAAATAAAAAAAAAAAAAAAAAAAAAABbQ29udGVudF9UeXBlc10ueG1s&#10;UEsBAi0AFAAGAAgAAAAhADj9If/WAAAAlAEAAAsAAAAAAAAAAAAAAAAALwEAAF9yZWxzLy5yZWxz&#10;UEsBAi0AFAAGAAgAAAAhAOEX06XvAQAAmwMAAA4AAAAAAAAAAAAAAAAALgIAAGRycy9lMm9Eb2Mu&#10;eG1sUEsBAi0AFAAGAAgAAAAhADopE7PaAAAABwEAAA8AAAAAAAAAAAAAAAAASQQAAGRycy9kb3du&#10;cmV2LnhtbFBLBQYAAAAABAAEAPMAAABQBQAAAAA=&#10;">
                  <v:path arrowok="t"/>
                  <v:fill on="f" focussize="0,0"/>
                  <v:stroke weight="2.25pt" dashstyle="dash"/>
                  <v:imagedata o:title=""/>
                  <o:lock v:ext="edit"/>
                </v:shape>
              </w:pict>
            </w:r>
          </w:p>
        </w:tc>
        <w:tc>
          <w:tcPr>
            <w:tcW w:w="2010" w:type="pct"/>
            <w:vAlign w:val="center"/>
          </w:tcPr>
          <w:p>
            <w:pPr>
              <w:widowControl/>
              <w:ind w:firstLine="42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9" w:type="pct"/>
            <w:vAlign w:val="center"/>
          </w:tcPr>
          <w:p>
            <w:pPr>
              <w:spacing w:line="240" w:lineRule="auto"/>
              <w:ind w:firstLine="0" w:firstLineChars="0"/>
              <w:jc w:val="center"/>
              <w:rPr>
                <w:rFonts w:eastAsia="仿宋_GB2312"/>
                <w:sz w:val="21"/>
                <w:szCs w:val="21"/>
              </w:rPr>
            </w:pPr>
            <w:r>
              <w:rPr>
                <w:rFonts w:hint="eastAsia" w:eastAsia="仿宋_GB2312"/>
                <w:sz w:val="21"/>
                <w:szCs w:val="21"/>
              </w:rPr>
              <w:t>设备安装</w:t>
            </w:r>
          </w:p>
        </w:tc>
        <w:tc>
          <w:tcPr>
            <w:tcW w:w="2010" w:type="pct"/>
            <w:vAlign w:val="center"/>
          </w:tcPr>
          <w:p>
            <w:pPr>
              <w:widowControl/>
              <w:ind w:firstLine="480"/>
              <w:jc w:val="center"/>
            </w:pPr>
            <w:r>
              <w:pict>
                <v:shape id="直接箭头连接符 9" o:spid="_x0000_s1044" o:spt="32" type="#_x0000_t32" style="position:absolute;left:0pt;margin-left:90.4pt;margin-top:13.3pt;height:0pt;width:93.75pt;z-index:254252032;mso-width-relative:margin;mso-height-relative:margin;"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Wc8QEAAJcDAAAOAAAAZHJzL2Uyb0RvYy54bWysU82O0zAQviPxDpbvNEmlLtuo6R5aLZcF&#10;Ku3yAFPbSSwcj2W7TfoSvAASJ+AEnPbO08DyGGu7P7vADZGD5fHMfDPzzZfZxdApshXWSdQVLUY5&#10;JUIz5FI3FX1zc/nsnBLnQXNQqEVFd8LRi/nTJ7PelGKMLSouLAkg2pW9qWjrvSmzzLFWdOBGaIQO&#10;zhptBz6Ytsm4hT6gdyob5/lZ1qPlxiITzoXX5d5J5wm/rgXzr+vaCU9URUNvPp02net4ZvMZlI0F&#10;00p2aAP+oYsOpA5FT1BL8EA2Vv4F1Ulm0WHtRwy7DOtaMpFmCNMU+R/TXLdgRJolkOPMiSb3/2DZ&#10;q+3KEskrOqVEQxdWdPf+9ue7T3ffvv74ePvr+4d4//KZTCNVvXFlyFjolY3DskFfmytkbx3RuGhB&#10;NyK1fLMzAaeIGdlvKdFwJhRc9y+RhxjYeEy8DbXtImRghAxpPbvTesTgCQuPRTHNz8YTStjRl0F5&#10;TDTW+RcCOxIvFXXegmxav0CtgwjQFqkMbK+cj21BeUyIVTVeSqWSFpQmfUXH55Pnk5ThUEkevTHO&#10;2Wa9UJZsIcopfWnI4HkcFqGX4Np9HA+3vc4sbjTfV1c64omk0ENLR3L2NK+R71b2yGDYfmr6oNQo&#10;r8d24vnhf5rfAwAA//8DAFBLAwQUAAYACAAAACEAlMXVxdsAAAAJAQAADwAAAGRycy9kb3ducmV2&#10;LnhtbEyPzU7DMBCE70i8g7VI3KhDK4IJcSrE34Ebpb278TaOGq+j2E0CT88iDnCcndHMt+V69p0Y&#10;cYhtIA3XiwwEUh1sS42G7cfLlQIRkyFrukCo4RMjrKvzs9IUNkz0juMmNYJLKBZGg0upL6SMtUNv&#10;4iL0SOwdwuBNYjk00g5m4nLfyWWW5dKblnjBmR4fHdbHzclrmL7U83Z3UAp3I72+3bi74+1T0vry&#10;Yn64B5FwTn9h+MFndKiYaR9OZKPoWKuM0ZOGZZ6D4MAqVysQ+9+DrEr5/4PqGwAA//8DAFBLAQIt&#10;ABQABgAIAAAAIQC2gziS/gAAAOEBAAATAAAAAAAAAAAAAAAAAAAAAABbQ29udGVudF9UeXBlc10u&#10;eG1sUEsBAi0AFAAGAAgAAAAhADj9If/WAAAAlAEAAAsAAAAAAAAAAAAAAAAALwEAAF9yZWxzLy5y&#10;ZWxzUEsBAi0AFAAGAAgAAAAhAAi0tZzxAQAAlwMAAA4AAAAAAAAAAAAAAAAALgIAAGRycy9lMm9E&#10;b2MueG1sUEsBAi0AFAAGAAgAAAAhAJTF1cXbAAAACQEAAA8AAAAAAAAAAAAAAAAASwQAAGRycy9k&#10;b3ducmV2LnhtbFBLBQYAAAAABAAEAPMAAABTBQAAAAA=&#10;">
                  <v:path arrowok="t"/>
                  <v:fill on="f" focussize="0,0"/>
                  <v:stroke weight="2.25pt" dashstyle="dash"/>
                  <v:imagedata o:title=""/>
                  <o:lock v:ext="edit"/>
                </v:shape>
              </w:pict>
            </w:r>
          </w:p>
        </w:tc>
        <w:tc>
          <w:tcPr>
            <w:tcW w:w="2010" w:type="pct"/>
            <w:vAlign w:val="center"/>
          </w:tcPr>
          <w:p>
            <w:pPr>
              <w:widowControl/>
              <w:ind w:firstLine="480"/>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9" w:type="pct"/>
            <w:vAlign w:val="center"/>
          </w:tcPr>
          <w:p>
            <w:pPr>
              <w:spacing w:line="240" w:lineRule="auto"/>
              <w:ind w:firstLine="0" w:firstLineChars="0"/>
              <w:jc w:val="center"/>
              <w:rPr>
                <w:rFonts w:eastAsia="仿宋_GB2312"/>
                <w:sz w:val="21"/>
                <w:szCs w:val="21"/>
              </w:rPr>
            </w:pPr>
            <w:r>
              <w:rPr>
                <w:rFonts w:hint="eastAsia" w:eastAsia="仿宋_GB2312"/>
                <w:sz w:val="21"/>
                <w:szCs w:val="21"/>
              </w:rPr>
              <w:t>试压调试</w:t>
            </w:r>
          </w:p>
        </w:tc>
        <w:tc>
          <w:tcPr>
            <w:tcW w:w="2010" w:type="pct"/>
            <w:vAlign w:val="center"/>
          </w:tcPr>
          <w:p>
            <w:pPr>
              <w:widowControl/>
              <w:ind w:firstLine="480"/>
              <w:jc w:val="center"/>
            </w:pPr>
          </w:p>
        </w:tc>
        <w:tc>
          <w:tcPr>
            <w:tcW w:w="2010" w:type="pct"/>
            <w:vAlign w:val="center"/>
          </w:tcPr>
          <w:p>
            <w:pPr>
              <w:widowControl/>
              <w:ind w:firstLine="480"/>
              <w:jc w:val="center"/>
            </w:pPr>
            <w:r>
              <w:pict>
                <v:shape id="直接箭头连接符 4" o:spid="_x0000_s1043" o:spt="32" type="#_x0000_t32" style="position:absolute;left:0pt;margin-left:116pt;margin-top:10.2pt;height:0pt;width:27.75pt;z-index:254254080;mso-width-relative:margin;mso-height-relative:margin;"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vh8AEAAJYDAAAOAAAAZHJzL2Uyb0RvYy54bWysU82OEzEMviPxDlHudNrSwmrU6R5aLZcF&#10;VtrlAdIkMxORiSM77bQvwQsgcQJOwGnvPA0sj0GS/rDADTGHKI7tz/bnb2bn286yjUYy4Co+Ggw5&#10;006CMq6p+Kubi0dnnFEQTgkLTld8p4mfzx8+mPW+1GNowSqNLII4Kntf8TYEXxYFyVZ3ggbgtYvO&#10;GrATIZrYFApFH9E7W4yHwydFD6g8gtRE8XW5d/J5xq9rLcPLuiYdmK147C3kE/O5Smcxn4myQeFb&#10;Iw9tiH/oohPGxaInqKUIgq3R/AXVGYlAUIeBhK6AujZS5xniNKPhH9Nct8LrPEskh/yJJvp/sPLF&#10;5gqZURWfcOZEF1d09/b2+5sPd18+f3t/++Pru3T/9JFNElW9pzJmLNwVpmHl1l37S5CviTlYtMI1&#10;Ord8s/MRZ5Qyit9SkkE+Flz1z0HFGLEOkHnb1tglyMgI2+b17E7r0dvAZHx8PB1PxlPO5NFViPKY&#10;55HCMw0dS5eKU0BhmjYswLmoAcBRriI2lxRSV6I8JqSiDi6MtVkK1rG+4uOz6dNpziCwRiVviiNs&#10;VguLbCOSmvKXZ4ye+2EJeimo3cepeNvLDGHt1L66dQlPZ4EeWjpys2d5BWp3hUcC4/Jz0wehJnXd&#10;tzPNv36n+U8AAAD//wMAUEsDBBQABgAIAAAAIQDczSCj3QAAAAkBAAAPAAAAZHJzL2Rvd25yZXYu&#10;eG1sTI/NTsMwEITvSLyDtUjcqNNAqUnjVIi/Q2+U9u7G2yRqvI5iNwk8PYs4wG13ZzT7Tb6eXCsG&#10;7EPjScN8loBAKr1tqNKw+3i9USBCNGRN6wk1fGKAdXF5kZvM+pHecdjGSnAIhcxoqGPsMilDWaMz&#10;YeY7JNaOvncm8tpX0vZm5HDXyjRJ7qUzDfGH2nT4VGN52p6dhvFLvez2R6VwP9DbZlE/nJbPUevr&#10;q+lxBSLiFP/M8IPP6FAw08GfyQbRakhvU+4SeUjuQLAhVcsFiMPvQRa5/N+g+AYAAP//AwBQSwEC&#10;LQAUAAYACAAAACEAtoM4kv4AAADhAQAAEwAAAAAAAAAAAAAAAAAAAAAAW0NvbnRlbnRfVHlwZXNd&#10;LnhtbFBLAQItABQABgAIAAAAIQA4/SH/1gAAAJQBAAALAAAAAAAAAAAAAAAAAC8BAABfcmVscy8u&#10;cmVsc1BLAQItABQABgAIAAAAIQBcQJvh8AEAAJYDAAAOAAAAAAAAAAAAAAAAAC4CAABkcnMvZTJv&#10;RG9jLnhtbFBLAQItABQABgAIAAAAIQDczSCj3QAAAAkBAAAPAAAAAAAAAAAAAAAAAEoEAABkcnMv&#10;ZG93bnJldi54bWxQSwUGAAAAAAQABADzAAAAVAUAAAAA&#10;">
                  <v:path arrowok="t"/>
                  <v:fill on="f" focussize="0,0"/>
                  <v:stroke weight="2.25pt" dashstyle="dash"/>
                  <v:imagedata o:title=""/>
                  <o:lock v:ext="edit"/>
                </v:shape>
              </w:pic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9" w:type="pct"/>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竣工验收</w:t>
            </w:r>
          </w:p>
        </w:tc>
        <w:tc>
          <w:tcPr>
            <w:tcW w:w="2010" w:type="pct"/>
            <w:vAlign w:val="center"/>
          </w:tcPr>
          <w:p>
            <w:pPr>
              <w:widowControl/>
              <w:ind w:firstLine="480"/>
              <w:jc w:val="center"/>
            </w:pPr>
          </w:p>
        </w:tc>
        <w:tc>
          <w:tcPr>
            <w:tcW w:w="2010" w:type="pct"/>
            <w:vAlign w:val="center"/>
          </w:tcPr>
          <w:p>
            <w:pPr>
              <w:widowControl/>
              <w:ind w:firstLine="480"/>
              <w:jc w:val="center"/>
            </w:pPr>
            <w:r>
              <w:pict>
                <v:shape id="直接箭头连接符 228" o:spid="_x0000_s1042" o:spt="32" type="#_x0000_t32" style="position:absolute;left:0pt;margin-left:139.35pt;margin-top:9.05pt;height:0pt;width:27.75pt;z-index:254256128;mso-width-relative:margin;mso-height-relative:margin;"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mJs8QEAAJoDAAAOAAAAZHJzL2Uyb0RvYy54bWysU8GO0zAQvSPxD5bvNG2gsIqa7qHVclmg&#10;0i4f4NpOYuF4LNtt0p/gB5A4ASeW0975Glg+g7HTlAVuiBwsj2fmzcybl8V532qyl84rMCWdTaaU&#10;SMNBKFOX9PX1xaMzSnxgRjANRpb0ID09Xz58sOhsIXNoQAvpCIIYX3S2pE0ItsgyzxvZMj8BKw06&#10;K3AtC2i6OhOOdYje6iyfTp9mHThhHXDpPb6uByddJvyqkjy8qiovA9Elxd5COl06t/HMlgtW1I7Z&#10;RvFjG+wfumiZMlj0BLVmgZGdU39BtYo78FCFCYc2g6pSXKYZcJrZ9I9prhpmZZoFyfH2RJP/f7D8&#10;5X7jiBIlzXNclWEtLunu3e33tx/vvtx8+3D74+v7eP/8icQApKuzvsCsldm4ODDvzZW9BP7GEwOr&#10;hplapravDxaRZjEj+y0lGt5i0W33AgTGsF2AxF1fuTZCIiukTys6nFYk+0A4Pj6e50/yOSV8dGWs&#10;GPOs8+G5hJbES0l9cEzVTViBMagDcLNUhe0vfYhdsWJMiEUNXCitkxy0IR3ycTZ/Nk8ZHrQS0Rvj&#10;vKu3K+3InkVFpS/NiJ77YRF6zXwzxAm8DVJzsDNiqK5NxJNJpMeWRm4GlrcgDhs3EogCSE0fxRoV&#10;dt9ONP/6pZY/AQAA//8DAFBLAwQUAAYACAAAACEAFv+K0twAAAAJAQAADwAAAGRycy9kb3ducmV2&#10;LnhtbEyPTU/DMAyG70j8h8hI3Fi6DmgoTSfE14EbY7tnjddWa5yqydrCr8eIAxzt99Hrx8V6dp0Y&#10;cQitJw3LRQICqfK2pVrD9uPlSoEI0ZA1nSfU8IkB1uX5WWFy6yd6x3ETa8ElFHKjoYmxz6UMVYPO&#10;hIXvkTg7+MGZyONQSzuYictdJ9MkuZXOtMQXGtPjY4PVcXNyGqYv9bzdHZTC3UivbzfN3TF7ilpf&#10;XswP9yAizvEPhh99VoeSnfb+RDaITkOaqYxRDtQSBAOr1XUKYv+7kGUh/39QfgMAAP//AwBQSwEC&#10;LQAUAAYACAAAACEAtoM4kv4AAADhAQAAEwAAAAAAAAAAAAAAAAAAAAAAW0NvbnRlbnRfVHlwZXNd&#10;LnhtbFBLAQItABQABgAIAAAAIQA4/SH/1gAAAJQBAAALAAAAAAAAAAAAAAAAAC8BAABfcmVscy8u&#10;cmVsc1BLAQItABQABgAIAAAAIQCg2mJs8QEAAJoDAAAOAAAAAAAAAAAAAAAAAC4CAABkcnMvZTJv&#10;RG9jLnhtbFBLAQItABQABgAIAAAAIQAW/4rS3AAAAAkBAAAPAAAAAAAAAAAAAAAAAEsEAABkcnMv&#10;ZG93bnJldi54bWxQSwUGAAAAAAQABADzAAAAVAUAAAAA&#10;">
                  <v:path arrowok="t"/>
                  <v:fill on="f" focussize="0,0"/>
                  <v:stroke weight="2.25pt" dashstyle="dash"/>
                  <v:imagedata o:title=""/>
                  <o:lock v:ext="edit"/>
                </v:shape>
              </w:pict>
            </w:r>
          </w:p>
        </w:tc>
      </w:tr>
    </w:tbl>
    <w:p>
      <w:pPr>
        <w:pStyle w:val="3"/>
        <w:widowControl/>
        <w:numPr>
          <w:ilvl w:val="1"/>
          <w:numId w:val="1"/>
        </w:numPr>
        <w:tabs>
          <w:tab w:val="clear" w:pos="1002"/>
        </w:tabs>
        <w:topLinePunct w:val="0"/>
        <w:adjustRightInd/>
        <w:snapToGrid/>
        <w:spacing w:beforeLines="100"/>
        <w:ind w:left="0" w:firstLine="0"/>
        <w:jc w:val="both"/>
        <w:rPr>
          <w:rFonts w:eastAsia="仿宋_GB2312"/>
        </w:rPr>
      </w:pPr>
      <w:bookmarkStart w:id="172" w:name="_Toc7801461"/>
      <w:bookmarkStart w:id="173" w:name="_Toc7801394"/>
      <w:bookmarkStart w:id="174" w:name="_Toc7801554"/>
      <w:bookmarkStart w:id="175" w:name="_Toc50221504"/>
      <w:r>
        <w:rPr>
          <w:rFonts w:eastAsia="仿宋_GB2312"/>
        </w:rPr>
        <w:t>自然概况</w:t>
      </w:r>
      <w:bookmarkEnd w:id="171"/>
      <w:bookmarkEnd w:id="172"/>
      <w:bookmarkEnd w:id="173"/>
      <w:bookmarkEnd w:id="174"/>
      <w:bookmarkEnd w:id="175"/>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地形地貌</w:t>
      </w:r>
    </w:p>
    <w:p>
      <w:pPr>
        <w:ind w:firstLine="480"/>
        <w:rPr>
          <w:rFonts w:eastAsia="仿宋_GB2312"/>
        </w:rPr>
      </w:pPr>
      <w:r>
        <w:rPr>
          <w:rFonts w:hint="eastAsia" w:eastAsia="仿宋_GB2312"/>
        </w:rPr>
        <w:t>本项目所在224</w:t>
      </w:r>
      <w:r>
        <w:rPr>
          <w:rFonts w:eastAsia="仿宋_GB2312"/>
        </w:rPr>
        <w:t>团</w:t>
      </w:r>
      <w:r>
        <w:rPr>
          <w:rFonts w:hint="eastAsia" w:eastAsia="仿宋_GB2312"/>
        </w:rPr>
        <w:t>团部大地形走势由西南向东北倾</w:t>
      </w:r>
      <w:r>
        <w:rPr>
          <w:rFonts w:eastAsia="仿宋_GB2312"/>
        </w:rPr>
        <w:t>斜，南部坡度较陡，在15‰-17‰之间，中、北部地形坡度较缓，在1‰-2‰范围内</w:t>
      </w:r>
      <w:r>
        <w:rPr>
          <w:rFonts w:hint="eastAsia" w:eastAsia="仿宋_GB2312"/>
        </w:rPr>
        <w:t>，</w:t>
      </w:r>
      <w:r>
        <w:rPr>
          <w:rFonts w:eastAsia="仿宋_GB2312"/>
        </w:rPr>
        <w:t xml:space="preserve">海拔介于1304-1397m </w:t>
      </w:r>
      <w:r>
        <w:rPr>
          <w:rFonts w:hint="eastAsia" w:eastAsia="仿宋_GB2312"/>
        </w:rPr>
        <w:t>之间，</w:t>
      </w:r>
      <w:r>
        <w:rPr>
          <w:rFonts w:eastAsia="仿宋_GB2312"/>
        </w:rPr>
        <w:t>主要</w:t>
      </w:r>
      <w:r>
        <w:rPr>
          <w:rFonts w:hint="eastAsia" w:eastAsia="仿宋_GB2312"/>
        </w:rPr>
        <w:t>为</w:t>
      </w:r>
      <w:r>
        <w:rPr>
          <w:rFonts w:eastAsia="仿宋_GB2312"/>
        </w:rPr>
        <w:t>冲洪积平原</w:t>
      </w:r>
      <w:r>
        <w:rPr>
          <w:rFonts w:hint="eastAsia" w:eastAsia="仿宋_GB2312"/>
        </w:rPr>
        <w:t>地貌</w:t>
      </w:r>
      <w:r>
        <w:rPr>
          <w:rFonts w:eastAsia="仿宋_GB2312"/>
        </w:rPr>
        <w:t>。</w:t>
      </w:r>
    </w:p>
    <w:p>
      <w:pPr>
        <w:spacing w:beforeLines="50" w:line="240" w:lineRule="auto"/>
        <w:ind w:left="118" w:leftChars="49" w:firstLine="0" w:firstLineChars="0"/>
        <w:rPr>
          <w:rFonts w:eastAsia="仿宋_GB2312"/>
        </w:rPr>
      </w:pPr>
      <w:r>
        <w:drawing>
          <wp:inline distT="0" distB="0" distL="0" distR="0">
            <wp:extent cx="2510155" cy="2057400"/>
            <wp:effectExtent l="0" t="0" r="444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stretch>
                      <a:fillRect/>
                    </a:stretch>
                  </pic:blipFill>
                  <pic:spPr>
                    <a:xfrm>
                      <a:off x="0" y="0"/>
                      <a:ext cx="2516400" cy="2062022"/>
                    </a:xfrm>
                    <a:prstGeom prst="rect">
                      <a:avLst/>
                    </a:prstGeom>
                  </pic:spPr>
                </pic:pic>
              </a:graphicData>
            </a:graphic>
          </wp:inline>
        </w:drawing>
      </w:r>
      <w:r>
        <w:drawing>
          <wp:inline distT="0" distB="0" distL="0" distR="0">
            <wp:extent cx="2512060" cy="20669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stretch>
                      <a:fillRect/>
                    </a:stretch>
                  </pic:blipFill>
                  <pic:spPr>
                    <a:xfrm>
                      <a:off x="0" y="0"/>
                      <a:ext cx="2516400" cy="2070106"/>
                    </a:xfrm>
                    <a:prstGeom prst="rect">
                      <a:avLst/>
                    </a:prstGeom>
                  </pic:spPr>
                </pic:pic>
              </a:graphicData>
            </a:graphic>
          </wp:inline>
        </w:drawing>
      </w:r>
    </w:p>
    <w:p>
      <w:pPr>
        <w:spacing w:beforeLines="50" w:line="240" w:lineRule="auto"/>
        <w:ind w:left="118" w:leftChars="49" w:firstLine="0" w:firstLineChars="0"/>
        <w:jc w:val="center"/>
        <w:rPr>
          <w:rFonts w:eastAsia="仿宋_GB2312"/>
          <w:b/>
        </w:rPr>
      </w:pPr>
      <w:r>
        <w:rPr>
          <w:rFonts w:eastAsia="仿宋_GB2312"/>
          <w:b/>
        </w:rPr>
        <w:t>图2.7-1    项目区地形地貌</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地质</w:t>
      </w:r>
    </w:p>
    <w:p>
      <w:pPr>
        <w:ind w:firstLine="480"/>
        <w:rPr>
          <w:rFonts w:eastAsia="仿宋_GB2312"/>
        </w:rPr>
      </w:pPr>
      <w:r>
        <w:rPr>
          <w:rFonts w:hint="eastAsia" w:eastAsia="仿宋_GB2312"/>
        </w:rPr>
        <w:t>（1）区域地质</w:t>
      </w:r>
    </w:p>
    <w:p>
      <w:pPr>
        <w:ind w:firstLine="480"/>
        <w:rPr>
          <w:rFonts w:eastAsia="仿宋_GB2312"/>
        </w:rPr>
      </w:pPr>
      <w:r>
        <w:rPr>
          <w:rFonts w:hint="eastAsia" w:eastAsia="仿宋_GB2312"/>
        </w:rPr>
        <w:t>项目区</w:t>
      </w:r>
      <w:r>
        <w:rPr>
          <w:rFonts w:eastAsia="仿宋_GB2312"/>
        </w:rPr>
        <w:t>南为西昆仑褶皱带，带内褶皱、断裂较发育，构造错综复杂；北为塔里木地台。工程区在构造单元上，处在塔里木地台南缘三级构造单元西南坳陷中部的叶城坳陷内。</w:t>
      </w:r>
    </w:p>
    <w:p>
      <w:pPr>
        <w:ind w:firstLine="480"/>
        <w:rPr>
          <w:rFonts w:eastAsia="仿宋_GB2312"/>
        </w:rPr>
      </w:pPr>
      <w:r>
        <w:rPr>
          <w:rFonts w:eastAsia="仿宋_GB2312"/>
        </w:rPr>
        <w:t>（</w:t>
      </w:r>
      <w:r>
        <w:rPr>
          <w:rFonts w:hint="eastAsia" w:eastAsia="仿宋_GB2312"/>
        </w:rPr>
        <w:t>2</w:t>
      </w:r>
      <w:r>
        <w:rPr>
          <w:rFonts w:eastAsia="仿宋_GB2312"/>
        </w:rPr>
        <w:t>）工程地质</w:t>
      </w:r>
    </w:p>
    <w:p>
      <w:pPr>
        <w:ind w:firstLine="480"/>
        <w:rPr>
          <w:rFonts w:eastAsia="仿宋_GB2312"/>
          <w:color w:val="000000"/>
        </w:rPr>
      </w:pPr>
      <w:r>
        <w:rPr>
          <w:rFonts w:hint="eastAsia" w:eastAsia="仿宋_GB2312"/>
          <w:color w:val="000000"/>
        </w:rPr>
        <w:t>拟建场地地层主要为第四系松散堆积物，场地地基土主要由杂填土、粉土及圆砾构成，自然地面以下地层结构自上而下可分为三层。现描述如下：</w:t>
      </w:r>
    </w:p>
    <w:p>
      <w:pPr>
        <w:ind w:firstLine="480"/>
        <w:rPr>
          <w:rFonts w:eastAsia="仿宋_GB2312"/>
          <w:color w:val="000000"/>
        </w:rPr>
      </w:pPr>
      <w:r>
        <w:rPr>
          <w:rFonts w:hint="eastAsia" w:eastAsia="仿宋_GB2312"/>
          <w:color w:val="000000"/>
        </w:rPr>
        <w:t>第</w:t>
      </w:r>
      <w:r>
        <w:rPr>
          <w:rFonts w:eastAsia="仿宋_GB2312"/>
          <w:color w:val="000000"/>
        </w:rPr>
        <w:t>1</w:t>
      </w:r>
      <w:r>
        <w:rPr>
          <w:rFonts w:hint="eastAsia" w:eastAsia="仿宋_GB2312"/>
          <w:color w:val="000000"/>
        </w:rPr>
        <w:t>层：杂填土，呈松散状态，含大量建筑垃圾。层底埋深为自然地面以下</w:t>
      </w:r>
      <w:r>
        <w:rPr>
          <w:rFonts w:eastAsia="仿宋_GB2312"/>
          <w:color w:val="000000"/>
        </w:rPr>
        <w:t>0.6</w:t>
      </w:r>
      <w:r>
        <w:rPr>
          <w:rFonts w:hint="eastAsia" w:eastAsia="仿宋_GB2312"/>
          <w:color w:val="000000"/>
        </w:rPr>
        <w:t>～</w:t>
      </w:r>
      <w:r>
        <w:rPr>
          <w:rFonts w:eastAsia="仿宋_GB2312"/>
          <w:color w:val="000000"/>
        </w:rPr>
        <w:t>0.8m</w:t>
      </w:r>
      <w:r>
        <w:rPr>
          <w:rFonts w:hint="eastAsia" w:eastAsia="仿宋_GB2312"/>
          <w:color w:val="000000"/>
        </w:rPr>
        <w:t>，层厚</w:t>
      </w:r>
      <w:r>
        <w:rPr>
          <w:rFonts w:eastAsia="仿宋_GB2312"/>
          <w:color w:val="000000"/>
        </w:rPr>
        <w:t>0.6</w:t>
      </w:r>
      <w:r>
        <w:rPr>
          <w:rFonts w:hint="eastAsia" w:eastAsia="仿宋_GB2312"/>
          <w:color w:val="000000"/>
        </w:rPr>
        <w:t>～</w:t>
      </w:r>
      <w:r>
        <w:rPr>
          <w:rFonts w:eastAsia="仿宋_GB2312"/>
          <w:color w:val="000000"/>
        </w:rPr>
        <w:t>0.8m</w:t>
      </w:r>
      <w:r>
        <w:rPr>
          <w:rFonts w:hint="eastAsia" w:eastAsia="仿宋_GB2312"/>
          <w:color w:val="000000"/>
        </w:rPr>
        <w:t>。层底高程为</w:t>
      </w:r>
      <w:r>
        <w:rPr>
          <w:rFonts w:eastAsia="仿宋_GB2312"/>
          <w:color w:val="000000"/>
        </w:rPr>
        <w:t>-0.9</w:t>
      </w:r>
      <w:r>
        <w:rPr>
          <w:rFonts w:hint="eastAsia" w:eastAsia="仿宋_GB2312"/>
          <w:color w:val="000000"/>
        </w:rPr>
        <w:t>～</w:t>
      </w:r>
      <w:r>
        <w:rPr>
          <w:rFonts w:eastAsia="仿宋_GB2312"/>
          <w:color w:val="000000"/>
        </w:rPr>
        <w:t>-1.1m</w:t>
      </w:r>
      <w:r>
        <w:rPr>
          <w:rFonts w:hint="eastAsia" w:eastAsia="仿宋_GB2312"/>
          <w:color w:val="000000"/>
        </w:rPr>
        <w:t>。</w:t>
      </w:r>
    </w:p>
    <w:p>
      <w:pPr>
        <w:ind w:firstLine="480"/>
        <w:rPr>
          <w:rFonts w:eastAsia="仿宋_GB2312"/>
          <w:color w:val="000000"/>
        </w:rPr>
      </w:pPr>
      <w:r>
        <w:rPr>
          <w:rFonts w:hint="eastAsia" w:eastAsia="仿宋_GB2312"/>
          <w:color w:val="000000"/>
        </w:rPr>
        <w:t>第</w:t>
      </w:r>
      <w:r>
        <w:rPr>
          <w:rFonts w:eastAsia="仿宋_GB2312"/>
          <w:color w:val="000000"/>
        </w:rPr>
        <w:t>2</w:t>
      </w:r>
      <w:r>
        <w:rPr>
          <w:rFonts w:hint="eastAsia" w:eastAsia="仿宋_GB2312"/>
          <w:color w:val="000000"/>
        </w:rPr>
        <w:t>层：粉土，灰黄色，呈稍密～中密，稍湿～湿状态。层底埋深为自然地面以下</w:t>
      </w:r>
      <w:r>
        <w:rPr>
          <w:rFonts w:eastAsia="仿宋_GB2312"/>
          <w:color w:val="000000"/>
        </w:rPr>
        <w:t>10.2</w:t>
      </w:r>
      <w:r>
        <w:rPr>
          <w:rFonts w:hint="eastAsia" w:eastAsia="仿宋_GB2312"/>
          <w:color w:val="000000"/>
        </w:rPr>
        <w:t>～</w:t>
      </w:r>
      <w:r>
        <w:rPr>
          <w:rFonts w:eastAsia="仿宋_GB2312"/>
          <w:color w:val="000000"/>
        </w:rPr>
        <w:t>10.4m</w:t>
      </w:r>
      <w:r>
        <w:rPr>
          <w:rFonts w:hint="eastAsia" w:eastAsia="仿宋_GB2312"/>
          <w:color w:val="000000"/>
        </w:rPr>
        <w:t>，层厚</w:t>
      </w:r>
      <w:r>
        <w:rPr>
          <w:rFonts w:eastAsia="仿宋_GB2312"/>
          <w:color w:val="000000"/>
        </w:rPr>
        <w:t>9.5</w:t>
      </w:r>
      <w:r>
        <w:rPr>
          <w:rFonts w:hint="eastAsia" w:eastAsia="仿宋_GB2312"/>
          <w:color w:val="000000"/>
        </w:rPr>
        <w:t>～</w:t>
      </w:r>
      <w:r>
        <w:rPr>
          <w:rFonts w:eastAsia="仿宋_GB2312"/>
          <w:color w:val="000000"/>
        </w:rPr>
        <w:t>9.6m</w:t>
      </w:r>
      <w:r>
        <w:rPr>
          <w:rFonts w:hint="eastAsia" w:eastAsia="仿宋_GB2312"/>
          <w:color w:val="000000"/>
        </w:rPr>
        <w:t>。层底高程为</w:t>
      </w:r>
      <w:r>
        <w:rPr>
          <w:rFonts w:eastAsia="仿宋_GB2312"/>
          <w:color w:val="000000"/>
        </w:rPr>
        <w:t>-10.4</w:t>
      </w:r>
      <w:r>
        <w:rPr>
          <w:rFonts w:hint="eastAsia" w:eastAsia="仿宋_GB2312"/>
          <w:color w:val="000000"/>
        </w:rPr>
        <w:t>～</w:t>
      </w:r>
      <w:r>
        <w:rPr>
          <w:rFonts w:eastAsia="仿宋_GB2312"/>
          <w:color w:val="000000"/>
        </w:rPr>
        <w:t>-10.7m</w:t>
      </w:r>
      <w:r>
        <w:rPr>
          <w:rFonts w:hint="eastAsia" w:eastAsia="仿宋_GB2312"/>
          <w:color w:val="000000"/>
        </w:rPr>
        <w:t>。此层仅在控制性钻孔钻穿。</w:t>
      </w:r>
    </w:p>
    <w:p>
      <w:pPr>
        <w:ind w:firstLine="480"/>
        <w:rPr>
          <w:rFonts w:eastAsia="仿宋_GB2312"/>
        </w:rPr>
      </w:pPr>
      <w:r>
        <w:rPr>
          <w:rFonts w:hint="eastAsia" w:eastAsia="仿宋_GB2312"/>
          <w:color w:val="000000"/>
        </w:rPr>
        <w:t>第</w:t>
      </w:r>
      <w:r>
        <w:rPr>
          <w:rFonts w:eastAsia="仿宋_GB2312"/>
          <w:color w:val="000000"/>
        </w:rPr>
        <w:t>3</w:t>
      </w:r>
      <w:r>
        <w:rPr>
          <w:rFonts w:hint="eastAsia" w:eastAsia="仿宋_GB2312"/>
          <w:color w:val="000000"/>
        </w:rPr>
        <w:t>层：圆砾，杂色，呈稍密～中密～密实状态。母岩成分主要为花岗岩、辉长岩、大理岩等。颗粒呈亚圆形，风化程度为微风化。颗粒充填物为粗、中砂。</w:t>
      </w:r>
    </w:p>
    <w:p>
      <w:pPr>
        <w:ind w:firstLine="480"/>
        <w:rPr>
          <w:rFonts w:eastAsia="仿宋_GB2312"/>
        </w:rPr>
      </w:pPr>
      <w:r>
        <w:rPr>
          <w:rFonts w:eastAsia="仿宋_GB2312"/>
        </w:rPr>
        <w:t>（</w:t>
      </w:r>
      <w:r>
        <w:rPr>
          <w:rFonts w:hint="eastAsia" w:eastAsia="仿宋_GB2312"/>
        </w:rPr>
        <w:t>3</w:t>
      </w:r>
      <w:r>
        <w:rPr>
          <w:rFonts w:eastAsia="仿宋_GB2312"/>
        </w:rPr>
        <w:t>）</w:t>
      </w:r>
      <w:r>
        <w:rPr>
          <w:rFonts w:hint="eastAsia" w:eastAsia="仿宋_GB2312"/>
        </w:rPr>
        <w:t>水文地质</w:t>
      </w:r>
    </w:p>
    <w:p>
      <w:pPr>
        <w:ind w:firstLine="480"/>
        <w:rPr>
          <w:rFonts w:eastAsia="仿宋_GB2312"/>
        </w:rPr>
      </w:pPr>
      <w:r>
        <w:rPr>
          <w:rFonts w:hint="eastAsia" w:eastAsia="仿宋_GB2312"/>
        </w:rPr>
        <w:t>根据本项目勘察报告，在本次勘查工作中，各勘探孔均为揭穿至地下水位，由于地下水埋藏深度较大，本项目施工时可不考虑地下水对拟建物基础的影响。</w:t>
      </w:r>
    </w:p>
    <w:p>
      <w:pPr>
        <w:ind w:firstLine="480"/>
        <w:rPr>
          <w:rFonts w:eastAsia="仿宋_GB2312"/>
        </w:rPr>
      </w:pPr>
      <w:r>
        <w:rPr>
          <w:rFonts w:eastAsia="仿宋_GB2312"/>
        </w:rPr>
        <w:t>（</w:t>
      </w:r>
      <w:r>
        <w:rPr>
          <w:rFonts w:hint="eastAsia" w:eastAsia="仿宋_GB2312"/>
        </w:rPr>
        <w:t>4</w:t>
      </w:r>
      <w:r>
        <w:rPr>
          <w:rFonts w:eastAsia="仿宋_GB2312"/>
        </w:rPr>
        <w:t>）地震</w:t>
      </w:r>
    </w:p>
    <w:p>
      <w:pPr>
        <w:ind w:firstLine="480"/>
        <w:rPr>
          <w:rFonts w:eastAsia="仿宋_GB2312"/>
        </w:rPr>
      </w:pPr>
      <w:r>
        <w:rPr>
          <w:rFonts w:eastAsia="仿宋_GB2312"/>
        </w:rPr>
        <w:t>根据《岩土工程勘察规范》（GB50021-2001）及《建筑抗震设计规范》（GB50011-2010），拟建场地类别为</w:t>
      </w:r>
      <w:r>
        <w:rPr>
          <w:rFonts w:hint="eastAsia" w:ascii="仿宋_GB2312" w:eastAsia="仿宋_GB2312"/>
        </w:rPr>
        <w:t>Ⅱ</w:t>
      </w:r>
      <w:r>
        <w:rPr>
          <w:rFonts w:eastAsia="仿宋_GB2312"/>
        </w:rPr>
        <w:t>类，属于抗震有利地段。据《新疆地震烈度区划图》，本区抗震设防烈度为</w:t>
      </w:r>
      <w:r>
        <w:rPr>
          <w:rFonts w:hint="eastAsia" w:eastAsia="仿宋_GB2312"/>
        </w:rPr>
        <w:t>7</w:t>
      </w:r>
      <w:r>
        <w:rPr>
          <w:rFonts w:eastAsia="仿宋_GB2312"/>
        </w:rPr>
        <w:t>度，</w:t>
      </w:r>
      <w:r>
        <w:rPr>
          <w:rFonts w:hint="eastAsia" w:eastAsia="仿宋_GB2312"/>
        </w:rPr>
        <w:t>设计基本地震加速度值为0.10g，</w:t>
      </w:r>
      <w:r>
        <w:rPr>
          <w:rFonts w:eastAsia="仿宋_GB2312"/>
        </w:rPr>
        <w:t>地震反应谱特征周期为0.45s；勘察范围内无岩溶、滑坡、崩塌、泥石流、采空区等不良地质作用，为稳定场地。</w:t>
      </w:r>
    </w:p>
    <w:p>
      <w:pPr>
        <w:ind w:firstLine="480"/>
        <w:rPr>
          <w:rFonts w:eastAsia="仿宋_GB2312"/>
        </w:rPr>
      </w:pPr>
      <w:r>
        <w:rPr>
          <w:rFonts w:eastAsia="仿宋_GB2312"/>
        </w:rPr>
        <w:t>（</w:t>
      </w:r>
      <w:r>
        <w:rPr>
          <w:rFonts w:hint="eastAsia" w:eastAsia="仿宋_GB2312"/>
        </w:rPr>
        <w:t>5</w:t>
      </w:r>
      <w:r>
        <w:rPr>
          <w:rFonts w:eastAsia="仿宋_GB2312"/>
        </w:rPr>
        <w:t>）不良地质</w:t>
      </w:r>
    </w:p>
    <w:p>
      <w:pPr>
        <w:ind w:firstLine="480"/>
        <w:rPr>
          <w:rFonts w:eastAsia="仿宋_GB2312"/>
        </w:rPr>
      </w:pPr>
      <w:r>
        <w:rPr>
          <w:rFonts w:eastAsia="仿宋_GB2312"/>
        </w:rPr>
        <w:t>经初步勘察，场地内未发现坑、穴等不良地质现象，拟建项目场址不属于地质灾害易发区，地下无矿产资源，场地条件较好，本工程建设可不考虑不良地质作用的影响</w:t>
      </w:r>
      <w:r>
        <w:rPr>
          <w:rFonts w:hint="eastAsia" w:eastAsia="仿宋_GB2312"/>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气象</w:t>
      </w:r>
    </w:p>
    <w:p>
      <w:pPr>
        <w:ind w:firstLine="480"/>
        <w:rPr>
          <w:rFonts w:eastAsia="仿宋_GB2312"/>
        </w:rPr>
      </w:pPr>
      <w:r>
        <w:rPr>
          <w:rFonts w:hint="eastAsia" w:eastAsia="仿宋_GB2312"/>
        </w:rPr>
        <w:t>新疆生产建设兵团第十四师</w:t>
      </w:r>
      <w:r>
        <w:rPr>
          <w:rFonts w:eastAsia="仿宋_GB2312"/>
        </w:rPr>
        <w:t xml:space="preserve">224 </w:t>
      </w:r>
      <w:r>
        <w:rPr>
          <w:rFonts w:hint="eastAsia" w:eastAsia="仿宋_GB2312"/>
        </w:rPr>
        <w:t>团地处欧亚大陆腹地，由于昆仑山的阻挡，印度洋的暖湿气流难以进入，北、西由于天山和帕米尔高原的屏障作用，从西伯利亚和中亚来的北冰洋及大西洋暖湿气流也大为减少，形成了极度干旱的暖温带大陆气候，降水稀少、蒸发强烈、干燥多风、光热资源充足是本流域最主要的气候特征。</w:t>
      </w:r>
    </w:p>
    <w:p>
      <w:pPr>
        <w:ind w:firstLine="480"/>
        <w:rPr>
          <w:rFonts w:eastAsia="仿宋_GB2312"/>
        </w:rPr>
      </w:pPr>
      <w:r>
        <w:rPr>
          <w:rFonts w:hint="eastAsia" w:eastAsia="仿宋_GB2312"/>
        </w:rPr>
        <w:t>224团</w:t>
      </w:r>
      <w:r>
        <w:rPr>
          <w:rFonts w:eastAsia="仿宋_GB2312"/>
        </w:rPr>
        <w:t>多年平均气温</w:t>
      </w:r>
      <w:r>
        <w:rPr>
          <w:rFonts w:hint="eastAsia" w:eastAsia="仿宋_GB2312"/>
        </w:rPr>
        <w:t>12.2℃</w:t>
      </w:r>
      <w:r>
        <w:rPr>
          <w:rFonts w:eastAsia="仿宋_GB2312"/>
        </w:rPr>
        <w:t>，</w:t>
      </w:r>
      <w:r>
        <w:rPr>
          <w:rFonts w:hint="eastAsia" w:eastAsia="仿宋_GB2312"/>
        </w:rPr>
        <w:t>极端</w:t>
      </w:r>
      <w:r>
        <w:rPr>
          <w:rFonts w:eastAsia="仿宋_GB2312"/>
        </w:rPr>
        <w:t>最高气温</w:t>
      </w:r>
      <w:r>
        <w:rPr>
          <w:rFonts w:hint="eastAsia" w:eastAsia="仿宋_GB2312"/>
        </w:rPr>
        <w:t>40.6℃</w:t>
      </w:r>
      <w:r>
        <w:rPr>
          <w:rFonts w:eastAsia="仿宋_GB2312"/>
        </w:rPr>
        <w:t>，</w:t>
      </w:r>
      <w:r>
        <w:rPr>
          <w:rFonts w:hint="eastAsia" w:eastAsia="仿宋_GB2312"/>
        </w:rPr>
        <w:t>极端</w:t>
      </w:r>
      <w:r>
        <w:rPr>
          <w:rFonts w:eastAsia="仿宋_GB2312"/>
        </w:rPr>
        <w:t>最低气温-</w:t>
      </w:r>
      <w:r>
        <w:rPr>
          <w:rFonts w:hint="eastAsia" w:eastAsia="仿宋_GB2312"/>
        </w:rPr>
        <w:t>21.6℃，</w:t>
      </w:r>
      <w:r>
        <w:rPr>
          <w:rFonts w:eastAsia="仿宋_GB2312"/>
        </w:rPr>
        <w:t>多年平均降水量</w:t>
      </w:r>
      <w:r>
        <w:rPr>
          <w:rFonts w:hint="eastAsia" w:eastAsia="仿宋_GB2312"/>
        </w:rPr>
        <w:t>33.4</w:t>
      </w:r>
      <w:r>
        <w:rPr>
          <w:rFonts w:eastAsia="仿宋_GB2312"/>
        </w:rPr>
        <w:t>mm，多年平均蒸发量</w:t>
      </w:r>
      <w:r>
        <w:rPr>
          <w:rFonts w:hint="eastAsia" w:eastAsia="仿宋_GB2312"/>
        </w:rPr>
        <w:t>2602</w:t>
      </w:r>
      <w:r>
        <w:rPr>
          <w:rFonts w:eastAsia="仿宋_GB2312"/>
        </w:rPr>
        <w:t>mm</w:t>
      </w:r>
      <w:r>
        <w:rPr>
          <w:rFonts w:hint="eastAsia" w:eastAsia="仿宋_GB2312"/>
        </w:rPr>
        <w:t>，项目区降水量主要集中在4-9月。</w:t>
      </w:r>
      <w:r>
        <w:rPr>
          <w:rFonts w:eastAsia="仿宋_GB2312"/>
        </w:rPr>
        <w:t>年平均风速</w:t>
      </w:r>
      <w:r>
        <w:rPr>
          <w:rFonts w:hint="eastAsia" w:eastAsia="仿宋_GB2312"/>
        </w:rPr>
        <w:t>2.1</w:t>
      </w:r>
      <w:r>
        <w:rPr>
          <w:rFonts w:eastAsia="仿宋_GB2312"/>
        </w:rPr>
        <w:t>m/s</w:t>
      </w:r>
      <w:r>
        <w:rPr>
          <w:rFonts w:hint="eastAsia" w:eastAsia="仿宋_GB2312"/>
        </w:rPr>
        <w:t>，</w:t>
      </w:r>
      <w:r>
        <w:rPr>
          <w:rFonts w:eastAsia="仿宋_GB2312"/>
        </w:rPr>
        <w:t>最大风速19m/s，风向多为西、北西向，年均大风11.5次</w:t>
      </w:r>
      <w:r>
        <w:rPr>
          <w:rFonts w:hint="eastAsia" w:eastAsia="仿宋_GB2312"/>
        </w:rPr>
        <w:t>，</w:t>
      </w:r>
      <w:r>
        <w:rPr>
          <w:rFonts w:eastAsia="仿宋_GB2312"/>
        </w:rPr>
        <w:t>浮尘天数多达200d以上</w:t>
      </w:r>
      <w:r>
        <w:rPr>
          <w:rFonts w:hint="eastAsia" w:eastAsia="仿宋_GB2312"/>
        </w:rPr>
        <w:t>，</w:t>
      </w:r>
      <w:r>
        <w:rPr>
          <w:rFonts w:eastAsia="仿宋_GB2312"/>
        </w:rPr>
        <w:t>沙暴天数18d～52d，</w:t>
      </w:r>
      <w:r>
        <w:rPr>
          <w:rFonts w:hint="eastAsia" w:eastAsia="仿宋_GB2312"/>
        </w:rPr>
        <w:t>大风天气</w:t>
      </w:r>
      <w:r>
        <w:rPr>
          <w:rFonts w:eastAsia="仿宋_GB2312"/>
        </w:rPr>
        <w:t>主要集中在4月～6月</w:t>
      </w:r>
      <w:r>
        <w:rPr>
          <w:rFonts w:hint="eastAsia" w:eastAsia="仿宋_GB2312"/>
        </w:rPr>
        <w:t>。</w:t>
      </w:r>
      <w:r>
        <w:rPr>
          <w:rFonts w:eastAsia="仿宋_GB2312"/>
        </w:rPr>
        <w:t>最大冻土深度</w:t>
      </w:r>
      <w:r>
        <w:rPr>
          <w:rFonts w:hint="eastAsia" w:eastAsia="仿宋_GB2312"/>
        </w:rPr>
        <w:t>67</w:t>
      </w:r>
      <w:r>
        <w:rPr>
          <w:rFonts w:eastAsia="仿宋_GB2312"/>
        </w:rPr>
        <w:t>cm</w:t>
      </w:r>
      <w:r>
        <w:rPr>
          <w:rFonts w:hint="eastAsia" w:eastAsia="仿宋_GB2312"/>
        </w:rPr>
        <w:t>，最大积雪深度14cm，</w:t>
      </w:r>
      <w:r>
        <w:rPr>
          <w:rFonts w:eastAsia="仿宋_GB2312"/>
        </w:rPr>
        <w:t>年</w:t>
      </w:r>
      <w:bookmarkStart w:id="176" w:name="page39"/>
      <w:bookmarkEnd w:id="176"/>
      <w:r>
        <w:rPr>
          <w:rFonts w:eastAsia="仿宋_GB2312"/>
        </w:rPr>
        <w:t>无霜期约</w:t>
      </w:r>
      <w:r>
        <w:rPr>
          <w:rFonts w:hint="eastAsia" w:eastAsia="仿宋_GB2312"/>
        </w:rPr>
        <w:t>244天。</w:t>
      </w:r>
      <w:r>
        <w:rPr>
          <w:rFonts w:eastAsia="仿宋_GB2312"/>
        </w:rPr>
        <w:t>各气象要素统计见表2.7-1。</w:t>
      </w:r>
    </w:p>
    <w:p>
      <w:pPr>
        <w:spacing w:line="0" w:lineRule="atLeast"/>
        <w:ind w:firstLine="0" w:firstLineChars="0"/>
        <w:jc w:val="center"/>
        <w:rPr>
          <w:rFonts w:eastAsia="仿宋_GB2312"/>
          <w:b/>
        </w:rPr>
      </w:pPr>
      <w:r>
        <w:rPr>
          <w:rFonts w:eastAsia="仿宋_GB2312"/>
          <w:b/>
        </w:rPr>
        <w:t>2.7-1    项目区气象数据</w:t>
      </w:r>
      <w:r>
        <w:rPr>
          <w:rFonts w:eastAsia="仿宋_GB2312"/>
          <w:b/>
          <w:color w:val="FF0000"/>
        </w:rPr>
        <w:t>（198</w:t>
      </w:r>
      <w:r>
        <w:rPr>
          <w:rFonts w:hint="eastAsia" w:eastAsia="仿宋_GB2312"/>
          <w:b/>
          <w:color w:val="FF0000"/>
        </w:rPr>
        <w:t>8</w:t>
      </w:r>
      <w:r>
        <w:rPr>
          <w:rFonts w:eastAsia="仿宋_GB2312"/>
          <w:b/>
          <w:color w:val="FF0000"/>
        </w:rPr>
        <w:t>年-2017年）</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17"/>
        <w:gridCol w:w="2952"/>
        <w:gridCol w:w="1117"/>
        <w:gridCol w:w="33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b/>
                <w:sz w:val="21"/>
                <w:szCs w:val="21"/>
              </w:rPr>
            </w:pPr>
            <w:r>
              <w:rPr>
                <w:rFonts w:eastAsia="仿宋_GB2312"/>
                <w:b/>
                <w:sz w:val="21"/>
                <w:szCs w:val="21"/>
              </w:rPr>
              <w:t>序号</w:t>
            </w:r>
          </w:p>
        </w:tc>
        <w:tc>
          <w:tcPr>
            <w:tcW w:w="1733" w:type="pct"/>
            <w:vAlign w:val="center"/>
          </w:tcPr>
          <w:p>
            <w:pPr>
              <w:spacing w:line="0" w:lineRule="atLeast"/>
              <w:ind w:firstLine="0" w:firstLineChars="0"/>
              <w:jc w:val="center"/>
              <w:rPr>
                <w:rFonts w:eastAsia="仿宋_GB2312"/>
                <w:b/>
                <w:sz w:val="21"/>
                <w:szCs w:val="21"/>
              </w:rPr>
            </w:pPr>
            <w:r>
              <w:rPr>
                <w:rFonts w:eastAsia="仿宋_GB2312"/>
                <w:b/>
                <w:sz w:val="21"/>
                <w:szCs w:val="21"/>
              </w:rPr>
              <w:t>项目</w:t>
            </w:r>
          </w:p>
        </w:tc>
        <w:tc>
          <w:tcPr>
            <w:tcW w:w="656" w:type="pct"/>
            <w:vAlign w:val="center"/>
          </w:tcPr>
          <w:p>
            <w:pPr>
              <w:spacing w:line="0" w:lineRule="atLeast"/>
              <w:ind w:firstLine="0" w:firstLineChars="0"/>
              <w:jc w:val="center"/>
              <w:rPr>
                <w:rFonts w:eastAsia="仿宋_GB2312"/>
                <w:b/>
                <w:sz w:val="21"/>
                <w:szCs w:val="21"/>
              </w:rPr>
            </w:pPr>
            <w:r>
              <w:rPr>
                <w:rFonts w:eastAsia="仿宋_GB2312"/>
                <w:b/>
                <w:sz w:val="21"/>
                <w:szCs w:val="21"/>
              </w:rPr>
              <w:t>单位</w:t>
            </w:r>
          </w:p>
        </w:tc>
        <w:tc>
          <w:tcPr>
            <w:tcW w:w="1955" w:type="pct"/>
            <w:vAlign w:val="center"/>
          </w:tcPr>
          <w:p>
            <w:pPr>
              <w:spacing w:line="0" w:lineRule="atLeast"/>
              <w:ind w:firstLine="420"/>
              <w:jc w:val="center"/>
              <w:rPr>
                <w:rFonts w:eastAsia="仿宋_GB2312"/>
                <w:b/>
                <w:sz w:val="21"/>
                <w:szCs w:val="21"/>
              </w:rPr>
            </w:pPr>
            <w:r>
              <w:rPr>
                <w:rFonts w:hint="eastAsia" w:eastAsia="仿宋_GB2312"/>
                <w:b/>
                <w:color w:val="FF0000"/>
                <w:sz w:val="21"/>
                <w:szCs w:val="21"/>
              </w:rPr>
              <w:t>224团</w:t>
            </w:r>
            <w:r>
              <w:rPr>
                <w:rFonts w:eastAsia="仿宋_GB2312"/>
                <w:b/>
                <w:color w:val="FF0000"/>
                <w:sz w:val="21"/>
                <w:szCs w:val="21"/>
              </w:rPr>
              <w:t>气象站</w:t>
            </w:r>
            <w:r>
              <w:rPr>
                <w:rFonts w:eastAsia="仿宋_GB2312"/>
                <w:b/>
                <w:sz w:val="21"/>
                <w:szCs w:val="21"/>
              </w:rPr>
              <w:t>数值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1</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年平均气温</w:t>
            </w:r>
          </w:p>
        </w:tc>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12.2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2</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年极端最高气温</w:t>
            </w:r>
          </w:p>
        </w:tc>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40.6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3</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年极端最低气温</w:t>
            </w:r>
          </w:p>
        </w:tc>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w:t>
            </w:r>
          </w:p>
        </w:tc>
        <w:tc>
          <w:tcPr>
            <w:tcW w:w="1955" w:type="pct"/>
            <w:vAlign w:val="center"/>
          </w:tcPr>
          <w:p>
            <w:pPr>
              <w:spacing w:line="0" w:lineRule="atLeast"/>
              <w:ind w:firstLine="0" w:firstLineChars="0"/>
              <w:jc w:val="center"/>
              <w:rPr>
                <w:rFonts w:eastAsia="仿宋_GB2312"/>
                <w:sz w:val="21"/>
                <w:szCs w:val="21"/>
              </w:rPr>
            </w:pPr>
            <w:r>
              <w:rPr>
                <w:rFonts w:eastAsia="仿宋_GB2312"/>
                <w:sz w:val="21"/>
                <w:szCs w:val="21"/>
              </w:rPr>
              <w:t>-</w:t>
            </w:r>
            <w:r>
              <w:rPr>
                <w:rFonts w:hint="eastAsia" w:eastAsia="仿宋_GB2312"/>
                <w:sz w:val="21"/>
                <w:szCs w:val="21"/>
              </w:rPr>
              <w:t>21.6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4</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年平均降水量</w:t>
            </w:r>
          </w:p>
        </w:tc>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mm</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33.4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5</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最大一日降水量</w:t>
            </w:r>
          </w:p>
        </w:tc>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mm</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26.6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6</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年平均蒸发量</w:t>
            </w:r>
          </w:p>
        </w:tc>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mm</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2602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7</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最大</w:t>
            </w:r>
            <w:r>
              <w:rPr>
                <w:rFonts w:hint="eastAsia" w:eastAsia="仿宋_GB2312"/>
                <w:sz w:val="21"/>
                <w:szCs w:val="21"/>
              </w:rPr>
              <w:t>积雪</w:t>
            </w:r>
            <w:r>
              <w:rPr>
                <w:rFonts w:eastAsia="仿宋_GB2312"/>
                <w:sz w:val="21"/>
                <w:szCs w:val="21"/>
              </w:rPr>
              <w:t>厚度</w:t>
            </w:r>
          </w:p>
        </w:tc>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cm</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8</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年平均风速</w:t>
            </w:r>
          </w:p>
        </w:tc>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m/s</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9</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年主导风向</w:t>
            </w:r>
          </w:p>
        </w:tc>
        <w:tc>
          <w:tcPr>
            <w:tcW w:w="656" w:type="pct"/>
            <w:vAlign w:val="center"/>
          </w:tcPr>
          <w:p>
            <w:pPr>
              <w:spacing w:line="0" w:lineRule="atLeast"/>
              <w:ind w:firstLine="420"/>
              <w:jc w:val="center"/>
              <w:rPr>
                <w:rFonts w:eastAsia="仿宋_GB2312"/>
                <w:sz w:val="21"/>
                <w:szCs w:val="21"/>
              </w:rPr>
            </w:pPr>
          </w:p>
        </w:tc>
        <w:tc>
          <w:tcPr>
            <w:tcW w:w="1955" w:type="pct"/>
            <w:vAlign w:val="center"/>
          </w:tcPr>
          <w:p>
            <w:pPr>
              <w:spacing w:line="0" w:lineRule="atLeast"/>
              <w:ind w:firstLine="0" w:firstLineChars="0"/>
              <w:jc w:val="center"/>
              <w:rPr>
                <w:rFonts w:eastAsia="仿宋_GB2312"/>
                <w:sz w:val="21"/>
                <w:szCs w:val="21"/>
              </w:rPr>
            </w:pPr>
            <w:r>
              <w:rPr>
                <w:rFonts w:eastAsia="仿宋_GB2312"/>
                <w:sz w:val="21"/>
                <w:szCs w:val="21"/>
              </w:rPr>
              <w:t>W</w:t>
            </w:r>
            <w:r>
              <w:rPr>
                <w:rFonts w:hint="eastAsia" w:eastAsia="仿宋_GB2312"/>
                <w:sz w:val="21"/>
                <w:szCs w:val="21"/>
              </w:rPr>
              <w:t>、NW</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10</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最大风速</w:t>
            </w:r>
          </w:p>
        </w:tc>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m/s</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11</w:t>
            </w:r>
          </w:p>
        </w:tc>
        <w:tc>
          <w:tcPr>
            <w:tcW w:w="1733" w:type="pct"/>
            <w:vAlign w:val="center"/>
          </w:tcPr>
          <w:p>
            <w:pPr>
              <w:spacing w:line="0" w:lineRule="atLeast"/>
              <w:ind w:firstLine="0" w:firstLineChars="0"/>
              <w:jc w:val="center"/>
              <w:rPr>
                <w:rFonts w:eastAsia="仿宋_GB2312"/>
                <w:sz w:val="21"/>
                <w:szCs w:val="21"/>
              </w:rPr>
            </w:pPr>
            <w:r>
              <w:rPr>
                <w:rFonts w:hint="eastAsia" w:eastAsia="仿宋_GB2312"/>
                <w:sz w:val="21"/>
                <w:szCs w:val="21"/>
              </w:rPr>
              <w:t>平均相对湿度</w:t>
            </w:r>
          </w:p>
        </w:tc>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12</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≥10</w:t>
            </w:r>
            <w:r>
              <w:rPr>
                <w:rFonts w:hint="eastAsia" w:eastAsia="仿宋_GB2312"/>
                <w:sz w:val="21"/>
                <w:szCs w:val="21"/>
              </w:rPr>
              <w:t>℃</w:t>
            </w:r>
            <w:r>
              <w:rPr>
                <w:rFonts w:eastAsia="仿宋_GB2312"/>
                <w:sz w:val="21"/>
                <w:szCs w:val="21"/>
              </w:rPr>
              <w:t>积温</w:t>
            </w:r>
          </w:p>
        </w:tc>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4100-4700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13</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年平均日照对数</w:t>
            </w:r>
          </w:p>
        </w:tc>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h</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2610.6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1</w:t>
            </w:r>
            <w:r>
              <w:rPr>
                <w:rFonts w:hint="eastAsia" w:eastAsia="仿宋_GB2312"/>
                <w:sz w:val="21"/>
                <w:szCs w:val="21"/>
              </w:rPr>
              <w:t>4</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多年平均雷暴日数</w:t>
            </w:r>
          </w:p>
        </w:tc>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d</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15</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无霜期</w:t>
            </w:r>
          </w:p>
        </w:tc>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d</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244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16</w:t>
            </w:r>
          </w:p>
        </w:tc>
        <w:tc>
          <w:tcPr>
            <w:tcW w:w="1733" w:type="pct"/>
            <w:vAlign w:val="center"/>
          </w:tcPr>
          <w:p>
            <w:pPr>
              <w:spacing w:line="0" w:lineRule="atLeast"/>
              <w:ind w:firstLine="0" w:firstLineChars="0"/>
              <w:jc w:val="center"/>
              <w:rPr>
                <w:rFonts w:eastAsia="仿宋_GB2312"/>
                <w:sz w:val="21"/>
                <w:szCs w:val="21"/>
              </w:rPr>
            </w:pPr>
            <w:r>
              <w:rPr>
                <w:rFonts w:hint="eastAsia" w:eastAsia="仿宋_GB2312"/>
                <w:sz w:val="21"/>
                <w:szCs w:val="21"/>
              </w:rPr>
              <w:t>最大冻土深度</w:t>
            </w:r>
          </w:p>
        </w:tc>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cm</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67</w:t>
            </w:r>
          </w:p>
        </w:tc>
      </w:tr>
    </w:tbl>
    <w:p>
      <w:pPr>
        <w:pStyle w:val="4"/>
        <w:keepLines/>
        <w:widowControl/>
        <w:numPr>
          <w:ilvl w:val="2"/>
          <w:numId w:val="1"/>
        </w:numPr>
        <w:tabs>
          <w:tab w:val="clear" w:pos="432"/>
          <w:tab w:val="clear" w:pos="960"/>
        </w:tabs>
        <w:kinsoku/>
        <w:overflowPunct/>
        <w:topLinePunct w:val="0"/>
        <w:autoSpaceDE/>
        <w:autoSpaceDN/>
        <w:adjustRightInd/>
        <w:snapToGrid/>
        <w:spacing w:beforeLines="100"/>
        <w:ind w:left="0" w:firstLine="0"/>
        <w:jc w:val="both"/>
        <w:rPr>
          <w:rFonts w:eastAsia="仿宋_GB2312"/>
        </w:rPr>
      </w:pPr>
      <w:r>
        <w:rPr>
          <w:rFonts w:eastAsia="仿宋_GB2312"/>
        </w:rPr>
        <w:t>水文</w:t>
      </w:r>
    </w:p>
    <w:p>
      <w:pPr>
        <w:ind w:firstLine="480"/>
        <w:rPr>
          <w:rFonts w:eastAsia="仿宋_GB2312"/>
        </w:rPr>
      </w:pPr>
      <w:r>
        <w:rPr>
          <w:rFonts w:eastAsia="仿宋_GB2312"/>
        </w:rPr>
        <w:t>224团属于和田河流域，该流域位于塔里木盆地南缘，东邻克里雅河流域、南以昆仑山和喀喇昆仑山为界与西藏和克什米尔相邻、西与叶尔羌河流域接壤、北接塔克拉玛干沙漠，流域总面积4.887万km</w:t>
      </w:r>
      <w:r>
        <w:rPr>
          <w:rFonts w:eastAsia="仿宋_GB2312"/>
          <w:vertAlign w:val="superscript"/>
        </w:rPr>
        <w:t>2</w:t>
      </w:r>
      <w:r>
        <w:rPr>
          <w:rFonts w:eastAsia="仿宋_GB2312"/>
        </w:rPr>
        <w:t>。流域包括的行政区为和田地区的和田县、墨玉县、洛甫县、和田市及兵团第十四师全部，皮山县和策勒县各一小部分，阿克苏地区阿瓦提县一部分。</w:t>
      </w:r>
    </w:p>
    <w:p>
      <w:pPr>
        <w:ind w:firstLine="480"/>
        <w:rPr>
          <w:rFonts w:eastAsia="仿宋_GB2312"/>
        </w:rPr>
      </w:pPr>
      <w:r>
        <w:rPr>
          <w:rFonts w:eastAsia="仿宋_GB2312"/>
        </w:rPr>
        <w:t>和田河有玉龙喀什河(简称玉河)和喀拉喀什河(简称喀河，224 团和墨玉县即从该河引水)两大支流。喀河发源于昆仑山和喀喇昆仑山，全长808km，多年平均径流量21.48亿m</w:t>
      </w:r>
      <w:r>
        <w:rPr>
          <w:rFonts w:eastAsia="仿宋_GB2312"/>
          <w:vertAlign w:val="superscript"/>
        </w:rPr>
        <w:t>3</w:t>
      </w:r>
      <w:r>
        <w:rPr>
          <w:rFonts w:eastAsia="仿宋_GB2312"/>
        </w:rPr>
        <w:t>。玉河和喀河在阔什拉什汇合后称和田河，穿越塔克拉玛干沙漠后注入塔里木河，是塔里木河的主要源流之一，和田河干流段长319km。</w:t>
      </w:r>
    </w:p>
    <w:p>
      <w:pPr>
        <w:ind w:firstLine="480"/>
        <w:rPr>
          <w:rFonts w:eastAsia="仿宋_GB2312"/>
        </w:rPr>
      </w:pPr>
      <w:r>
        <w:rPr>
          <w:rFonts w:eastAsia="仿宋_GB2312"/>
        </w:rPr>
        <w:t>另外，距224团以西35km的杜瓦河为一独立水系，是皮亚勒玛乡的主要灌溉水源，该河尾端从224团6次干道至7次干道之间进入224团灌区，夏季洪水对灌区有一定影响。2006年224团采取工程措施将杜瓦河尾端进行了改造，其尾端沿224团西边界进入塔克拉玛干沙漠，224团不再受杜瓦河洪水威胁。</w:t>
      </w:r>
    </w:p>
    <w:p>
      <w:pPr>
        <w:ind w:firstLine="480"/>
        <w:rPr>
          <w:rFonts w:eastAsia="仿宋_GB2312"/>
        </w:rPr>
      </w:pPr>
      <w:r>
        <w:rPr>
          <w:rFonts w:eastAsia="仿宋_GB2312"/>
        </w:rPr>
        <w:t>管道沿地下水补给来源主要受杜瓦河洪水期补给，地下水类型为孔隙潜水，含水层多为粉砂层，管线沿线地形平缓，水力坡度小</w:t>
      </w:r>
      <w:r>
        <w:rPr>
          <w:rFonts w:hint="eastAsia" w:eastAsia="仿宋_GB2312"/>
        </w:rPr>
        <w:t>，</w:t>
      </w:r>
      <w:r>
        <w:rPr>
          <w:rFonts w:eastAsia="仿宋_GB2312"/>
        </w:rPr>
        <w:t>因此地下水迳流缓慢，水循环强度弱，地下水埋深一般在1.5～7.5m，地下水矿化度普遍较高，PH值为7.5～8.0之间，为弱碱性微咸水和咸水；在靠近农田附近地下水由于受到农田灌溉水渗漏补给的影响，地下水矿化度一般在小于3g/l之间，地下水位年变幅约0.8m。</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土壤</w:t>
      </w:r>
    </w:p>
    <w:p>
      <w:pPr>
        <w:ind w:firstLine="480"/>
        <w:rPr>
          <w:rFonts w:eastAsia="仿宋_GB2312"/>
        </w:rPr>
      </w:pPr>
      <w:r>
        <w:rPr>
          <w:rFonts w:eastAsia="仿宋_GB2312"/>
        </w:rPr>
        <w:t>本工程及周边土壤类型主要为棕漠土。棕漠土是在极端干旱气候条件下发育形成的土壤，成土母质主要为洪积-冲积细土母质。砂砾至洪积物、石质残积物和坡积-残积物。表层还有较多的粗砂粒形成地表砾幕，表层结皮发育较弱，下部是红棕色的紧实层，该层细土粒增加，垒结紧实，呈块状或棱块状结构；再往下部是石膏和易溶盐聚集层，石膏呈蜂窝状或纤维状，剖面中下部有盐渍化。本工程</w:t>
      </w:r>
      <w:r>
        <w:rPr>
          <w:rFonts w:hint="eastAsia" w:eastAsia="仿宋_GB2312"/>
        </w:rPr>
        <w:t>占地均为建设用地，大部分施工区域位于道路下，因此本项目不采取表土剥离措施。</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植被</w:t>
      </w:r>
    </w:p>
    <w:p>
      <w:pPr>
        <w:spacing w:beforeLines="50" w:line="240" w:lineRule="auto"/>
        <w:ind w:left="118" w:leftChars="49" w:firstLine="0" w:firstLineChars="0"/>
        <w:rPr>
          <w:rFonts w:eastAsia="仿宋_GB2312"/>
        </w:rPr>
      </w:pPr>
      <w:r>
        <w:rPr>
          <w:rFonts w:eastAsia="仿宋_GB2312"/>
        </w:rPr>
        <w:t>项目区位于平原区，植被类型为</w:t>
      </w:r>
      <w:r>
        <w:rPr>
          <w:rFonts w:hint="eastAsia" w:eastAsia="仿宋_GB2312"/>
        </w:rPr>
        <w:t>人工植被</w:t>
      </w:r>
      <w:r>
        <w:rPr>
          <w:rFonts w:eastAsia="仿宋_GB2312"/>
        </w:rPr>
        <w:t>，</w:t>
      </w:r>
      <w:r>
        <w:rPr>
          <w:rFonts w:hint="eastAsia" w:eastAsia="仿宋_GB2312"/>
        </w:rPr>
        <w:t>植被分布有榆树、榆叶梅、黑麦草等</w:t>
      </w:r>
      <w:r>
        <w:rPr>
          <w:rFonts w:eastAsia="仿宋_GB2312"/>
        </w:rPr>
        <w:t>，植被覆盖度</w:t>
      </w:r>
      <w:r>
        <w:rPr>
          <w:rFonts w:hint="eastAsia" w:eastAsia="仿宋_GB2312"/>
        </w:rPr>
        <w:t>约5</w:t>
      </w:r>
      <w:r>
        <w:rPr>
          <w:rFonts w:eastAsia="仿宋_GB2312"/>
        </w:rPr>
        <w:t>%。</w:t>
      </w:r>
    </w:p>
    <w:p>
      <w:pPr>
        <w:spacing w:beforeLines="50" w:line="240" w:lineRule="auto"/>
        <w:ind w:left="118" w:leftChars="49" w:firstLine="0" w:firstLineChars="0"/>
        <w:rPr>
          <w:rFonts w:eastAsia="仿宋_GB2312"/>
        </w:rPr>
      </w:pPr>
      <w:r>
        <w:drawing>
          <wp:inline distT="0" distB="0" distL="0" distR="0">
            <wp:extent cx="2514600" cy="20751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7" cstate="print"/>
                    <a:stretch>
                      <a:fillRect/>
                    </a:stretch>
                  </pic:blipFill>
                  <pic:spPr>
                    <a:xfrm>
                      <a:off x="0" y="0"/>
                      <a:ext cx="2516400" cy="2077247"/>
                    </a:xfrm>
                    <a:prstGeom prst="rect">
                      <a:avLst/>
                    </a:prstGeom>
                  </pic:spPr>
                </pic:pic>
              </a:graphicData>
            </a:graphic>
          </wp:inline>
        </w:drawing>
      </w:r>
      <w:r>
        <w:drawing>
          <wp:inline distT="0" distB="0" distL="0" distR="0">
            <wp:extent cx="2513330" cy="2076450"/>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8" cstate="print"/>
                    <a:stretch>
                      <a:fillRect/>
                    </a:stretch>
                  </pic:blipFill>
                  <pic:spPr>
                    <a:xfrm>
                      <a:off x="0" y="0"/>
                      <a:ext cx="2516400" cy="2078462"/>
                    </a:xfrm>
                    <a:prstGeom prst="rect">
                      <a:avLst/>
                    </a:prstGeom>
                  </pic:spPr>
                </pic:pic>
              </a:graphicData>
            </a:graphic>
          </wp:inline>
        </w:drawing>
      </w:r>
    </w:p>
    <w:p>
      <w:pPr>
        <w:spacing w:beforeLines="50" w:line="240" w:lineRule="auto"/>
        <w:ind w:left="118" w:leftChars="49" w:firstLine="0" w:firstLineChars="0"/>
        <w:jc w:val="center"/>
        <w:rPr>
          <w:rFonts w:eastAsia="仿宋_GB2312"/>
          <w:b/>
        </w:rPr>
      </w:pPr>
      <w:r>
        <w:rPr>
          <w:rFonts w:eastAsia="仿宋_GB2312"/>
          <w:b/>
        </w:rPr>
        <w:t>图2.7-1    项目区</w:t>
      </w:r>
      <w:r>
        <w:rPr>
          <w:rFonts w:hint="eastAsia" w:eastAsia="仿宋_GB2312"/>
          <w:b/>
        </w:rPr>
        <w:t>土壤植被</w:t>
      </w:r>
    </w:p>
    <w:p>
      <w:pPr>
        <w:ind w:firstLine="480"/>
        <w:rPr>
          <w:rFonts w:eastAsia="仿宋_GB2312"/>
          <w:color w:val="FF0000"/>
        </w:rPr>
      </w:pP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其他</w:t>
      </w:r>
    </w:p>
    <w:p>
      <w:pPr>
        <w:ind w:firstLine="480"/>
        <w:rPr>
          <w:rFonts w:eastAsia="仿宋_GB2312"/>
        </w:rPr>
      </w:pPr>
      <w:bookmarkStart w:id="177" w:name="_Toc272768020"/>
      <w:bookmarkStart w:id="178" w:name="_Toc249515079"/>
      <w:bookmarkStart w:id="179" w:name="_Toc259890497"/>
      <w:r>
        <w:rPr>
          <w:rFonts w:eastAsia="仿宋_GB2312"/>
        </w:rPr>
        <w:t>本项目建设区不涉及饮用水水源保护区、水功能一级保护区，工程建设区内无自然保护区、风景旅游点和国家及地方文物古迹保护单位。</w:t>
      </w:r>
    </w:p>
    <w:p>
      <w:pPr>
        <w:ind w:firstLine="480"/>
        <w:rPr>
          <w:rFonts w:eastAsia="仿宋_GB2312"/>
        </w:rPr>
      </w:pPr>
      <w:r>
        <w:rPr>
          <w:rFonts w:eastAsia="仿宋_GB2312"/>
        </w:rPr>
        <w:t>项目区范围内无自然保护区、国家森林公园、国家地质公园、地质遗迹、重要湿地及生态敏感区等限制项目建设的因素</w:t>
      </w:r>
      <w:r>
        <w:rPr>
          <w:rFonts w:hint="eastAsia" w:eastAsia="仿宋_GB2312"/>
        </w:rPr>
        <w:t>。</w:t>
      </w:r>
    </w:p>
    <w:p>
      <w:pPr>
        <w:ind w:firstLine="480"/>
      </w:pPr>
    </w:p>
    <w:p>
      <w:pPr>
        <w:pStyle w:val="140"/>
        <w:numPr>
          <w:ilvl w:val="0"/>
          <w:numId w:val="0"/>
        </w:numPr>
        <w:sectPr>
          <w:pgSz w:w="11906" w:h="16838"/>
          <w:pgMar w:top="1440" w:right="1803" w:bottom="1440" w:left="1803" w:header="851" w:footer="850" w:gutter="0"/>
          <w:cols w:space="720" w:num="1"/>
          <w:docGrid w:linePitch="326" w:charSpace="0"/>
        </w:sectPr>
      </w:pPr>
    </w:p>
    <w:bookmarkEnd w:id="177"/>
    <w:bookmarkEnd w:id="178"/>
    <w:bookmarkEnd w:id="179"/>
    <w:p>
      <w:pPr>
        <w:pStyle w:val="50"/>
        <w:widowControl/>
        <w:numPr>
          <w:ilvl w:val="0"/>
          <w:numId w:val="1"/>
        </w:numPr>
        <w:tabs>
          <w:tab w:val="clear" w:pos="432"/>
        </w:tabs>
        <w:spacing w:beforeLines="100" w:afterLines="100"/>
        <w:rPr>
          <w:rFonts w:eastAsia="仿宋_GB2312"/>
          <w:sz w:val="32"/>
          <w:szCs w:val="32"/>
        </w:rPr>
      </w:pPr>
      <w:bookmarkStart w:id="180" w:name="_Toc50221505"/>
      <w:bookmarkStart w:id="181" w:name="_Toc7801462"/>
      <w:bookmarkStart w:id="182" w:name="_Toc7801555"/>
      <w:bookmarkStart w:id="183" w:name="_Toc7801395"/>
      <w:r>
        <w:rPr>
          <w:rFonts w:eastAsia="仿宋_GB2312"/>
          <w:sz w:val="32"/>
          <w:szCs w:val="32"/>
        </w:rPr>
        <w:t>项目水土保持评价</w:t>
      </w:r>
      <w:bookmarkEnd w:id="180"/>
      <w:bookmarkEnd w:id="181"/>
      <w:bookmarkEnd w:id="182"/>
      <w:bookmarkEnd w:id="183"/>
    </w:p>
    <w:p>
      <w:pPr>
        <w:pStyle w:val="3"/>
        <w:widowControl/>
        <w:numPr>
          <w:ilvl w:val="1"/>
          <w:numId w:val="1"/>
        </w:numPr>
        <w:tabs>
          <w:tab w:val="clear" w:pos="1002"/>
        </w:tabs>
        <w:topLinePunct w:val="0"/>
        <w:adjustRightInd/>
        <w:snapToGrid/>
        <w:ind w:left="0" w:firstLine="0"/>
        <w:jc w:val="both"/>
        <w:rPr>
          <w:rFonts w:eastAsia="仿宋_GB2312"/>
        </w:rPr>
      </w:pPr>
      <w:bookmarkStart w:id="184" w:name="_Toc50221506"/>
      <w:bookmarkStart w:id="185" w:name="_Toc7801463"/>
      <w:bookmarkStart w:id="186" w:name="_Toc7801396"/>
      <w:bookmarkStart w:id="187" w:name="_Toc7801556"/>
      <w:bookmarkStart w:id="188" w:name="_Toc394051143"/>
      <w:r>
        <w:rPr>
          <w:rFonts w:eastAsia="仿宋_GB2312"/>
        </w:rPr>
        <w:t>主体工程选址（线）水土保持评价</w:t>
      </w:r>
      <w:bookmarkEnd w:id="184"/>
      <w:bookmarkEnd w:id="185"/>
      <w:bookmarkEnd w:id="186"/>
      <w:bookmarkEnd w:id="187"/>
      <w:bookmarkEnd w:id="188"/>
    </w:p>
    <w:p>
      <w:pPr>
        <w:pStyle w:val="15"/>
        <w:ind w:firstLine="480"/>
        <w:rPr>
          <w:rFonts w:eastAsia="仿宋_GB2312"/>
        </w:rPr>
      </w:pPr>
      <w:r>
        <w:rPr>
          <w:rFonts w:eastAsia="仿宋_GB2312"/>
          <w:color w:val="FF0000"/>
        </w:rPr>
        <w:t>本项目属于改造项目</w:t>
      </w:r>
      <w:r>
        <w:rPr>
          <w:rFonts w:hint="eastAsia" w:eastAsia="仿宋_GB2312"/>
          <w:color w:val="FF0000"/>
        </w:rPr>
        <w:t>，工程管道线路沿原管道布置，线路唯一，不存在比选。</w:t>
      </w:r>
      <w:r>
        <w:rPr>
          <w:rFonts w:eastAsia="仿宋_GB2312"/>
        </w:rPr>
        <w:t>根据《中华人民共和国水土保持法》、《生产建设项目水土保持技术标准》（GB50433-2018）和《关于严格开发建设项目水土保持方案审查审批工作的通知》（水保[2007]184号）的相关规定，本方案从国家及地方规划、水土保持法、水保184号文件、水保技术规范要求等方面对主体工程进行水土保持制约性因素分析与评价。</w:t>
      </w:r>
      <w:r>
        <w:rPr>
          <w:rFonts w:hint="eastAsia" w:eastAsia="仿宋_GB2312"/>
        </w:rPr>
        <w:t>详</w:t>
      </w:r>
      <w:r>
        <w:rPr>
          <w:rFonts w:eastAsia="仿宋_GB2312"/>
        </w:rPr>
        <w:t>见表3.1-1，3.1-2，3.1-3。</w:t>
      </w:r>
    </w:p>
    <w:p>
      <w:pPr>
        <w:pStyle w:val="176"/>
        <w:spacing w:line="240" w:lineRule="auto"/>
        <w:ind w:firstLine="482"/>
        <w:jc w:val="center"/>
        <w:rPr>
          <w:b/>
          <w:bCs/>
          <w:color w:val="auto"/>
        </w:rPr>
      </w:pPr>
      <w:r>
        <w:rPr>
          <w:b/>
          <w:bCs/>
          <w:color w:val="auto"/>
        </w:rPr>
        <w:t>表3.1-1    《中华人民共和国水土保持法》相符性分析表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2"/>
        <w:gridCol w:w="4972"/>
        <w:gridCol w:w="2369"/>
        <w:gridCol w:w="7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t>序号</w:t>
            </w:r>
          </w:p>
        </w:tc>
        <w:tc>
          <w:tcPr>
            <w:tcW w:w="2919" w:type="pct"/>
            <w:vAlign w:val="center"/>
          </w:tcPr>
          <w:p>
            <w:pPr>
              <w:pStyle w:val="193"/>
            </w:pPr>
            <w:r>
              <w:t>《中华人民共和国水土保持法》相符性分析表</w:t>
            </w:r>
          </w:p>
        </w:tc>
        <w:tc>
          <w:tcPr>
            <w:tcW w:w="1391" w:type="pct"/>
            <w:vAlign w:val="center"/>
          </w:tcPr>
          <w:p>
            <w:pPr>
              <w:pStyle w:val="193"/>
            </w:pPr>
            <w:r>
              <w:t>本项目的情况</w:t>
            </w:r>
          </w:p>
        </w:tc>
        <w:tc>
          <w:tcPr>
            <w:tcW w:w="442" w:type="pct"/>
            <w:vAlign w:val="center"/>
          </w:tcPr>
          <w:p>
            <w:pPr>
              <w:pStyle w:val="193"/>
            </w:pPr>
            <w:r>
              <w:t>相符性分析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t>1</w:t>
            </w:r>
          </w:p>
        </w:tc>
        <w:tc>
          <w:tcPr>
            <w:tcW w:w="2919" w:type="pct"/>
            <w:vAlign w:val="center"/>
          </w:tcPr>
          <w:p>
            <w:pPr>
              <w:pStyle w:val="193"/>
              <w:jc w:val="left"/>
            </w:pPr>
            <w:r>
              <w:t>第十七条禁止在崩塌、滑坡危险区和泥石流易发区从事取土、挖砂、采石等可能造成水土流失的活动。崩塌、滑坡危险区和泥石流易发区的范围，由县级以上地方人民政府划定并公告。崩塌、滑坡危险区和泥石流易发区的划定，应当与地质灾害防治规划确定的地质灾害易发区、重点防治区相衔接。</w:t>
            </w:r>
          </w:p>
        </w:tc>
        <w:tc>
          <w:tcPr>
            <w:tcW w:w="1391" w:type="pct"/>
            <w:vAlign w:val="center"/>
          </w:tcPr>
          <w:p>
            <w:pPr>
              <w:pStyle w:val="193"/>
              <w:jc w:val="left"/>
            </w:pPr>
            <w:r>
              <w:t>项目区不位于当地政府划定的在崩塌、滑坡危险区和泥石流易发区，同时本项目</w:t>
            </w:r>
            <w:r>
              <w:rPr>
                <w:rFonts w:hint="eastAsia"/>
              </w:rPr>
              <w:t>也</w:t>
            </w:r>
            <w:r>
              <w:t>未在当地政府划定的在崩塌、滑坡危险区和泥石流易发区等区域取土、挖沙</w:t>
            </w:r>
            <w:r>
              <w:rPr>
                <w:rFonts w:hint="eastAsia"/>
              </w:rPr>
              <w:t>。</w:t>
            </w:r>
          </w:p>
        </w:tc>
        <w:tc>
          <w:tcPr>
            <w:tcW w:w="442" w:type="pct"/>
            <w:vAlign w:val="center"/>
          </w:tcPr>
          <w:p>
            <w:pPr>
              <w:pStyle w:val="193"/>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t>2</w:t>
            </w:r>
          </w:p>
        </w:tc>
        <w:tc>
          <w:tcPr>
            <w:tcW w:w="2919" w:type="pct"/>
            <w:vAlign w:val="center"/>
          </w:tcPr>
          <w:p>
            <w:pPr>
              <w:pStyle w:val="193"/>
              <w:jc w:val="left"/>
            </w:pPr>
            <w:r>
              <w:t>第十八条水土流失严重、生态脆弱的地区，应当限制或者禁止可能造成水土流失的生产建设活动，严格保护植物、沙壳、结皮、地衣等。</w:t>
            </w:r>
          </w:p>
        </w:tc>
        <w:tc>
          <w:tcPr>
            <w:tcW w:w="1391" w:type="pct"/>
            <w:vAlign w:val="center"/>
          </w:tcPr>
          <w:p>
            <w:pPr>
              <w:pStyle w:val="193"/>
              <w:jc w:val="left"/>
            </w:pPr>
            <w:r>
              <w:t>项目区不属于水土流失严重、生态脆弱地区。</w:t>
            </w:r>
          </w:p>
        </w:tc>
        <w:tc>
          <w:tcPr>
            <w:tcW w:w="442" w:type="pct"/>
            <w:vAlign w:val="center"/>
          </w:tcPr>
          <w:p>
            <w:pPr>
              <w:pStyle w:val="193"/>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rPr>
                <w:rFonts w:hint="eastAsia"/>
              </w:rPr>
              <w:t>3</w:t>
            </w:r>
          </w:p>
        </w:tc>
        <w:tc>
          <w:tcPr>
            <w:tcW w:w="2919" w:type="pct"/>
            <w:vAlign w:val="center"/>
          </w:tcPr>
          <w:p>
            <w:pPr>
              <w:pStyle w:val="193"/>
              <w:jc w:val="left"/>
            </w:pPr>
            <w:r>
              <w:rPr>
                <w:rFonts w:hint="eastAsia"/>
              </w:rPr>
              <w:t>第二十条禁止在二十五度以上陡坡地开垦种植农作物。在二十五度以上陡坡地种植经济林的，应当科学选择树种，合理确定规模，采取水土保持措施，防治造成水土流失。</w:t>
            </w:r>
          </w:p>
        </w:tc>
        <w:tc>
          <w:tcPr>
            <w:tcW w:w="1391" w:type="pct"/>
            <w:vAlign w:val="center"/>
          </w:tcPr>
          <w:p>
            <w:pPr>
              <w:pStyle w:val="193"/>
              <w:jc w:val="left"/>
            </w:pPr>
            <w:r>
              <w:t>项目区不属于此区域</w:t>
            </w:r>
            <w:r>
              <w:rPr>
                <w:rFonts w:hint="eastAsia"/>
              </w:rPr>
              <w:t>。</w:t>
            </w:r>
          </w:p>
        </w:tc>
        <w:tc>
          <w:tcPr>
            <w:tcW w:w="442" w:type="pct"/>
            <w:vAlign w:val="center"/>
          </w:tcPr>
          <w:p>
            <w:pPr>
              <w:pStyle w:val="193"/>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rPr>
                <w:rFonts w:hint="eastAsia"/>
              </w:rPr>
              <w:t>4</w:t>
            </w:r>
          </w:p>
        </w:tc>
        <w:tc>
          <w:tcPr>
            <w:tcW w:w="2919" w:type="pct"/>
            <w:vAlign w:val="center"/>
          </w:tcPr>
          <w:p>
            <w:pPr>
              <w:pStyle w:val="193"/>
              <w:jc w:val="left"/>
            </w:pPr>
            <w:r>
              <w:rPr>
                <w:rFonts w:hint="eastAsia"/>
              </w:rPr>
              <w:t>第二十一条禁止毁林、毁草开垦和采集发菜。禁止在水土流失重点防护区和重点治理区铲草皮、挖树兜或者滥挖虫草。</w:t>
            </w:r>
          </w:p>
        </w:tc>
        <w:tc>
          <w:tcPr>
            <w:tcW w:w="1391" w:type="pct"/>
            <w:vAlign w:val="center"/>
          </w:tcPr>
          <w:p>
            <w:pPr>
              <w:pStyle w:val="193"/>
              <w:jc w:val="left"/>
            </w:pPr>
            <w:r>
              <w:t>项目区不属于此区域</w:t>
            </w:r>
            <w:r>
              <w:rPr>
                <w:rFonts w:hint="eastAsia"/>
              </w:rPr>
              <w:t>。</w:t>
            </w:r>
          </w:p>
        </w:tc>
        <w:tc>
          <w:tcPr>
            <w:tcW w:w="442" w:type="pct"/>
            <w:vAlign w:val="center"/>
          </w:tcPr>
          <w:p>
            <w:pPr>
              <w:pStyle w:val="193"/>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rPr>
                <w:rFonts w:hint="eastAsia"/>
              </w:rPr>
              <w:t>5</w:t>
            </w:r>
          </w:p>
        </w:tc>
        <w:tc>
          <w:tcPr>
            <w:tcW w:w="2919" w:type="pct"/>
            <w:vAlign w:val="center"/>
          </w:tcPr>
          <w:p>
            <w:pPr>
              <w:pStyle w:val="193"/>
              <w:jc w:val="left"/>
            </w:pPr>
            <w:r>
              <w:t>第二十四条生产建设项目选址、选线应当避让水土流失重点预防区和重点治理区；无法避让的，应当提高防治标准，优化施工工艺，减少地表扰动和植被损坏范围，有效控制可能造成的水土流失。</w:t>
            </w:r>
          </w:p>
        </w:tc>
        <w:tc>
          <w:tcPr>
            <w:tcW w:w="1391" w:type="pct"/>
            <w:vAlign w:val="center"/>
          </w:tcPr>
          <w:p>
            <w:pPr>
              <w:pStyle w:val="193"/>
              <w:jc w:val="left"/>
            </w:pPr>
            <w:r>
              <w:rPr>
                <w:rFonts w:hint="eastAsia"/>
              </w:rPr>
              <w:t>项目所在的224团</w:t>
            </w:r>
            <w:r>
              <w:t>属于</w:t>
            </w:r>
            <w:r>
              <w:rPr>
                <w:bCs/>
              </w:rPr>
              <w:t>里木河国家级水土流失重点预防区</w:t>
            </w:r>
            <w:r>
              <w:rPr>
                <w:rFonts w:hint="eastAsia"/>
                <w:bCs/>
              </w:rPr>
              <w:t>和塔里木河流域兵团级水土流失重点治理区</w:t>
            </w:r>
            <w:r>
              <w:rPr>
                <w:rFonts w:hint="eastAsia"/>
              </w:rPr>
              <w:t>，本项目执行</w:t>
            </w:r>
            <w:r>
              <w:t>北方风沙区</w:t>
            </w:r>
            <w:r>
              <w:rPr>
                <w:rFonts w:hint="eastAsia"/>
              </w:rPr>
              <w:t>建设项目一</w:t>
            </w:r>
            <w:r>
              <w:t>级标准</w:t>
            </w:r>
            <w:r>
              <w:rPr>
                <w:rFonts w:hint="eastAsia"/>
              </w:rPr>
              <w:t>，</w:t>
            </w:r>
            <w:r>
              <w:t>建设期加强管理，减少地表扰动。</w:t>
            </w:r>
          </w:p>
        </w:tc>
        <w:tc>
          <w:tcPr>
            <w:tcW w:w="442" w:type="pct"/>
            <w:vAlign w:val="center"/>
          </w:tcPr>
          <w:p>
            <w:pPr>
              <w:pStyle w:val="193"/>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rPr>
                <w:rFonts w:hint="eastAsia"/>
              </w:rPr>
              <w:t>6</w:t>
            </w:r>
          </w:p>
        </w:tc>
        <w:tc>
          <w:tcPr>
            <w:tcW w:w="2919" w:type="pct"/>
            <w:vAlign w:val="center"/>
          </w:tcPr>
          <w:p>
            <w:pPr>
              <w:pStyle w:val="193"/>
              <w:jc w:val="left"/>
            </w:pPr>
            <w:r>
              <w:t>第二十五条在山区、丘陵区、风沙区以及水土保持规划确定的容易发生水土流失的其他区域开办可能造成水土流失的生产建设项目，生产建设单位应当编制水土保持方案，报县级以上人民政府水行政主管部门审批，并按照经批准的水土保持方案，采取水土流失预防和治理措施。没有能力编制水土保持方案的，应当委托具备相应技术条件的机构编制。</w:t>
            </w:r>
          </w:p>
        </w:tc>
        <w:tc>
          <w:tcPr>
            <w:tcW w:w="1391" w:type="pct"/>
            <w:vAlign w:val="center"/>
          </w:tcPr>
          <w:p>
            <w:pPr>
              <w:pStyle w:val="193"/>
              <w:jc w:val="left"/>
            </w:pPr>
            <w:r>
              <w:rPr>
                <w:rFonts w:hint="eastAsia"/>
              </w:rPr>
              <w:t>本工程已委托新疆新农丽景环境工程咨询有限公司编制水土保持方案，符合法律规定。</w:t>
            </w:r>
          </w:p>
        </w:tc>
        <w:tc>
          <w:tcPr>
            <w:tcW w:w="442" w:type="pct"/>
            <w:vAlign w:val="center"/>
          </w:tcPr>
          <w:p>
            <w:pPr>
              <w:pStyle w:val="193"/>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rPr>
                <w:rFonts w:hint="eastAsia"/>
              </w:rPr>
              <w:t>7</w:t>
            </w:r>
          </w:p>
        </w:tc>
        <w:tc>
          <w:tcPr>
            <w:tcW w:w="2919" w:type="pct"/>
            <w:vAlign w:val="center"/>
          </w:tcPr>
          <w:p>
            <w:pPr>
              <w:pStyle w:val="193"/>
              <w:jc w:val="left"/>
            </w:pPr>
            <w:r>
              <w:t>第二十七条依法应当编制水土保持方案的生产建设项目中的水土保持设施，应当与主体工程同时设计、同时施工、同时投产使用；生产建设项目竣工验收，应当验收水土保持设施；水土保持设施未验收或验收不合格的，生产建设项目不得投产使用</w:t>
            </w:r>
            <w:r>
              <w:rPr>
                <w:rFonts w:hint="eastAsia"/>
              </w:rPr>
              <w:t>。</w:t>
            </w:r>
          </w:p>
        </w:tc>
        <w:tc>
          <w:tcPr>
            <w:tcW w:w="1391" w:type="pct"/>
            <w:vAlign w:val="center"/>
          </w:tcPr>
          <w:p>
            <w:pPr>
              <w:pStyle w:val="193"/>
              <w:jc w:val="left"/>
            </w:pPr>
            <w:r>
              <w:rPr>
                <w:rFonts w:hint="eastAsia"/>
              </w:rPr>
              <w:t>本项目目前尚未开工建设，建设单位已委托编制</w:t>
            </w:r>
            <w:r>
              <w:t>水土保持方案。</w:t>
            </w:r>
          </w:p>
        </w:tc>
        <w:tc>
          <w:tcPr>
            <w:tcW w:w="442" w:type="pct"/>
            <w:vAlign w:val="center"/>
          </w:tcPr>
          <w:p>
            <w:pPr>
              <w:pStyle w:val="193"/>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rPr>
                <w:rFonts w:hint="eastAsia"/>
              </w:rPr>
              <w:t>8</w:t>
            </w:r>
          </w:p>
        </w:tc>
        <w:tc>
          <w:tcPr>
            <w:tcW w:w="2919" w:type="pct"/>
            <w:vAlign w:val="center"/>
          </w:tcPr>
          <w:p>
            <w:pPr>
              <w:pStyle w:val="193"/>
              <w:jc w:val="left"/>
            </w:pPr>
            <w:r>
              <w:t>第二十八条依法应当编制水土保持方案的生产建设项目，其生产建设活动中排弃的砂、石、土、矸石、尾矿、废渣等应当综合利用；不能综合利用，确需废弃的，应当堆放在水土保持方案确定的专门存放地，并采取措施保证不产生新的危害。</w:t>
            </w:r>
          </w:p>
        </w:tc>
        <w:tc>
          <w:tcPr>
            <w:tcW w:w="1391" w:type="pct"/>
            <w:vAlign w:val="center"/>
          </w:tcPr>
          <w:p>
            <w:pPr>
              <w:pStyle w:val="193"/>
              <w:jc w:val="left"/>
            </w:pPr>
            <w:r>
              <w:rPr>
                <w:rFonts w:hint="eastAsia"/>
              </w:rPr>
              <w:t>本工程建设期土石方挖填基本平衡，不会产生永久弃渣。</w:t>
            </w:r>
            <w:r>
              <w:rPr>
                <w:rFonts w:hint="eastAsia"/>
                <w:color w:val="000000"/>
              </w:rPr>
              <w:t>本项目仅有少量路面拆除垃圾运至垃圾场处理。</w:t>
            </w:r>
          </w:p>
        </w:tc>
        <w:tc>
          <w:tcPr>
            <w:tcW w:w="442" w:type="pct"/>
            <w:vAlign w:val="center"/>
          </w:tcPr>
          <w:p>
            <w:pPr>
              <w:pStyle w:val="193"/>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rPr>
                <w:rFonts w:hint="eastAsia"/>
              </w:rPr>
              <w:t>9</w:t>
            </w:r>
          </w:p>
        </w:tc>
        <w:tc>
          <w:tcPr>
            <w:tcW w:w="2919" w:type="pct"/>
            <w:vAlign w:val="center"/>
          </w:tcPr>
          <w:p>
            <w:pPr>
              <w:pStyle w:val="193"/>
              <w:jc w:val="left"/>
            </w:pPr>
            <w:r>
              <w:rPr>
                <w:rFonts w:hint="eastAsia"/>
              </w:rPr>
              <w:t>第三十一条国家加强江河源头区、饮用水水源保护区和水源涵养区水土流失的预防和治理工作。对涉及和影响饮用水安全、防洪安全、水资源安全应当严格避让。</w:t>
            </w:r>
          </w:p>
        </w:tc>
        <w:tc>
          <w:tcPr>
            <w:tcW w:w="1391" w:type="pct"/>
            <w:vAlign w:val="center"/>
          </w:tcPr>
          <w:p>
            <w:pPr>
              <w:pStyle w:val="193"/>
              <w:jc w:val="left"/>
            </w:pPr>
            <w:r>
              <w:t>项目区不属于此区域</w:t>
            </w:r>
            <w:r>
              <w:rPr>
                <w:rFonts w:hint="eastAsia"/>
              </w:rPr>
              <w:t>。</w:t>
            </w:r>
          </w:p>
        </w:tc>
        <w:tc>
          <w:tcPr>
            <w:tcW w:w="442" w:type="pct"/>
            <w:vAlign w:val="center"/>
          </w:tcPr>
          <w:p>
            <w:pPr>
              <w:pStyle w:val="193"/>
              <w:jc w:val="left"/>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rPr>
                <w:rFonts w:hint="eastAsia"/>
              </w:rPr>
              <w:t>10</w:t>
            </w:r>
          </w:p>
        </w:tc>
        <w:tc>
          <w:tcPr>
            <w:tcW w:w="2919" w:type="pct"/>
            <w:vAlign w:val="center"/>
          </w:tcPr>
          <w:p>
            <w:pPr>
              <w:pStyle w:val="193"/>
              <w:jc w:val="left"/>
            </w:pPr>
            <w:r>
              <w:t>第三十二条在山区、丘陵区、风沙区以及水土保持规划确定的容易发生水土流失的其他区域开办生产建设项目或者从事其他生产建设活动，损坏水土保持设施、地貌植被，不能恢复原有水土保持功能的，应当缴纳水土流失补偿费，专项用于水土流失预防和治理。</w:t>
            </w:r>
          </w:p>
        </w:tc>
        <w:tc>
          <w:tcPr>
            <w:tcW w:w="1391" w:type="pct"/>
            <w:vAlign w:val="center"/>
          </w:tcPr>
          <w:p>
            <w:pPr>
              <w:pStyle w:val="193"/>
              <w:jc w:val="left"/>
            </w:pPr>
            <w:r>
              <w:rPr>
                <w:color w:val="000000"/>
              </w:rPr>
              <w:t>水土保持方案已计算水土保持补偿费，并要求缴纳该费用</w:t>
            </w:r>
            <w:r>
              <w:t>。</w:t>
            </w:r>
          </w:p>
        </w:tc>
        <w:tc>
          <w:tcPr>
            <w:tcW w:w="442" w:type="pct"/>
            <w:vAlign w:val="center"/>
          </w:tcPr>
          <w:p>
            <w:pPr>
              <w:pStyle w:val="193"/>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rPr>
                <w:rFonts w:hint="eastAsia"/>
              </w:rPr>
              <w:t>11</w:t>
            </w:r>
          </w:p>
        </w:tc>
        <w:tc>
          <w:tcPr>
            <w:tcW w:w="2919" w:type="pct"/>
            <w:vAlign w:val="center"/>
          </w:tcPr>
          <w:p>
            <w:pPr>
              <w:pStyle w:val="193"/>
              <w:jc w:val="left"/>
            </w:pPr>
            <w:r>
              <w:t>第三十八条对生产建设活动所占用土地的地表土应当进行分层剥离、保存和利用，做到土石方挖填平衡，减少地表扰动范围；对废弃的砂、石、土、矸石、尾矿、废渣等存放地，应当采取拦挡、坡面防护、防洪排导等措施。生产建设活动结束后，应当及时在取土场、开挖面和存放地的裸露土地上植树种草、恢复植被，对闭库的尾矿库进行复垦</w:t>
            </w:r>
            <w:r>
              <w:rPr>
                <w:rFonts w:hint="eastAsia"/>
              </w:rPr>
              <w:t>。</w:t>
            </w:r>
          </w:p>
        </w:tc>
        <w:tc>
          <w:tcPr>
            <w:tcW w:w="1391" w:type="pct"/>
            <w:vAlign w:val="center"/>
          </w:tcPr>
          <w:p>
            <w:pPr>
              <w:pStyle w:val="193"/>
              <w:jc w:val="left"/>
            </w:pPr>
            <w:r>
              <w:t>根据现场踏勘，本工程</w:t>
            </w:r>
            <w:r>
              <w:rPr>
                <w:rFonts w:hint="eastAsia"/>
              </w:rPr>
              <w:t>占地均为建设用地，大部分施工区域位于道路下，因此本项目不采取表土剥离措施。</w:t>
            </w:r>
          </w:p>
        </w:tc>
        <w:tc>
          <w:tcPr>
            <w:tcW w:w="442" w:type="pct"/>
            <w:vAlign w:val="center"/>
          </w:tcPr>
          <w:p>
            <w:pPr>
              <w:pStyle w:val="193"/>
            </w:pPr>
            <w:r>
              <w:t>符合本条规定要求</w:t>
            </w:r>
          </w:p>
        </w:tc>
      </w:tr>
    </w:tbl>
    <w:p>
      <w:pPr>
        <w:pStyle w:val="176"/>
        <w:spacing w:beforeLines="100" w:line="240" w:lineRule="auto"/>
        <w:ind w:firstLine="0" w:firstLineChars="0"/>
        <w:jc w:val="center"/>
        <w:rPr>
          <w:b/>
          <w:bCs/>
          <w:color w:val="auto"/>
        </w:rPr>
      </w:pPr>
      <w:r>
        <w:rPr>
          <w:b/>
          <w:bCs/>
          <w:color w:val="auto"/>
        </w:rPr>
        <w:t>表3.1-2   水保【2007】184号文相符性分析表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39"/>
        <w:gridCol w:w="5016"/>
        <w:gridCol w:w="2308"/>
        <w:gridCol w:w="7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t>序号</w:t>
            </w:r>
          </w:p>
        </w:tc>
        <w:tc>
          <w:tcPr>
            <w:tcW w:w="2945" w:type="pct"/>
            <w:vAlign w:val="center"/>
          </w:tcPr>
          <w:p>
            <w:pPr>
              <w:pStyle w:val="193"/>
            </w:pPr>
            <w:r>
              <w:t>184号文有关规定</w:t>
            </w:r>
          </w:p>
        </w:tc>
        <w:tc>
          <w:tcPr>
            <w:tcW w:w="1355" w:type="pct"/>
            <w:vAlign w:val="center"/>
          </w:tcPr>
          <w:p>
            <w:pPr>
              <w:pStyle w:val="193"/>
            </w:pPr>
            <w:r>
              <w:t>本项目的情况</w:t>
            </w:r>
          </w:p>
        </w:tc>
        <w:tc>
          <w:tcPr>
            <w:tcW w:w="442" w:type="pct"/>
            <w:vAlign w:val="center"/>
          </w:tcPr>
          <w:p>
            <w:pPr>
              <w:pStyle w:val="193"/>
            </w:pPr>
            <w:r>
              <w:t>相符性分析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rPr>
                <w:rFonts w:hint="eastAsia"/>
              </w:rPr>
              <w:t>1</w:t>
            </w:r>
          </w:p>
        </w:tc>
        <w:tc>
          <w:tcPr>
            <w:tcW w:w="2945" w:type="pct"/>
            <w:vAlign w:val="center"/>
          </w:tcPr>
          <w:p>
            <w:pPr>
              <w:pStyle w:val="193"/>
            </w:pPr>
            <w:r>
              <w:rPr>
                <w:rFonts w:hint="eastAsia"/>
              </w:rPr>
              <w:t>水土保持方案中没有主体工程的比选方案，比选方案水土保持评价缺乏水土保持有关量化指标的，不予审查通过。</w:t>
            </w:r>
          </w:p>
        </w:tc>
        <w:tc>
          <w:tcPr>
            <w:tcW w:w="1355" w:type="pct"/>
            <w:vAlign w:val="center"/>
          </w:tcPr>
          <w:p>
            <w:pPr>
              <w:pStyle w:val="193"/>
              <w:jc w:val="left"/>
            </w:pPr>
            <w:r>
              <w:rPr>
                <w:rFonts w:hint="eastAsia"/>
              </w:rPr>
              <w:t>本工程为线路走向唯一，主体工程在选址过程中充分考虑了水土保持因素，避开了崩塌、滑坡等危险区域。</w:t>
            </w:r>
          </w:p>
        </w:tc>
        <w:tc>
          <w:tcPr>
            <w:tcW w:w="442" w:type="pct"/>
            <w:vAlign w:val="center"/>
          </w:tcPr>
          <w:p>
            <w:pPr>
              <w:pStyle w:val="193"/>
            </w:pPr>
            <w:r>
              <w:t>符合</w:t>
            </w:r>
          </w:p>
          <w:p>
            <w:pPr>
              <w:pStyle w:val="193"/>
            </w:pPr>
            <w: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258" w:type="pct"/>
            <w:vAlign w:val="center"/>
          </w:tcPr>
          <w:p>
            <w:pPr>
              <w:pStyle w:val="193"/>
            </w:pPr>
            <w:r>
              <w:rPr>
                <w:rFonts w:hint="eastAsia"/>
              </w:rPr>
              <w:t>2</w:t>
            </w:r>
          </w:p>
        </w:tc>
        <w:tc>
          <w:tcPr>
            <w:tcW w:w="2945" w:type="pct"/>
            <w:vAlign w:val="center"/>
          </w:tcPr>
          <w:p>
            <w:pPr>
              <w:pStyle w:val="193"/>
              <w:jc w:val="left"/>
            </w:pPr>
            <w:r>
              <w:rPr>
                <w:rFonts w:hint="eastAsia"/>
              </w:rPr>
              <w:t>工程的土石方平衡、废弃土石渣利用达不到规范要求的，不予审查通过。</w:t>
            </w:r>
          </w:p>
        </w:tc>
        <w:tc>
          <w:tcPr>
            <w:tcW w:w="1355" w:type="pct"/>
            <w:vAlign w:val="center"/>
          </w:tcPr>
          <w:p>
            <w:pPr>
              <w:pStyle w:val="193"/>
              <w:jc w:val="left"/>
            </w:pPr>
            <w:r>
              <w:rPr>
                <w:rFonts w:hint="eastAsia"/>
              </w:rPr>
              <w:t>本工程土石方挖填自身平衡，无永久弃方产生。</w:t>
            </w:r>
            <w:r>
              <w:rPr>
                <w:rFonts w:hint="eastAsia"/>
                <w:color w:val="000000"/>
              </w:rPr>
              <w:t>本项目仅有少量路面拆除垃圾运至垃圾场处理。</w:t>
            </w:r>
          </w:p>
        </w:tc>
        <w:tc>
          <w:tcPr>
            <w:tcW w:w="442" w:type="pct"/>
            <w:vAlign w:val="center"/>
          </w:tcPr>
          <w:p>
            <w:pPr>
              <w:pStyle w:val="193"/>
            </w:pPr>
            <w:r>
              <w:t>符合</w:t>
            </w:r>
          </w:p>
          <w:p>
            <w:pPr>
              <w:pStyle w:val="193"/>
            </w:pPr>
            <w: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rPr>
                <w:rFonts w:hint="eastAsia"/>
              </w:rPr>
              <w:t>3</w:t>
            </w:r>
          </w:p>
        </w:tc>
        <w:tc>
          <w:tcPr>
            <w:tcW w:w="2945" w:type="pct"/>
            <w:vAlign w:val="center"/>
          </w:tcPr>
          <w:p>
            <w:pPr>
              <w:pStyle w:val="193"/>
              <w:jc w:val="left"/>
            </w:pPr>
            <w:r>
              <w:t>《促进产业结构调整暂行规定》、国家发展和改革委员会发布的《产业结构调整指导目录》（2013年修正）限制类和淘汰类产业开发建设项目。</w:t>
            </w:r>
          </w:p>
        </w:tc>
        <w:tc>
          <w:tcPr>
            <w:tcW w:w="1355" w:type="pct"/>
            <w:vAlign w:val="center"/>
          </w:tcPr>
          <w:p>
            <w:pPr>
              <w:pStyle w:val="193"/>
              <w:jc w:val="left"/>
            </w:pPr>
            <w:r>
              <w:t>本项目不属于限制类和淘汰类产业开发建设项目。</w:t>
            </w:r>
          </w:p>
        </w:tc>
        <w:tc>
          <w:tcPr>
            <w:tcW w:w="442" w:type="pct"/>
            <w:vAlign w:val="center"/>
          </w:tcPr>
          <w:p>
            <w:pPr>
              <w:pStyle w:val="193"/>
            </w:pPr>
            <w:r>
              <w:t>符合</w:t>
            </w:r>
          </w:p>
          <w:p>
            <w:pPr>
              <w:pStyle w:val="193"/>
            </w:pPr>
            <w: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rPr>
                <w:rFonts w:hint="eastAsia"/>
              </w:rPr>
              <w:t>4</w:t>
            </w:r>
          </w:p>
        </w:tc>
        <w:tc>
          <w:tcPr>
            <w:tcW w:w="2945" w:type="pct"/>
            <w:vAlign w:val="center"/>
          </w:tcPr>
          <w:p>
            <w:pPr>
              <w:pStyle w:val="193"/>
              <w:jc w:val="left"/>
            </w:pPr>
            <w:r>
              <w:t>《国民经济和社会发展第十三个五年规划纲要》确定的禁止开发区域内不符合主体功能定位的开发建设项目。</w:t>
            </w:r>
          </w:p>
        </w:tc>
        <w:tc>
          <w:tcPr>
            <w:tcW w:w="1355" w:type="pct"/>
            <w:vAlign w:val="center"/>
          </w:tcPr>
          <w:p>
            <w:pPr>
              <w:pStyle w:val="193"/>
              <w:jc w:val="left"/>
            </w:pPr>
            <w:r>
              <w:t>本项目建设区未处于“十三五规划纲要”中确定的限制开发区域和禁止开发区域。</w:t>
            </w:r>
          </w:p>
        </w:tc>
        <w:tc>
          <w:tcPr>
            <w:tcW w:w="442" w:type="pct"/>
            <w:vAlign w:val="center"/>
          </w:tcPr>
          <w:p>
            <w:pPr>
              <w:pStyle w:val="193"/>
            </w:pPr>
            <w:r>
              <w:t>符合</w:t>
            </w:r>
          </w:p>
          <w:p>
            <w:pPr>
              <w:pStyle w:val="193"/>
            </w:pPr>
            <w: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rPr>
                <w:rFonts w:hint="eastAsia"/>
              </w:rPr>
              <w:t>5</w:t>
            </w:r>
          </w:p>
        </w:tc>
        <w:tc>
          <w:tcPr>
            <w:tcW w:w="2945" w:type="pct"/>
            <w:vAlign w:val="center"/>
          </w:tcPr>
          <w:p>
            <w:pPr>
              <w:pStyle w:val="193"/>
              <w:jc w:val="left"/>
            </w:pPr>
            <w:r>
              <w:t>违反《水土保持法》第十四条，在25度以上陡坡地实施的农林开发项目。</w:t>
            </w:r>
          </w:p>
        </w:tc>
        <w:tc>
          <w:tcPr>
            <w:tcW w:w="1355" w:type="pct"/>
            <w:vAlign w:val="center"/>
          </w:tcPr>
          <w:p>
            <w:pPr>
              <w:pStyle w:val="193"/>
              <w:jc w:val="left"/>
            </w:pPr>
            <w:r>
              <w:rPr>
                <w:rFonts w:hint="eastAsia"/>
              </w:rPr>
              <w:t>本项目不属于</w:t>
            </w:r>
            <w:r>
              <w:t>农林开发项目</w:t>
            </w:r>
            <w:r>
              <w:rPr>
                <w:rFonts w:hint="eastAsia"/>
              </w:rPr>
              <w:t>。</w:t>
            </w:r>
          </w:p>
        </w:tc>
        <w:tc>
          <w:tcPr>
            <w:tcW w:w="442" w:type="pct"/>
            <w:vAlign w:val="center"/>
          </w:tcPr>
          <w:p>
            <w:pPr>
              <w:pStyle w:val="193"/>
            </w:pPr>
            <w:r>
              <w:t>符合</w:t>
            </w:r>
          </w:p>
          <w:p>
            <w:pPr>
              <w:pStyle w:val="193"/>
            </w:pPr>
            <w: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rPr>
                <w:rFonts w:hint="eastAsia"/>
              </w:rPr>
              <w:t>6</w:t>
            </w:r>
          </w:p>
        </w:tc>
        <w:tc>
          <w:tcPr>
            <w:tcW w:w="2945" w:type="pct"/>
            <w:vAlign w:val="center"/>
          </w:tcPr>
          <w:p>
            <w:pPr>
              <w:pStyle w:val="193"/>
              <w:jc w:val="left"/>
              <w:rPr>
                <w:snapToGrid w:val="0"/>
              </w:rPr>
            </w:pPr>
            <w:r>
              <w:rPr>
                <w:rFonts w:hint="eastAsia"/>
                <w:snapToGrid w:val="0"/>
              </w:rPr>
              <w:t>违反《中华人民共和国水法》第十九条，不符合流域综合规划的的水工程。</w:t>
            </w:r>
          </w:p>
        </w:tc>
        <w:tc>
          <w:tcPr>
            <w:tcW w:w="1355" w:type="pct"/>
            <w:vAlign w:val="center"/>
          </w:tcPr>
          <w:p>
            <w:pPr>
              <w:pStyle w:val="193"/>
              <w:jc w:val="left"/>
              <w:rPr>
                <w:snapToGrid w:val="0"/>
              </w:rPr>
            </w:pPr>
            <w:r>
              <w:rPr>
                <w:rFonts w:hint="eastAsia"/>
                <w:snapToGrid w:val="0"/>
              </w:rPr>
              <w:t>本工程不属于“水工程”。</w:t>
            </w:r>
          </w:p>
        </w:tc>
        <w:tc>
          <w:tcPr>
            <w:tcW w:w="442" w:type="pct"/>
            <w:vAlign w:val="center"/>
          </w:tcPr>
          <w:p>
            <w:pPr>
              <w:pStyle w:val="193"/>
            </w:pPr>
            <w:r>
              <w:t>符合</w:t>
            </w:r>
          </w:p>
          <w:p>
            <w:pPr>
              <w:pStyle w:val="193"/>
            </w:pPr>
            <w: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rPr>
                <w:rFonts w:hint="eastAsia"/>
              </w:rPr>
              <w:t>7</w:t>
            </w:r>
          </w:p>
        </w:tc>
        <w:tc>
          <w:tcPr>
            <w:tcW w:w="2945" w:type="pct"/>
            <w:vAlign w:val="center"/>
          </w:tcPr>
          <w:p>
            <w:pPr>
              <w:pStyle w:val="193"/>
              <w:jc w:val="left"/>
            </w:pPr>
            <w:r>
              <w:t>违反《水土保持法》第二十条，在县级以上地方人民政府公告的崩塌滑坡危险区和泥石流易发区内取土、挖砂、取石的开发建设项目。</w:t>
            </w:r>
          </w:p>
        </w:tc>
        <w:tc>
          <w:tcPr>
            <w:tcW w:w="1355" w:type="pct"/>
            <w:vAlign w:val="center"/>
          </w:tcPr>
          <w:p>
            <w:pPr>
              <w:pStyle w:val="193"/>
              <w:jc w:val="left"/>
            </w:pPr>
            <w:r>
              <w:t>工程未在县级以上地方人民政府公告的崩塌滑坡危险区和泥石流易发区取土。</w:t>
            </w:r>
          </w:p>
        </w:tc>
        <w:tc>
          <w:tcPr>
            <w:tcW w:w="442" w:type="pct"/>
            <w:vAlign w:val="center"/>
          </w:tcPr>
          <w:p>
            <w:pPr>
              <w:pStyle w:val="193"/>
            </w:pPr>
            <w:r>
              <w:t>符合</w:t>
            </w:r>
          </w:p>
          <w:p>
            <w:pPr>
              <w:pStyle w:val="193"/>
            </w:pPr>
            <w: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rPr>
                <w:rFonts w:hint="eastAsia"/>
              </w:rPr>
              <w:t>8</w:t>
            </w:r>
          </w:p>
        </w:tc>
        <w:tc>
          <w:tcPr>
            <w:tcW w:w="2945" w:type="pct"/>
            <w:vAlign w:val="center"/>
          </w:tcPr>
          <w:p>
            <w:pPr>
              <w:pStyle w:val="193"/>
              <w:jc w:val="left"/>
            </w:pPr>
            <w:r>
              <w:t>根据国家产业结构调整的有关规定精神，国家发展和改革主管部门同意后方可开展前期工作，但未能提供相应文件依据的开发建设项目。</w:t>
            </w:r>
          </w:p>
        </w:tc>
        <w:tc>
          <w:tcPr>
            <w:tcW w:w="1355" w:type="pct"/>
            <w:vAlign w:val="center"/>
          </w:tcPr>
          <w:p>
            <w:pPr>
              <w:pStyle w:val="193"/>
              <w:jc w:val="left"/>
            </w:pPr>
            <w:r>
              <w:rPr>
                <w:rFonts w:hint="eastAsia"/>
              </w:rPr>
              <w:t>本工程建设符合批准要求。</w:t>
            </w:r>
          </w:p>
        </w:tc>
        <w:tc>
          <w:tcPr>
            <w:tcW w:w="442" w:type="pct"/>
            <w:vAlign w:val="center"/>
          </w:tcPr>
          <w:p>
            <w:pPr>
              <w:pStyle w:val="193"/>
            </w:pPr>
            <w:r>
              <w:t>符合</w:t>
            </w:r>
          </w:p>
          <w:p>
            <w:pPr>
              <w:pStyle w:val="193"/>
            </w:pPr>
            <w: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rPr>
                <w:rFonts w:hint="eastAsia"/>
              </w:rPr>
              <w:t>9</w:t>
            </w:r>
          </w:p>
        </w:tc>
        <w:tc>
          <w:tcPr>
            <w:tcW w:w="2945" w:type="pct"/>
            <w:vAlign w:val="center"/>
          </w:tcPr>
          <w:p>
            <w:pPr>
              <w:pStyle w:val="193"/>
              <w:jc w:val="left"/>
            </w:pPr>
            <w:r>
              <w:rPr>
                <w:rFonts w:hint="eastAsia"/>
              </w:rPr>
              <w:t>分期建设的生产建设项目，其前期工程存在未编报水土保持方案、水土保持方案未落实和水土保持设施未按期验收的，不予审查通过。</w:t>
            </w:r>
          </w:p>
        </w:tc>
        <w:tc>
          <w:tcPr>
            <w:tcW w:w="1355" w:type="pct"/>
            <w:vAlign w:val="center"/>
          </w:tcPr>
          <w:p>
            <w:pPr>
              <w:pStyle w:val="193"/>
              <w:jc w:val="left"/>
              <w:rPr>
                <w:lang w:val="zh-CN"/>
              </w:rPr>
            </w:pPr>
            <w:r>
              <w:rPr>
                <w:rFonts w:hint="eastAsia"/>
                <w:lang w:val="zh-CN"/>
              </w:rPr>
              <w:t>本项目属于新建项目，不存在前期工程未编报水土保持方案的情况。</w:t>
            </w:r>
          </w:p>
        </w:tc>
        <w:tc>
          <w:tcPr>
            <w:tcW w:w="442" w:type="pct"/>
            <w:vAlign w:val="center"/>
          </w:tcPr>
          <w:p>
            <w:pPr>
              <w:pStyle w:val="193"/>
            </w:pPr>
            <w:r>
              <w:t>符合</w:t>
            </w:r>
          </w:p>
          <w:p>
            <w:pPr>
              <w:pStyle w:val="193"/>
            </w:pPr>
            <w: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rPr>
                <w:rFonts w:hint="eastAsia"/>
              </w:rPr>
              <w:t>10</w:t>
            </w:r>
          </w:p>
        </w:tc>
        <w:tc>
          <w:tcPr>
            <w:tcW w:w="2945" w:type="pct"/>
            <w:vAlign w:val="center"/>
          </w:tcPr>
          <w:p>
            <w:pPr>
              <w:pStyle w:val="193"/>
              <w:jc w:val="left"/>
            </w:pPr>
            <w:r>
              <w:t>同一投资主体所属的开发建设项目，在建及生产运行的工程中存在未编报水土保持方案、水土保持方案未落实和水土保持设施未按期验收的。</w:t>
            </w:r>
          </w:p>
        </w:tc>
        <w:tc>
          <w:tcPr>
            <w:tcW w:w="1355" w:type="pct"/>
            <w:vAlign w:val="center"/>
          </w:tcPr>
          <w:p>
            <w:pPr>
              <w:pStyle w:val="193"/>
              <w:jc w:val="left"/>
            </w:pPr>
            <w:r>
              <w:rPr>
                <w:rFonts w:hint="eastAsia"/>
              </w:rPr>
              <w:t>本工程投资主体单位在建及投运的工程均已依法落实了或正在落实水土保持法要求的工作，符合批准要求。</w:t>
            </w:r>
          </w:p>
        </w:tc>
        <w:tc>
          <w:tcPr>
            <w:tcW w:w="442" w:type="pct"/>
            <w:vAlign w:val="center"/>
          </w:tcPr>
          <w:p>
            <w:pPr>
              <w:pStyle w:val="193"/>
            </w:pPr>
            <w:r>
              <w:rPr>
                <w:rFonts w:hint="eastAsia"/>
              </w:rPr>
              <w:t>正在整改中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rPr>
                <w:rFonts w:hint="eastAsia"/>
              </w:rPr>
              <w:t>11</w:t>
            </w:r>
          </w:p>
        </w:tc>
        <w:tc>
          <w:tcPr>
            <w:tcW w:w="2945" w:type="pct"/>
            <w:vAlign w:val="center"/>
          </w:tcPr>
          <w:p>
            <w:pPr>
              <w:pStyle w:val="193"/>
              <w:jc w:val="left"/>
            </w:pPr>
            <w:r>
              <w:t>处于重要江河、湖泊以及跨省（自治区、直辖市）的其他江河、湖泊的水功能一级区的保护区和保留区内可能严重影响水质的开发建设项目，以及对水功能二级区的饮用水源区水质有影响的开发建设项目。</w:t>
            </w:r>
          </w:p>
        </w:tc>
        <w:tc>
          <w:tcPr>
            <w:tcW w:w="1355" w:type="pct"/>
            <w:vAlign w:val="center"/>
          </w:tcPr>
          <w:p>
            <w:pPr>
              <w:pStyle w:val="193"/>
              <w:jc w:val="left"/>
            </w:pPr>
            <w:r>
              <w:t>本工程不属于此类项目</w:t>
            </w:r>
          </w:p>
        </w:tc>
        <w:tc>
          <w:tcPr>
            <w:tcW w:w="442" w:type="pct"/>
            <w:vAlign w:val="center"/>
          </w:tcPr>
          <w:p>
            <w:pPr>
              <w:pStyle w:val="193"/>
            </w:pPr>
            <w:r>
              <w:t>符合</w:t>
            </w:r>
          </w:p>
          <w:p>
            <w:pPr>
              <w:pStyle w:val="193"/>
            </w:pPr>
            <w: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rPr>
                <w:rFonts w:hint="eastAsia"/>
              </w:rPr>
              <w:t>12</w:t>
            </w:r>
          </w:p>
        </w:tc>
        <w:tc>
          <w:tcPr>
            <w:tcW w:w="2945" w:type="pct"/>
            <w:vAlign w:val="center"/>
          </w:tcPr>
          <w:p>
            <w:pPr>
              <w:pStyle w:val="193"/>
              <w:jc w:val="left"/>
              <w:rPr>
                <w:snapToGrid w:val="0"/>
              </w:rPr>
            </w:pPr>
            <w:r>
              <w:rPr>
                <w:snapToGrid w:val="0"/>
              </w:rPr>
              <w:t>在华北、西北等水资源严重短缺的地区，未通过建设项目水资源论证的开发建设项目。</w:t>
            </w:r>
          </w:p>
        </w:tc>
        <w:tc>
          <w:tcPr>
            <w:tcW w:w="1355" w:type="pct"/>
            <w:vAlign w:val="center"/>
          </w:tcPr>
          <w:p>
            <w:pPr>
              <w:pStyle w:val="193"/>
              <w:jc w:val="left"/>
            </w:pPr>
            <w:r>
              <w:rPr>
                <w:rFonts w:hint="eastAsia"/>
              </w:rPr>
              <w:t>本项目不需要进行</w:t>
            </w:r>
            <w:r>
              <w:t>水资源论证</w:t>
            </w:r>
            <w:r>
              <w:rPr>
                <w:rFonts w:hint="eastAsia"/>
              </w:rPr>
              <w:t>。</w:t>
            </w:r>
          </w:p>
        </w:tc>
        <w:tc>
          <w:tcPr>
            <w:tcW w:w="442" w:type="pct"/>
            <w:vAlign w:val="center"/>
          </w:tcPr>
          <w:p>
            <w:pPr>
              <w:pStyle w:val="193"/>
              <w:rPr>
                <w:snapToGrid w:val="0"/>
              </w:rPr>
            </w:pPr>
            <w:r>
              <w:rPr>
                <w:rFonts w:hint="eastAsia"/>
              </w:rPr>
              <w:t>正在整改中</w:t>
            </w:r>
          </w:p>
        </w:tc>
      </w:tr>
    </w:tbl>
    <w:p>
      <w:pPr>
        <w:tabs>
          <w:tab w:val="left" w:pos="3345"/>
        </w:tabs>
        <w:spacing w:line="240" w:lineRule="auto"/>
        <w:ind w:firstLine="480"/>
      </w:pPr>
    </w:p>
    <w:p>
      <w:pPr>
        <w:tabs>
          <w:tab w:val="left" w:pos="3345"/>
        </w:tabs>
        <w:ind w:firstLine="0" w:firstLineChars="0"/>
        <w:jc w:val="center"/>
        <w:rPr>
          <w:b/>
          <w:bCs/>
        </w:rPr>
      </w:pPr>
      <w:r>
        <w:rPr>
          <w:b/>
          <w:bCs/>
        </w:rPr>
        <w:t>表3.1-3生产建设项目水土保持技术标准(GB50433-2018)的水土保持约束性分析</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2"/>
        <w:gridCol w:w="4120"/>
        <w:gridCol w:w="3221"/>
        <w:gridCol w:w="7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8" w:type="pct"/>
            <w:vAlign w:val="center"/>
          </w:tcPr>
          <w:p>
            <w:pPr>
              <w:pStyle w:val="193"/>
            </w:pPr>
            <w:r>
              <w:t>序号</w:t>
            </w:r>
          </w:p>
        </w:tc>
        <w:tc>
          <w:tcPr>
            <w:tcW w:w="2419" w:type="pct"/>
            <w:vAlign w:val="center"/>
          </w:tcPr>
          <w:p>
            <w:pPr>
              <w:pStyle w:val="193"/>
            </w:pPr>
            <w:r>
              <w:t>基本规定</w:t>
            </w:r>
          </w:p>
        </w:tc>
        <w:tc>
          <w:tcPr>
            <w:tcW w:w="1891" w:type="pct"/>
            <w:vAlign w:val="center"/>
          </w:tcPr>
          <w:p>
            <w:pPr>
              <w:pStyle w:val="193"/>
            </w:pPr>
            <w:r>
              <w:t>本项目实施情况</w:t>
            </w:r>
          </w:p>
        </w:tc>
        <w:tc>
          <w:tcPr>
            <w:tcW w:w="442" w:type="pct"/>
            <w:vAlign w:val="center"/>
          </w:tcPr>
          <w:p>
            <w:pPr>
              <w:pStyle w:val="193"/>
            </w:pPr>
            <w:r>
              <w:t>是否满足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8" w:type="pct"/>
            <w:vAlign w:val="center"/>
          </w:tcPr>
          <w:p>
            <w:pPr>
              <w:pStyle w:val="193"/>
            </w:pPr>
            <w:r>
              <w:t>1</w:t>
            </w:r>
          </w:p>
        </w:tc>
        <w:tc>
          <w:tcPr>
            <w:tcW w:w="2419" w:type="pct"/>
            <w:vAlign w:val="center"/>
          </w:tcPr>
          <w:p>
            <w:pPr>
              <w:pStyle w:val="193"/>
              <w:jc w:val="left"/>
            </w:pPr>
            <w:r>
              <w:t>主体工程选址（线）应避让水土流失重点预防区和重点治理区</w:t>
            </w:r>
            <w:r>
              <w:rPr>
                <w:rFonts w:hint="eastAsia"/>
              </w:rPr>
              <w:t>。</w:t>
            </w:r>
          </w:p>
        </w:tc>
        <w:tc>
          <w:tcPr>
            <w:tcW w:w="1891" w:type="pct"/>
            <w:vAlign w:val="center"/>
          </w:tcPr>
          <w:p>
            <w:pPr>
              <w:pStyle w:val="193"/>
              <w:jc w:val="left"/>
            </w:pPr>
            <w:r>
              <w:rPr>
                <w:rFonts w:hint="eastAsia"/>
              </w:rPr>
              <w:t>项目所在的224团</w:t>
            </w:r>
            <w:r>
              <w:t>属于</w:t>
            </w:r>
            <w:r>
              <w:rPr>
                <w:bCs/>
              </w:rPr>
              <w:t>塔里木河国家级水土流失重点预防区</w:t>
            </w:r>
            <w:r>
              <w:rPr>
                <w:rFonts w:hint="eastAsia"/>
                <w:bCs/>
              </w:rPr>
              <w:t>和塔里木河流域兵团级水土流失重点治理区</w:t>
            </w:r>
            <w:r>
              <w:rPr>
                <w:rFonts w:hint="eastAsia"/>
              </w:rPr>
              <w:t>，本项目执行</w:t>
            </w:r>
            <w:r>
              <w:t>北方风沙区</w:t>
            </w:r>
            <w:r>
              <w:rPr>
                <w:rFonts w:hint="eastAsia"/>
              </w:rPr>
              <w:t>建设项目一</w:t>
            </w:r>
            <w:r>
              <w:t>级标准</w:t>
            </w:r>
            <w:r>
              <w:rPr>
                <w:rFonts w:hint="eastAsia"/>
              </w:rPr>
              <w:t>，</w:t>
            </w:r>
            <w:r>
              <w:t>建设期加强管理，减少地表扰动。</w:t>
            </w:r>
          </w:p>
        </w:tc>
        <w:tc>
          <w:tcPr>
            <w:tcW w:w="442" w:type="pct"/>
            <w:vAlign w:val="center"/>
          </w:tcPr>
          <w:p>
            <w:pPr>
              <w:pStyle w:val="193"/>
            </w:pPr>
            <w:r>
              <w:t>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8" w:type="pct"/>
            <w:vAlign w:val="center"/>
          </w:tcPr>
          <w:p>
            <w:pPr>
              <w:pStyle w:val="193"/>
            </w:pPr>
            <w:r>
              <w:t>2</w:t>
            </w:r>
          </w:p>
        </w:tc>
        <w:tc>
          <w:tcPr>
            <w:tcW w:w="2419" w:type="pct"/>
            <w:vAlign w:val="center"/>
          </w:tcPr>
          <w:p>
            <w:pPr>
              <w:pStyle w:val="193"/>
              <w:jc w:val="left"/>
            </w:pPr>
            <w:r>
              <w:t>主体工程选址（线）应避让河流两岸、湖泊和水库周边的植物保护带</w:t>
            </w:r>
            <w:r>
              <w:rPr>
                <w:rFonts w:hint="eastAsia"/>
              </w:rPr>
              <w:t>。</w:t>
            </w:r>
          </w:p>
        </w:tc>
        <w:tc>
          <w:tcPr>
            <w:tcW w:w="1891" w:type="pct"/>
            <w:vAlign w:val="center"/>
          </w:tcPr>
          <w:p>
            <w:pPr>
              <w:pStyle w:val="193"/>
            </w:pPr>
            <w:r>
              <w:t>不涉及上述区域</w:t>
            </w:r>
            <w:r>
              <w:rPr>
                <w:rFonts w:hint="eastAsia"/>
              </w:rPr>
              <w:t>。</w:t>
            </w:r>
          </w:p>
        </w:tc>
        <w:tc>
          <w:tcPr>
            <w:tcW w:w="442" w:type="pct"/>
            <w:vAlign w:val="center"/>
          </w:tcPr>
          <w:p>
            <w:pPr>
              <w:pStyle w:val="193"/>
            </w:pPr>
            <w:r>
              <w:t>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8" w:type="pct"/>
            <w:vAlign w:val="center"/>
          </w:tcPr>
          <w:p>
            <w:pPr>
              <w:pStyle w:val="193"/>
            </w:pPr>
            <w:r>
              <w:t>3</w:t>
            </w:r>
          </w:p>
        </w:tc>
        <w:tc>
          <w:tcPr>
            <w:tcW w:w="2419" w:type="pct"/>
            <w:vAlign w:val="center"/>
          </w:tcPr>
          <w:p>
            <w:pPr>
              <w:pStyle w:val="193"/>
              <w:jc w:val="left"/>
            </w:pPr>
            <w:r>
              <w:t>主体工程选址（线）应避让全国水土保持监测网络中的水土保持监测站点、重点实验区、不得占用国家确定的水土保持长期定位观测站。</w:t>
            </w:r>
          </w:p>
        </w:tc>
        <w:tc>
          <w:tcPr>
            <w:tcW w:w="1891" w:type="pct"/>
            <w:vAlign w:val="center"/>
          </w:tcPr>
          <w:p>
            <w:pPr>
              <w:pStyle w:val="193"/>
            </w:pPr>
            <w:r>
              <w:t>不涉及上述区域</w:t>
            </w:r>
            <w:r>
              <w:rPr>
                <w:rFonts w:hint="eastAsia"/>
              </w:rPr>
              <w:t>。</w:t>
            </w:r>
          </w:p>
        </w:tc>
        <w:tc>
          <w:tcPr>
            <w:tcW w:w="442" w:type="pct"/>
            <w:vAlign w:val="center"/>
          </w:tcPr>
          <w:p>
            <w:pPr>
              <w:pStyle w:val="193"/>
            </w:pPr>
            <w:r>
              <w:t>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8" w:type="pct"/>
            <w:vAlign w:val="center"/>
          </w:tcPr>
          <w:p>
            <w:pPr>
              <w:pStyle w:val="193"/>
            </w:pPr>
            <w:r>
              <w:rPr>
                <w:rFonts w:hint="eastAsia"/>
              </w:rPr>
              <w:t>4</w:t>
            </w:r>
          </w:p>
        </w:tc>
        <w:tc>
          <w:tcPr>
            <w:tcW w:w="2419" w:type="pct"/>
            <w:vAlign w:val="center"/>
          </w:tcPr>
          <w:p>
            <w:pPr>
              <w:pStyle w:val="193"/>
            </w:pPr>
            <w:r>
              <w:t>严禁在崩塌和滑坡危险区、泥石流易发区内设置取土(石、砂)场。</w:t>
            </w:r>
          </w:p>
        </w:tc>
        <w:tc>
          <w:tcPr>
            <w:tcW w:w="1891" w:type="pct"/>
            <w:vAlign w:val="center"/>
          </w:tcPr>
          <w:p>
            <w:pPr>
              <w:pStyle w:val="193"/>
            </w:pPr>
            <w:r>
              <w:t>本工程不设取土场，符合标准要求</w:t>
            </w:r>
          </w:p>
        </w:tc>
        <w:tc>
          <w:tcPr>
            <w:tcW w:w="442" w:type="pct"/>
            <w:vAlign w:val="center"/>
          </w:tcPr>
          <w:p>
            <w:pPr>
              <w:pStyle w:val="193"/>
            </w:pPr>
            <w:r>
              <w:t>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8" w:type="pct"/>
            <w:vAlign w:val="center"/>
          </w:tcPr>
          <w:p>
            <w:pPr>
              <w:pStyle w:val="193"/>
            </w:pPr>
            <w:r>
              <w:rPr>
                <w:rFonts w:hint="eastAsia"/>
              </w:rPr>
              <w:t>5</w:t>
            </w:r>
          </w:p>
        </w:tc>
        <w:tc>
          <w:tcPr>
            <w:tcW w:w="2419" w:type="pct"/>
            <w:vAlign w:val="center"/>
          </w:tcPr>
          <w:p>
            <w:pPr>
              <w:pStyle w:val="193"/>
            </w:pPr>
            <w:r>
              <w:t>严禁在对公共设施、基础设施、工业企业、居民点等有重大影响的区域设置弃土(石、渣、灰、矸石、尾矿)场。</w:t>
            </w:r>
          </w:p>
        </w:tc>
        <w:tc>
          <w:tcPr>
            <w:tcW w:w="1891" w:type="pct"/>
            <w:vAlign w:val="center"/>
          </w:tcPr>
          <w:p>
            <w:pPr>
              <w:pStyle w:val="193"/>
            </w:pPr>
            <w:r>
              <w:t>本工程不设弃土场，符合标准要求。</w:t>
            </w:r>
          </w:p>
        </w:tc>
        <w:tc>
          <w:tcPr>
            <w:tcW w:w="442" w:type="pct"/>
            <w:vAlign w:val="center"/>
          </w:tcPr>
          <w:p>
            <w:pPr>
              <w:pStyle w:val="193"/>
            </w:pPr>
            <w:r>
              <w:t>满足规范</w:t>
            </w:r>
          </w:p>
        </w:tc>
      </w:tr>
    </w:tbl>
    <w:p>
      <w:pPr>
        <w:spacing w:beforeLines="100"/>
        <w:ind w:firstLine="480"/>
      </w:pPr>
      <w:r>
        <w:rPr>
          <w:rFonts w:eastAsia="仿宋_GB2312"/>
        </w:rPr>
        <w:t>根据以上分析，按照主体建设方案，通过对项目区水土流失与水土保持调查，对照《中华人民共和国水土保持法》、《生产建设项目水土保持技术标准》（GB50433-2018）和水保[2007]184号文对主体工程的约束性规定，项目区未涉及饮用水源保护区、自然保护区、世界文化和自然遗产地、风景名胜区、地质公园、森林公园、重要湿地，主体工程选址不涉及泥石流易发区、崩塌滑坡危险区以及易引发严重水土流失和生态恶化的地区</w:t>
      </w:r>
      <w:r>
        <w:rPr>
          <w:rFonts w:hint="eastAsia" w:eastAsia="仿宋_GB2312"/>
        </w:rPr>
        <w:t>。</w:t>
      </w:r>
      <w:r>
        <w:rPr>
          <w:rFonts w:eastAsia="仿宋_GB2312"/>
        </w:rPr>
        <w:t>根据《全国水土保持规划国家级水土流失重点预防区和重点治理区复核划分成果》，</w:t>
      </w:r>
      <w:r>
        <w:rPr>
          <w:rFonts w:hint="eastAsia" w:eastAsia="仿宋_GB2312"/>
        </w:rPr>
        <w:t>第十四师224团（按墨玉县考虑）</w:t>
      </w:r>
      <w:r>
        <w:rPr>
          <w:rFonts w:eastAsia="仿宋_GB2312"/>
        </w:rPr>
        <w:t>属于塔里木河国家级水土流失重点预防区。根据《新疆生产建设兵团水土保持规划（2015-2030）》，</w:t>
      </w:r>
      <w:r>
        <w:rPr>
          <w:rFonts w:hint="eastAsia" w:eastAsia="仿宋_GB2312"/>
        </w:rPr>
        <w:t>第十四师224团</w:t>
      </w:r>
      <w:r>
        <w:rPr>
          <w:rFonts w:eastAsia="仿宋_GB2312"/>
        </w:rPr>
        <w:t>属于</w:t>
      </w:r>
      <w:r>
        <w:rPr>
          <w:rFonts w:hint="eastAsia" w:eastAsia="仿宋_GB2312"/>
        </w:rPr>
        <w:t>塔里木河流域兵团级水土流失重点治理区。执行</w:t>
      </w:r>
      <w:r>
        <w:rPr>
          <w:rFonts w:eastAsia="仿宋_GB2312"/>
        </w:rPr>
        <w:t>北方风沙区</w:t>
      </w:r>
      <w:r>
        <w:rPr>
          <w:rFonts w:hint="eastAsia" w:eastAsia="仿宋_GB2312"/>
        </w:rPr>
        <w:t>建设项目一</w:t>
      </w:r>
      <w:r>
        <w:rPr>
          <w:rFonts w:eastAsia="仿宋_GB2312"/>
        </w:rPr>
        <w:t>级标准</w:t>
      </w:r>
      <w:r>
        <w:rPr>
          <w:rFonts w:hint="eastAsia" w:eastAsia="仿宋_GB2312"/>
        </w:rPr>
        <w:t>，</w:t>
      </w:r>
      <w:r>
        <w:rPr>
          <w:rFonts w:eastAsia="仿宋_GB2312"/>
        </w:rPr>
        <w:t>建设期加强管理，减少地表扰动</w:t>
      </w:r>
      <w:r>
        <w:rPr>
          <w:rFonts w:hint="eastAsia" w:eastAsia="仿宋_GB2312"/>
        </w:rPr>
        <w:t>。</w:t>
      </w:r>
      <w:r>
        <w:rPr>
          <w:rFonts w:eastAsia="仿宋_GB2312"/>
        </w:rPr>
        <w:t>工程征占地范围内不占用全国水土保持网络中的水土保持监测点、重点试验区，不占用国家确定的水土保持长期定位观测站</w:t>
      </w:r>
      <w:r>
        <w:rPr>
          <w:rFonts w:hint="eastAsia" w:eastAsia="仿宋_GB2312"/>
        </w:rPr>
        <w:t>。</w:t>
      </w:r>
    </w:p>
    <w:p>
      <w:pPr>
        <w:ind w:firstLine="480"/>
        <w:rPr>
          <w:rFonts w:eastAsia="仿宋_GB2312"/>
        </w:rPr>
      </w:pPr>
      <w:r>
        <w:rPr>
          <w:rFonts w:eastAsia="仿宋_GB2312"/>
        </w:rPr>
        <w:t>综上所述，对照《中华人民共和国水土保持法》、《关于严格开发建设项目水土保持方案审查审批工作的通知》水保[2007]184号文及《生产建设项目水土保持技术标准》对主体工程的制约性分析认为，该项目</w:t>
      </w:r>
      <w:r>
        <w:rPr>
          <w:rFonts w:hint="eastAsia" w:eastAsia="仿宋_GB2312"/>
        </w:rPr>
        <w:t>基本</w:t>
      </w:r>
      <w:r>
        <w:rPr>
          <w:rFonts w:eastAsia="仿宋_GB2312"/>
        </w:rPr>
        <w:t>符合水土保持的要求，</w:t>
      </w:r>
      <w:r>
        <w:rPr>
          <w:rFonts w:hint="eastAsia" w:eastAsia="仿宋_GB2312"/>
        </w:rPr>
        <w:t>虽然本工程选址无法避让</w:t>
      </w:r>
      <w:r>
        <w:rPr>
          <w:rFonts w:eastAsia="仿宋_GB2312"/>
          <w:bCs/>
        </w:rPr>
        <w:t>塔里木河国家级水土流失重点预防区</w:t>
      </w:r>
      <w:r>
        <w:rPr>
          <w:rFonts w:hint="eastAsia" w:eastAsia="仿宋_GB2312"/>
          <w:bCs/>
        </w:rPr>
        <w:t>和塔里木河流域兵团级水土流失重点治理区</w:t>
      </w:r>
      <w:r>
        <w:rPr>
          <w:rFonts w:eastAsia="仿宋_GB2312"/>
        </w:rPr>
        <w:t>，</w:t>
      </w:r>
      <w:r>
        <w:rPr>
          <w:rFonts w:hint="eastAsia" w:eastAsia="仿宋_GB2312"/>
        </w:rPr>
        <w:t>但通过执行</w:t>
      </w:r>
      <w:r>
        <w:rPr>
          <w:rFonts w:eastAsia="仿宋_GB2312"/>
        </w:rPr>
        <w:t>北方风沙区</w:t>
      </w:r>
      <w:r>
        <w:rPr>
          <w:rFonts w:hint="eastAsia" w:eastAsia="仿宋_GB2312"/>
        </w:rPr>
        <w:t>建设项目一</w:t>
      </w:r>
      <w:r>
        <w:rPr>
          <w:rFonts w:eastAsia="仿宋_GB2312"/>
        </w:rPr>
        <w:t>级标准</w:t>
      </w:r>
      <w:r>
        <w:rPr>
          <w:rFonts w:hint="eastAsia" w:eastAsia="仿宋_GB2312"/>
        </w:rPr>
        <w:t>，</w:t>
      </w:r>
      <w:r>
        <w:rPr>
          <w:rFonts w:eastAsia="仿宋_GB2312"/>
        </w:rPr>
        <w:t>建设期加强管理，减少地表扰动</w:t>
      </w:r>
      <w:r>
        <w:rPr>
          <w:rFonts w:hint="eastAsia" w:eastAsia="仿宋_GB2312"/>
        </w:rPr>
        <w:t>，</w:t>
      </w:r>
      <w:r>
        <w:rPr>
          <w:rFonts w:eastAsia="仿宋_GB2312"/>
        </w:rPr>
        <w:t>项目建设</w:t>
      </w:r>
      <w:r>
        <w:rPr>
          <w:rFonts w:hint="eastAsia" w:eastAsia="仿宋_GB2312"/>
        </w:rPr>
        <w:t>还是</w:t>
      </w:r>
      <w:r>
        <w:rPr>
          <w:rFonts w:eastAsia="仿宋_GB2312"/>
        </w:rPr>
        <w:t>可行</w:t>
      </w:r>
      <w:r>
        <w:rPr>
          <w:rFonts w:hint="eastAsia" w:eastAsia="仿宋_GB2312"/>
        </w:rPr>
        <w:t>的</w:t>
      </w:r>
      <w:r>
        <w:rPr>
          <w:rFonts w:eastAsia="仿宋_GB2312"/>
        </w:rPr>
        <w:t>。</w:t>
      </w:r>
    </w:p>
    <w:p>
      <w:pPr>
        <w:pStyle w:val="3"/>
        <w:widowControl/>
        <w:numPr>
          <w:ilvl w:val="1"/>
          <w:numId w:val="1"/>
        </w:numPr>
        <w:tabs>
          <w:tab w:val="clear" w:pos="1002"/>
        </w:tabs>
        <w:topLinePunct w:val="0"/>
        <w:adjustRightInd/>
        <w:snapToGrid/>
        <w:ind w:left="0" w:firstLine="0"/>
        <w:jc w:val="both"/>
        <w:rPr>
          <w:rFonts w:eastAsia="仿宋_GB2312"/>
        </w:rPr>
      </w:pPr>
      <w:bookmarkStart w:id="189" w:name="_Toc7801557"/>
      <w:bookmarkStart w:id="190" w:name="_Toc7801397"/>
      <w:bookmarkStart w:id="191" w:name="_Toc4951127"/>
      <w:bookmarkStart w:id="192" w:name="_Toc50221507"/>
      <w:bookmarkStart w:id="193" w:name="_Toc7801464"/>
      <w:r>
        <w:rPr>
          <w:rFonts w:eastAsia="仿宋_GB2312"/>
        </w:rPr>
        <w:t>建设方案与布局水土保持评价</w:t>
      </w:r>
      <w:bookmarkEnd w:id="189"/>
      <w:bookmarkEnd w:id="190"/>
      <w:bookmarkEnd w:id="191"/>
      <w:bookmarkEnd w:id="192"/>
      <w:bookmarkEnd w:id="193"/>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建设方案评价</w:t>
      </w:r>
    </w:p>
    <w:p>
      <w:pPr>
        <w:ind w:firstLine="480"/>
        <w:rPr>
          <w:rFonts w:eastAsia="仿宋_GB2312"/>
        </w:rPr>
      </w:pPr>
      <w:bookmarkStart w:id="194" w:name="_Toc202596734"/>
      <w:bookmarkStart w:id="195" w:name="_Toc202548355"/>
      <w:bookmarkStart w:id="196" w:name="_Toc202548432"/>
      <w:r>
        <w:rPr>
          <w:rFonts w:hint="eastAsia" w:eastAsia="仿宋_GB2312"/>
        </w:rPr>
        <w:t>项目主要由管道工程区、附属构筑物区等组成。</w:t>
      </w:r>
    </w:p>
    <w:p>
      <w:pPr>
        <w:ind w:firstLine="480"/>
        <w:rPr>
          <w:rFonts w:eastAsia="仿宋_GB2312"/>
        </w:rPr>
      </w:pPr>
      <w:r>
        <w:rPr>
          <w:rFonts w:eastAsia="仿宋_GB2312"/>
        </w:rPr>
        <w:t>项目区地处</w:t>
      </w:r>
      <w:r>
        <w:rPr>
          <w:rFonts w:hint="eastAsia" w:eastAsia="仿宋_GB2312"/>
        </w:rPr>
        <w:t>新疆生产建设兵团第十四师224团境内</w:t>
      </w:r>
      <w:r>
        <w:rPr>
          <w:rFonts w:eastAsia="仿宋_GB2312"/>
        </w:rPr>
        <w:t>，根据《全国水土保持规划国家级水土流失重点预防区和重点治理区复核划分成果》，</w:t>
      </w:r>
      <w:r>
        <w:rPr>
          <w:rFonts w:hint="eastAsia" w:eastAsia="仿宋_GB2312"/>
        </w:rPr>
        <w:t>第十四师224团（按墨玉县考虑）</w:t>
      </w:r>
      <w:r>
        <w:rPr>
          <w:rFonts w:eastAsia="仿宋_GB2312"/>
        </w:rPr>
        <w:t>属于塔里木河国家级水土流失重点预防区。根据《新疆生产建设兵团水土保持规划（2015-2030）》，</w:t>
      </w:r>
      <w:r>
        <w:rPr>
          <w:rFonts w:hint="eastAsia" w:eastAsia="仿宋_GB2312"/>
        </w:rPr>
        <w:t>第十四师224团</w:t>
      </w:r>
      <w:r>
        <w:rPr>
          <w:rFonts w:eastAsia="仿宋_GB2312"/>
        </w:rPr>
        <w:t>属于</w:t>
      </w:r>
      <w:r>
        <w:rPr>
          <w:rFonts w:hint="eastAsia" w:eastAsia="仿宋_GB2312"/>
        </w:rPr>
        <w:t>塔里木河流域兵团级水土流失重点治理区</w:t>
      </w:r>
      <w:r>
        <w:rPr>
          <w:rFonts w:eastAsia="仿宋_GB2312"/>
        </w:rPr>
        <w:t>。按照《生产建设项目水土流失防治标准》（GB/T50434-2018）</w:t>
      </w:r>
      <w:r>
        <w:rPr>
          <w:rFonts w:hint="eastAsia" w:eastAsia="仿宋_GB2312"/>
        </w:rPr>
        <w:t>及《全国水土保持区划（试行）》</w:t>
      </w:r>
      <w:r>
        <w:rPr>
          <w:rFonts w:eastAsia="仿宋_GB2312"/>
        </w:rPr>
        <w:t>的基本要求和规定，本工程水土流失防治执行北方风沙区建设类一级防治标准</w:t>
      </w:r>
      <w:r>
        <w:rPr>
          <w:rFonts w:hint="eastAsia" w:eastAsia="仿宋_GB2312"/>
        </w:rPr>
        <w:t>。主体工程通过优化工程布局、建设方案、施工工艺，尽量减少扰动地表和破坏植被范围，减少工程土石方数量。</w:t>
      </w:r>
    </w:p>
    <w:p>
      <w:pPr>
        <w:ind w:firstLine="480"/>
        <w:rPr>
          <w:rFonts w:eastAsia="仿宋_GB2312"/>
        </w:rPr>
      </w:pPr>
      <w:r>
        <w:rPr>
          <w:rFonts w:hint="eastAsia" w:eastAsia="仿宋_GB2312"/>
        </w:rPr>
        <w:t>本工程属线型建设项目，但土方挖方相对较小，建设场地的布置方式、工程占地、施工总体布局、施工组织、施工工艺和方法等的选择合理，不仅有利于经济、高效和施工方便，而且有利于开挖工程量，减少施工扰动原地貌和植被面积，减轻人为水土流失。</w:t>
      </w:r>
    </w:p>
    <w:p>
      <w:pPr>
        <w:ind w:firstLine="480"/>
        <w:rPr>
          <w:rFonts w:eastAsia="仿宋_GB2312"/>
        </w:rPr>
      </w:pPr>
      <w:r>
        <w:rPr>
          <w:rFonts w:hint="eastAsia" w:eastAsia="仿宋_GB2312"/>
        </w:rPr>
        <w:t>工程周边交通极为便利，均有已建城镇乡村道路通往本项目建设区施工场地。</w:t>
      </w:r>
    </w:p>
    <w:p>
      <w:pPr>
        <w:ind w:firstLine="480"/>
        <w:rPr>
          <w:rFonts w:eastAsia="仿宋_GB2312"/>
        </w:rPr>
      </w:pPr>
      <w:r>
        <w:rPr>
          <w:rFonts w:hint="eastAsia" w:eastAsia="仿宋_GB2312"/>
        </w:rPr>
        <w:t>通过咨询当地水行政主管部门，工程选址区域内不存在泥石流易发区、崩塌滑坡危险区，也不存在引起严重水土流失和生态恶化的区域；同时，工程选址范围内无全国水土保持监测网络中的水土保持监测站点、重点试验站以及国家确定的水土保持长期定位观测站。</w:t>
      </w:r>
    </w:p>
    <w:p>
      <w:pPr>
        <w:ind w:firstLine="480"/>
        <w:rPr>
          <w:rFonts w:eastAsia="仿宋_GB2312"/>
        </w:rPr>
      </w:pPr>
      <w:r>
        <w:rPr>
          <w:rFonts w:hint="eastAsia" w:eastAsia="仿宋_GB2312"/>
        </w:rPr>
        <w:t>综上所述，主体工程选址不存在制约性因素和限制性因素。项目总体布局不仅减少了工程占地及土石方开挖量，对施工迹地采取一定的整治措施，有效地减少项目区的水土流失，尽量将工程占地的不利影响减少到最低程度，项目建设方案与布局不存在水土保持制约性因素。</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bookmarkStart w:id="197" w:name="_Toc268853477"/>
      <w:bookmarkStart w:id="198" w:name="_Toc259890504"/>
      <w:bookmarkStart w:id="199" w:name="_Toc249515085"/>
      <w:bookmarkStart w:id="200" w:name="_Toc272768026"/>
      <w:r>
        <w:rPr>
          <w:rFonts w:eastAsia="仿宋_GB2312"/>
        </w:rPr>
        <w:t>工程占地评价</w:t>
      </w:r>
      <w:bookmarkEnd w:id="197"/>
      <w:bookmarkEnd w:id="198"/>
      <w:bookmarkEnd w:id="199"/>
      <w:bookmarkEnd w:id="200"/>
    </w:p>
    <w:p>
      <w:pPr>
        <w:ind w:firstLine="480"/>
        <w:rPr>
          <w:rFonts w:eastAsia="仿宋_GB2312"/>
        </w:rPr>
      </w:pPr>
      <w:r>
        <w:rPr>
          <w:rFonts w:hint="eastAsia" w:eastAsia="仿宋_GB2312"/>
        </w:rPr>
        <w:t>项目区位于冲洪积平原区，建设区地势相对较为平坦，总体南高北低。本项目建设区2.88</w:t>
      </w:r>
      <w:r>
        <w:rPr>
          <w:rFonts w:eastAsia="仿宋_GB2312"/>
        </w:rPr>
        <w:t>hm²</w:t>
      </w:r>
      <w:r>
        <w:rPr>
          <w:rFonts w:hint="eastAsia" w:eastAsia="仿宋_GB2312"/>
        </w:rPr>
        <w:t>，其中永久占地0.17</w:t>
      </w:r>
      <w:r>
        <w:rPr>
          <w:rFonts w:eastAsia="仿宋_GB2312"/>
        </w:rPr>
        <w:t>hm²</w:t>
      </w:r>
      <w:r>
        <w:rPr>
          <w:rFonts w:hint="eastAsia" w:eastAsia="仿宋_GB2312"/>
        </w:rPr>
        <w:t>，临时占地2.71</w:t>
      </w:r>
      <w:r>
        <w:rPr>
          <w:rFonts w:eastAsia="仿宋_GB2312"/>
        </w:rPr>
        <w:t>hm²</w:t>
      </w:r>
      <w:r>
        <w:rPr>
          <w:rFonts w:hint="eastAsia" w:eastAsia="仿宋_GB2312"/>
        </w:rPr>
        <w:t>。土地利用类型为建设用地，占地符合《生产建设项目水土保持技术标准》的相关规定，不占用基本农田等生产力较高的土地，有利于保护水土资源。</w:t>
      </w:r>
    </w:p>
    <w:p>
      <w:pPr>
        <w:ind w:firstLine="480"/>
        <w:rPr>
          <w:rFonts w:eastAsia="仿宋_GB2312"/>
        </w:rPr>
      </w:pPr>
      <w:r>
        <w:rPr>
          <w:rFonts w:hint="eastAsia" w:eastAsia="仿宋_GB2312"/>
        </w:rPr>
        <w:t>占地性质分析：本工程占地除阀井为永久占地外，其余均为临时占地。项目建设工程中对施工作业带两侧实施限界措施，禁止机械和人为活动对周边地表产生扰动破坏，对管沟开挖临时堆土根据施工工序临时堆放在管沟一侧并采取苫盖措施，管道施工结束后回填基础开挖土方，符合水土保持要求，控制了新增施工占地扰动、减少了水土流失范围。</w:t>
      </w:r>
    </w:p>
    <w:p>
      <w:pPr>
        <w:ind w:firstLine="480"/>
        <w:rPr>
          <w:rFonts w:eastAsia="仿宋_GB2312"/>
        </w:rPr>
      </w:pPr>
      <w:r>
        <w:rPr>
          <w:rFonts w:hint="eastAsia" w:eastAsia="仿宋_GB2312"/>
        </w:rPr>
        <w:t>占地面积分析：根据主体设计资料，本工程占地2.88</w:t>
      </w:r>
      <w:r>
        <w:rPr>
          <w:rFonts w:eastAsia="仿宋_GB2312"/>
        </w:rPr>
        <w:t>hm²</w:t>
      </w:r>
      <w:r>
        <w:rPr>
          <w:rFonts w:hint="eastAsia" w:eastAsia="仿宋_GB2312"/>
        </w:rPr>
        <w:t>，在施工过程中减少了工程占地面积、缩短了施工工期、降低了对项目区生态环境的扰动和破坏。从水土保持角度考虑，主体工程占地合理，符合水土保持要求。</w:t>
      </w:r>
    </w:p>
    <w:p>
      <w:pPr>
        <w:ind w:firstLine="480"/>
        <w:rPr>
          <w:rFonts w:eastAsia="仿宋_GB2312"/>
        </w:rPr>
      </w:pPr>
      <w:r>
        <w:rPr>
          <w:rFonts w:hint="eastAsia" w:eastAsia="仿宋_GB2312"/>
        </w:rPr>
        <w:t>占地可恢复性分析：由于本项目占用的是建设用地，施工作业区大部分为硬化道路，因此本项目不采取植物措施，但施工结束后需对施工区域进行土地平整。</w:t>
      </w:r>
    </w:p>
    <w:p>
      <w:pPr>
        <w:ind w:firstLine="480"/>
        <w:rPr>
          <w:rFonts w:eastAsia="仿宋_GB2312"/>
          <w:color w:val="FF0000"/>
        </w:rPr>
      </w:pPr>
      <w:r>
        <w:rPr>
          <w:rFonts w:hint="eastAsia" w:eastAsia="仿宋_GB2312"/>
        </w:rPr>
        <w:t>综上所述，本方案占地面积合理，场地利用系数较高，达到行业占地规模要求，无乱占多占现象，无遗漏占地等情况，总体符合水土保持要求。在下阶段的详细设计工作中，还需对各功能分区进一步优化，更加集约和高效使用土地，施工过程中应当严格控制扰动面积。</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土石方平衡评价</w:t>
      </w:r>
    </w:p>
    <w:p>
      <w:pPr>
        <w:ind w:firstLine="480"/>
        <w:rPr>
          <w:rFonts w:eastAsia="仿宋_GB2312"/>
        </w:rPr>
      </w:pPr>
      <w:r>
        <w:rPr>
          <w:rFonts w:eastAsia="仿宋_GB2312"/>
        </w:rPr>
        <w:t>土石方工程主要集中在施工期。建设工程中土石方主要来源于</w:t>
      </w:r>
      <w:r>
        <w:rPr>
          <w:rFonts w:hint="eastAsia" w:eastAsia="仿宋_GB2312"/>
        </w:rPr>
        <w:t>建筑物</w:t>
      </w:r>
      <w:r>
        <w:rPr>
          <w:rFonts w:eastAsia="仿宋_GB2312"/>
        </w:rPr>
        <w:t>基础开挖回填</w:t>
      </w:r>
      <w:r>
        <w:rPr>
          <w:rFonts w:hint="eastAsia" w:eastAsia="仿宋_GB2312"/>
        </w:rPr>
        <w:t>、管沟开挖回填、场地平整</w:t>
      </w:r>
      <w:r>
        <w:rPr>
          <w:rFonts w:eastAsia="仿宋_GB2312"/>
        </w:rPr>
        <w:t>等。本工程开挖总量为</w:t>
      </w:r>
      <w:r>
        <w:rPr>
          <w:rFonts w:hint="eastAsia" w:eastAsia="仿宋_GB2312"/>
        </w:rPr>
        <w:t>1.9万</w:t>
      </w:r>
      <w:r>
        <w:rPr>
          <w:rFonts w:eastAsia="仿宋_GB2312"/>
        </w:rPr>
        <w:t>m</w:t>
      </w:r>
      <w:r>
        <w:rPr>
          <w:rFonts w:eastAsia="仿宋_GB2312"/>
          <w:vertAlign w:val="superscript"/>
        </w:rPr>
        <w:t>3</w:t>
      </w:r>
      <w:r>
        <w:rPr>
          <w:rFonts w:eastAsia="仿宋_GB2312"/>
        </w:rPr>
        <w:t>，土方填筑总量为</w:t>
      </w:r>
      <w:r>
        <w:rPr>
          <w:rFonts w:hint="eastAsia" w:eastAsia="仿宋_GB2312"/>
        </w:rPr>
        <w:t>1.9万</w:t>
      </w:r>
      <w:r>
        <w:rPr>
          <w:rFonts w:eastAsia="仿宋_GB2312"/>
        </w:rPr>
        <w:t>m</w:t>
      </w:r>
      <w:r>
        <w:rPr>
          <w:rFonts w:eastAsia="仿宋_GB2312"/>
          <w:vertAlign w:val="superscript"/>
        </w:rPr>
        <w:t>3</w:t>
      </w:r>
      <w:r>
        <w:rPr>
          <w:rFonts w:hint="eastAsia" w:eastAsia="仿宋_GB2312"/>
        </w:rPr>
        <w:t>，开挖土方通过内部调运大部分土方回填利用，剩余土方平摊至施工范围内</w:t>
      </w:r>
      <w:r>
        <w:rPr>
          <w:rFonts w:eastAsia="仿宋_GB2312"/>
        </w:rPr>
        <w:t>，</w:t>
      </w:r>
      <w:r>
        <w:rPr>
          <w:rFonts w:hint="eastAsia" w:eastAsia="仿宋_GB2312"/>
        </w:rPr>
        <w:t>无外借，无永久弃渣</w:t>
      </w:r>
      <w:r>
        <w:rPr>
          <w:rFonts w:eastAsia="仿宋_GB2312"/>
        </w:rPr>
        <w:t>。不需设置专门的永久弃渣场，从总量上看，整个项目建设区土石方配置合理</w:t>
      </w:r>
      <w:r>
        <w:rPr>
          <w:rFonts w:hint="eastAsia" w:eastAsia="仿宋_GB2312"/>
        </w:rPr>
        <w:t>，无遗漏情况</w:t>
      </w:r>
      <w:r>
        <w:rPr>
          <w:rFonts w:eastAsia="仿宋_GB2312"/>
        </w:rPr>
        <w:t>。</w:t>
      </w:r>
      <w:r>
        <w:rPr>
          <w:rFonts w:hint="eastAsia" w:eastAsia="仿宋_GB2312"/>
          <w:color w:val="000000"/>
        </w:rPr>
        <w:t>本项目仅有少量路面拆除垃圾运至垃圾场处理。</w:t>
      </w:r>
    </w:p>
    <w:p>
      <w:pPr>
        <w:ind w:firstLine="480"/>
        <w:rPr>
          <w:rFonts w:eastAsia="仿宋_GB2312"/>
        </w:rPr>
      </w:pPr>
      <w:r>
        <w:rPr>
          <w:rFonts w:eastAsia="仿宋_GB2312"/>
        </w:rPr>
        <w:t>场地平整和管沟开挖时采取移挖作填的方式进行平整，</w:t>
      </w:r>
      <w:r>
        <w:rPr>
          <w:rFonts w:hint="eastAsia" w:eastAsia="仿宋_GB2312"/>
        </w:rPr>
        <w:t>各阀井基础开挖土方临时堆放在基础四周，并设置苫盖措施减少流失量</w:t>
      </w:r>
      <w:r>
        <w:rPr>
          <w:rFonts w:eastAsia="仿宋_GB2312"/>
        </w:rPr>
        <w:t>，基础施工结束将工程区开挖土石方就地回填于开挖区及</w:t>
      </w:r>
      <w:r>
        <w:rPr>
          <w:rFonts w:hint="eastAsia" w:eastAsia="仿宋_GB2312"/>
        </w:rPr>
        <w:t>占地范围内平摊</w:t>
      </w:r>
      <w:r>
        <w:rPr>
          <w:rFonts w:eastAsia="仿宋_GB2312"/>
        </w:rPr>
        <w:t>使用</w:t>
      </w:r>
      <w:r>
        <w:rPr>
          <w:rFonts w:hint="eastAsia" w:eastAsia="仿宋_GB2312"/>
        </w:rPr>
        <w:t>。</w:t>
      </w:r>
      <w:r>
        <w:rPr>
          <w:rFonts w:eastAsia="仿宋_GB2312"/>
        </w:rPr>
        <w:t>管沟开挖</w:t>
      </w:r>
      <w:r>
        <w:rPr>
          <w:rFonts w:hint="eastAsia" w:eastAsia="仿宋_GB2312"/>
        </w:rPr>
        <w:t>的土方</w:t>
      </w:r>
      <w:r>
        <w:rPr>
          <w:rFonts w:eastAsia="仿宋_GB2312"/>
        </w:rPr>
        <w:t>，堆置在施工作业带一侧，随挖随填，能有效缩短松散土体裸露堆放时间，减少水土流失量，符合水土保持要求。</w:t>
      </w:r>
    </w:p>
    <w:p>
      <w:pPr>
        <w:ind w:firstLine="480"/>
        <w:rPr>
          <w:rFonts w:eastAsia="仿宋_GB2312"/>
        </w:rPr>
      </w:pPr>
      <w:r>
        <w:rPr>
          <w:rFonts w:hint="eastAsia" w:eastAsia="仿宋_GB2312"/>
        </w:rPr>
        <w:t>本工程所在区主要占用的是建设用地，地表土壤有机质含量较低不适合植被正常生长，故不适宜采取表土剥离措施。</w:t>
      </w:r>
    </w:p>
    <w:p>
      <w:pPr>
        <w:ind w:firstLine="480"/>
        <w:rPr>
          <w:rFonts w:eastAsia="仿宋_GB2312"/>
        </w:rPr>
      </w:pPr>
      <w:r>
        <w:rPr>
          <w:rFonts w:hint="eastAsia" w:eastAsia="仿宋_GB2312"/>
        </w:rPr>
        <w:t>综上所述，本工程挖填土石方来源及去向明确，土石方利用和调配合理、有序；土石方组成符合要求，运距合理，回填措施，符合水土保持和生态建设的要求。因项目区常年多风易产生水土流失，为此，应加强施工过程中的临时拦挡措施。本工程土方开挖回填均较为合理，没有二次调运，减少了由于土方调运造成的水土流失，通过本方案补充的水保措施可以有效减少工程建设过程中造成的水土流失。</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取土（石、砂）场设置评价</w:t>
      </w:r>
    </w:p>
    <w:p>
      <w:pPr>
        <w:ind w:firstLine="480"/>
        <w:rPr>
          <w:rFonts w:eastAsia="仿宋_GB2312"/>
        </w:rPr>
      </w:pPr>
      <w:r>
        <w:rPr>
          <w:rFonts w:hint="eastAsia" w:eastAsia="仿宋_GB2312"/>
        </w:rPr>
        <w:t>本工程不设取土场，建设所需的砂石料均从正规料场外购，施工单位在购买砂、石料时必须选择经过当地水行政部门批准核发、具有土石料开采资证的料场，并在购销合同中明确由供料方承担取料和运输过程中的水土流失防治责任。</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弃土（石、渣、灰、矸石、尾矿）场设置评价</w:t>
      </w:r>
    </w:p>
    <w:bookmarkEnd w:id="194"/>
    <w:bookmarkEnd w:id="195"/>
    <w:bookmarkEnd w:id="196"/>
    <w:p>
      <w:pPr>
        <w:ind w:firstLine="480"/>
        <w:rPr>
          <w:rFonts w:eastAsia="仿宋_GB2312"/>
          <w:color w:val="000000"/>
        </w:rPr>
      </w:pPr>
      <w:bookmarkStart w:id="201" w:name="_Toc249515087"/>
      <w:bookmarkStart w:id="202" w:name="_Toc259890506"/>
      <w:bookmarkStart w:id="203" w:name="_Toc268853479"/>
      <w:bookmarkStart w:id="204" w:name="_Toc272768028"/>
      <w:r>
        <w:rPr>
          <w:rFonts w:eastAsia="仿宋_GB2312"/>
        </w:rPr>
        <w:t>本项目不涉及弃渣场，项目建设期土方主要来源于各建构筑物基础开挖与回填</w:t>
      </w:r>
      <w:r>
        <w:rPr>
          <w:rFonts w:hint="eastAsia" w:eastAsia="仿宋_GB2312"/>
        </w:rPr>
        <w:t>、管沟开挖回填、场地平整</w:t>
      </w:r>
      <w:r>
        <w:rPr>
          <w:rFonts w:eastAsia="仿宋_GB2312"/>
        </w:rPr>
        <w:t>，通过合理调配利用，土方均回用于建设区，无弃方。</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施工方法与工艺评价</w:t>
      </w:r>
      <w:bookmarkEnd w:id="201"/>
      <w:bookmarkEnd w:id="202"/>
      <w:bookmarkEnd w:id="203"/>
      <w:bookmarkEnd w:id="204"/>
    </w:p>
    <w:p>
      <w:pPr>
        <w:ind w:firstLine="480"/>
        <w:rPr>
          <w:rFonts w:eastAsia="仿宋_GB2312"/>
        </w:rPr>
      </w:pPr>
      <w:r>
        <w:rPr>
          <w:rFonts w:eastAsia="仿宋_GB2312"/>
        </w:rPr>
        <w:t>一、施工布置分析</w:t>
      </w:r>
    </w:p>
    <w:p>
      <w:pPr>
        <w:ind w:firstLine="480"/>
        <w:rPr>
          <w:rFonts w:eastAsia="仿宋_GB2312"/>
        </w:rPr>
      </w:pPr>
      <w:r>
        <w:rPr>
          <w:rFonts w:eastAsia="仿宋_GB2312"/>
        </w:rPr>
        <w:t>1、施工营地</w:t>
      </w:r>
    </w:p>
    <w:p>
      <w:pPr>
        <w:ind w:firstLine="480"/>
        <w:rPr>
          <w:rFonts w:eastAsia="仿宋_GB2312"/>
        </w:rPr>
      </w:pPr>
      <w:r>
        <w:rPr>
          <w:rFonts w:eastAsia="仿宋_GB2312"/>
        </w:rPr>
        <w:t>本项目建设施工营地均</w:t>
      </w:r>
      <w:r>
        <w:rPr>
          <w:rFonts w:hint="eastAsia" w:eastAsia="仿宋_GB2312"/>
        </w:rPr>
        <w:t>租用当地民宅</w:t>
      </w:r>
      <w:r>
        <w:rPr>
          <w:rFonts w:eastAsia="仿宋_GB2312"/>
        </w:rPr>
        <w:t>，不</w:t>
      </w:r>
      <w:r>
        <w:rPr>
          <w:rFonts w:hint="eastAsia" w:eastAsia="仿宋_GB2312"/>
        </w:rPr>
        <w:t>再项目区外</w:t>
      </w:r>
      <w:r>
        <w:rPr>
          <w:rFonts w:eastAsia="仿宋_GB2312"/>
        </w:rPr>
        <w:t>新增施工营地，符合少占地的要求。</w:t>
      </w:r>
    </w:p>
    <w:p>
      <w:pPr>
        <w:ind w:firstLine="480"/>
        <w:rPr>
          <w:rFonts w:eastAsia="仿宋_GB2312"/>
        </w:rPr>
      </w:pPr>
      <w:r>
        <w:rPr>
          <w:rFonts w:eastAsia="仿宋_GB2312"/>
        </w:rPr>
        <w:t>2、施工材料</w:t>
      </w:r>
    </w:p>
    <w:p>
      <w:pPr>
        <w:ind w:firstLine="480"/>
        <w:rPr>
          <w:rFonts w:eastAsia="仿宋_GB2312"/>
        </w:rPr>
      </w:pPr>
      <w:r>
        <w:rPr>
          <w:rFonts w:eastAsia="仿宋_GB2312"/>
        </w:rPr>
        <w:t>该项目建设施工所需材料均从当地购置，施工所需的砂砾料均从具有正规生产许可证的厂家购买，不存在乱挖砂、取土和石料的情况，符合水土保持要求。</w:t>
      </w:r>
    </w:p>
    <w:p>
      <w:pPr>
        <w:ind w:firstLine="480"/>
        <w:rPr>
          <w:rFonts w:eastAsia="仿宋_GB2312"/>
        </w:rPr>
      </w:pPr>
      <w:r>
        <w:rPr>
          <w:rFonts w:hint="eastAsia" w:eastAsia="仿宋_GB2312"/>
        </w:rPr>
        <w:t>三、施工工艺分析</w:t>
      </w:r>
    </w:p>
    <w:p>
      <w:pPr>
        <w:ind w:firstLine="480"/>
        <w:rPr>
          <w:rFonts w:eastAsia="仿宋_GB2312"/>
        </w:rPr>
      </w:pPr>
      <w:r>
        <w:rPr>
          <w:rFonts w:eastAsia="仿宋_GB2312"/>
        </w:rPr>
        <w:t>管沟敷设施工工艺：主体工程设计采取分段施工，沟槽开挖以机械为主，辅以人工开挖，管沟断面形式采用梯形，沟底宽度根据管径、土质、施工方法等确定。管沟</w:t>
      </w:r>
      <w:r>
        <w:rPr>
          <w:rFonts w:hint="eastAsia" w:eastAsia="仿宋_GB2312"/>
        </w:rPr>
        <w:t>开挖土方临时</w:t>
      </w:r>
      <w:r>
        <w:rPr>
          <w:rFonts w:eastAsia="仿宋_GB2312"/>
        </w:rPr>
        <w:t>堆置在施工作业带一侧</w:t>
      </w:r>
      <w:r>
        <w:rPr>
          <w:rFonts w:hint="eastAsia" w:eastAsia="仿宋_GB2312"/>
        </w:rPr>
        <w:t>并采取防护措施</w:t>
      </w:r>
      <w:r>
        <w:rPr>
          <w:rFonts w:eastAsia="仿宋_GB2312"/>
        </w:rPr>
        <w:t>，</w:t>
      </w:r>
      <w:r>
        <w:rPr>
          <w:rFonts w:hint="eastAsia" w:eastAsia="仿宋_GB2312"/>
        </w:rPr>
        <w:t>施工结束后立即回填</w:t>
      </w:r>
      <w:r>
        <w:rPr>
          <w:rFonts w:eastAsia="仿宋_GB2312"/>
        </w:rPr>
        <w:t>，符合水土保持的要求。</w:t>
      </w:r>
    </w:p>
    <w:p>
      <w:pPr>
        <w:ind w:firstLine="480"/>
        <w:rPr>
          <w:rFonts w:eastAsia="仿宋_GB2312"/>
        </w:rPr>
      </w:pPr>
      <w:r>
        <w:rPr>
          <w:rFonts w:hint="eastAsia" w:eastAsia="仿宋_GB2312"/>
        </w:rPr>
        <w:t>管道附属构筑物施工工艺：本项目管道附属建筑物施工分散，</w:t>
      </w:r>
      <w:r>
        <w:rPr>
          <w:rFonts w:eastAsia="仿宋_GB2312"/>
        </w:rPr>
        <w:t>主体工程设计</w:t>
      </w:r>
      <w:r>
        <w:rPr>
          <w:rFonts w:hint="eastAsia" w:eastAsia="仿宋_GB2312"/>
        </w:rPr>
        <w:t>构筑物施工可与管道施工同步进行，附属建筑物基础开挖的土方施工期间临时</w:t>
      </w:r>
      <w:r>
        <w:rPr>
          <w:rFonts w:eastAsia="仿宋_GB2312"/>
        </w:rPr>
        <w:t>堆置在</w:t>
      </w:r>
      <w:r>
        <w:rPr>
          <w:rFonts w:hint="eastAsia" w:eastAsia="仿宋_GB2312"/>
        </w:rPr>
        <w:t>基础四周并采取防护措施</w:t>
      </w:r>
      <w:r>
        <w:rPr>
          <w:rFonts w:eastAsia="仿宋_GB2312"/>
        </w:rPr>
        <w:t>，</w:t>
      </w:r>
      <w:r>
        <w:rPr>
          <w:rFonts w:hint="eastAsia" w:eastAsia="仿宋_GB2312"/>
        </w:rPr>
        <w:t>施工结束后立即回填</w:t>
      </w:r>
      <w:r>
        <w:rPr>
          <w:rFonts w:eastAsia="仿宋_GB2312"/>
        </w:rPr>
        <w:t>，符合水土保持的要求。</w:t>
      </w:r>
    </w:p>
    <w:p>
      <w:pPr>
        <w:ind w:firstLine="480"/>
        <w:rPr>
          <w:rFonts w:eastAsia="仿宋_GB2312"/>
        </w:rPr>
      </w:pPr>
      <w:r>
        <w:rPr>
          <w:rFonts w:hint="eastAsia" w:eastAsia="仿宋_GB2312"/>
        </w:rPr>
        <w:t>四</w:t>
      </w:r>
      <w:r>
        <w:rPr>
          <w:rFonts w:eastAsia="仿宋_GB2312"/>
        </w:rPr>
        <w:t>、施工时序分析</w:t>
      </w:r>
    </w:p>
    <w:p>
      <w:pPr>
        <w:ind w:firstLine="480"/>
        <w:rPr>
          <w:rFonts w:eastAsia="仿宋_GB2312"/>
        </w:rPr>
      </w:pPr>
      <w:r>
        <w:rPr>
          <w:rFonts w:eastAsia="仿宋_GB2312"/>
        </w:rPr>
        <w:t>主体工程设计中要求土方开挖、回填等对水土流失影响较大的工程避开大雨、大风天气，当必须施工时，采取适当的临时措施防治水土流失，符合水土流失防治要求。</w:t>
      </w:r>
    </w:p>
    <w:p>
      <w:pPr>
        <w:ind w:firstLine="480"/>
      </w:pPr>
      <w:r>
        <w:rPr>
          <w:rFonts w:eastAsia="仿宋_GB2312"/>
        </w:rPr>
        <w:t>总体来看，工程施工工艺基本合理，通过加强临时防护和施工组织设计优化，能够减少新增水土流失。</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主体工程设计中具有水土保持功能工程的评价</w:t>
      </w:r>
    </w:p>
    <w:p>
      <w:pPr>
        <w:ind w:firstLine="480"/>
        <w:rPr>
          <w:rFonts w:eastAsia="仿宋_GB2312"/>
        </w:rPr>
      </w:pPr>
      <w:r>
        <w:rPr>
          <w:rFonts w:eastAsia="仿宋_GB2312"/>
        </w:rPr>
        <w:t>根据主体设计，本项目建设过程中设计的具有水土保持功能的措施主要有</w:t>
      </w:r>
      <w:r>
        <w:rPr>
          <w:rFonts w:hint="eastAsia" w:eastAsia="仿宋_GB2312"/>
        </w:rPr>
        <w:t>土地平整</w:t>
      </w:r>
      <w:r>
        <w:rPr>
          <w:rFonts w:eastAsia="仿宋_GB2312"/>
        </w:rPr>
        <w:t>措施。</w:t>
      </w:r>
    </w:p>
    <w:p>
      <w:pPr>
        <w:ind w:firstLine="480"/>
        <w:rPr>
          <w:rFonts w:eastAsia="仿宋_GB2312"/>
        </w:rPr>
      </w:pPr>
      <w:r>
        <w:rPr>
          <w:rFonts w:eastAsia="仿宋_GB2312"/>
        </w:rPr>
        <w:t>以上措施对防治项目区水土流失具有一定效果但尚不能形成完善的防治体系，根据项目建设特征，并咨询相关专家，对项目建设过程中需要补充完善的水土流失防治措施分述如下。</w:t>
      </w:r>
    </w:p>
    <w:p>
      <w:pPr>
        <w:pStyle w:val="5"/>
      </w:pPr>
      <w:r>
        <w:rPr>
          <w:rFonts w:hint="eastAsia"/>
        </w:rPr>
        <w:t>管道工程区</w:t>
      </w:r>
    </w:p>
    <w:p>
      <w:pPr>
        <w:ind w:firstLine="480"/>
        <w:rPr>
          <w:rFonts w:eastAsia="仿宋_GB2312"/>
        </w:rPr>
      </w:pPr>
      <w:r>
        <w:rPr>
          <w:rFonts w:hint="eastAsia" w:eastAsia="仿宋_GB2312"/>
        </w:rPr>
        <w:t>（一）</w:t>
      </w:r>
      <w:r>
        <w:rPr>
          <w:rFonts w:eastAsia="仿宋_GB2312"/>
        </w:rPr>
        <w:t>主体工程设计的水土保持措施</w:t>
      </w:r>
    </w:p>
    <w:p>
      <w:pPr>
        <w:ind w:firstLine="480"/>
        <w:rPr>
          <w:rFonts w:eastAsia="仿宋_GB2312"/>
        </w:rPr>
      </w:pPr>
      <w:r>
        <w:rPr>
          <w:rFonts w:eastAsia="仿宋_GB2312"/>
        </w:rPr>
        <w:t>1、</w:t>
      </w:r>
      <w:r>
        <w:rPr>
          <w:rFonts w:hint="eastAsia" w:eastAsia="仿宋_GB2312"/>
        </w:rPr>
        <w:t>土地平整</w:t>
      </w:r>
    </w:p>
    <w:p>
      <w:pPr>
        <w:ind w:firstLine="480"/>
        <w:rPr>
          <w:rFonts w:eastAsia="仿宋_GB2312"/>
        </w:rPr>
      </w:pPr>
      <w:r>
        <w:rPr>
          <w:rFonts w:eastAsia="仿宋_GB2312"/>
        </w:rPr>
        <w:t>主体设计在</w:t>
      </w:r>
      <w:r>
        <w:rPr>
          <w:rFonts w:hint="eastAsia" w:eastAsia="仿宋_GB2312"/>
        </w:rPr>
        <w:t>本区施工</w:t>
      </w:r>
      <w:r>
        <w:rPr>
          <w:rFonts w:eastAsia="仿宋_GB2312"/>
        </w:rPr>
        <w:t>结束之后，由施工单位对施工场地进行</w:t>
      </w:r>
      <w:r>
        <w:rPr>
          <w:rFonts w:hint="eastAsia" w:eastAsia="仿宋_GB2312"/>
        </w:rPr>
        <w:t>土地</w:t>
      </w:r>
      <w:r>
        <w:rPr>
          <w:rFonts w:eastAsia="仿宋_GB2312"/>
        </w:rPr>
        <w:t>平整</w:t>
      </w:r>
      <w:r>
        <w:rPr>
          <w:rFonts w:hint="eastAsia" w:eastAsia="仿宋_GB2312"/>
        </w:rPr>
        <w:t>，土地平整面积</w:t>
      </w:r>
      <w:r>
        <w:rPr>
          <w:rFonts w:eastAsia="仿宋_GB2312"/>
        </w:rPr>
        <w:t>共计</w:t>
      </w:r>
      <w:r>
        <w:rPr>
          <w:rFonts w:hint="eastAsia" w:eastAsia="仿宋_GB2312"/>
        </w:rPr>
        <w:t>1.81h</w:t>
      </w:r>
      <w:r>
        <w:rPr>
          <w:rFonts w:eastAsia="仿宋_GB2312"/>
        </w:rPr>
        <w:t>m</w:t>
      </w:r>
      <w:r>
        <w:rPr>
          <w:rFonts w:eastAsia="仿宋_GB2312"/>
          <w:vertAlign w:val="superscript"/>
        </w:rPr>
        <w:t>2</w:t>
      </w:r>
      <w:r>
        <w:rPr>
          <w:rFonts w:eastAsia="仿宋_GB2312"/>
        </w:rPr>
        <w:t>。</w:t>
      </w:r>
    </w:p>
    <w:p>
      <w:pPr>
        <w:ind w:firstLine="480"/>
      </w:pPr>
      <w:r>
        <w:rPr>
          <w:rFonts w:hint="eastAsia" w:eastAsia="仿宋_GB2312"/>
        </w:rPr>
        <w:t>（二）</w:t>
      </w:r>
      <w:r>
        <w:rPr>
          <w:rFonts w:eastAsia="仿宋_GB2312"/>
        </w:rPr>
        <w:t>需要补充完善的水土保持措施</w:t>
      </w:r>
    </w:p>
    <w:p>
      <w:pPr>
        <w:ind w:firstLine="480"/>
        <w:rPr>
          <w:rFonts w:eastAsia="仿宋_GB2312"/>
        </w:rPr>
      </w:pPr>
      <w:r>
        <w:rPr>
          <w:rFonts w:hint="eastAsia" w:eastAsia="仿宋_GB2312"/>
        </w:rPr>
        <w:t>方案设计</w:t>
      </w:r>
      <w:r>
        <w:rPr>
          <w:rFonts w:eastAsia="仿宋_GB2312"/>
        </w:rPr>
        <w:t>在施工</w:t>
      </w:r>
      <w:r>
        <w:rPr>
          <w:rFonts w:hint="eastAsia" w:eastAsia="仿宋_GB2312"/>
        </w:rPr>
        <w:t>作业带两侧</w:t>
      </w:r>
      <w:r>
        <w:rPr>
          <w:rFonts w:eastAsia="仿宋_GB2312"/>
        </w:rPr>
        <w:t>设置</w:t>
      </w:r>
      <w:r>
        <w:rPr>
          <w:rFonts w:hint="eastAsia" w:eastAsia="仿宋_GB2312"/>
        </w:rPr>
        <w:t>彩条旗限界措施；施工期间对管沟开挖土方临时堆放在管沟一侧，为减少堆置期间水土流失，</w:t>
      </w:r>
      <w:r>
        <w:rPr>
          <w:rFonts w:eastAsia="仿宋_GB2312"/>
        </w:rPr>
        <w:t>对</w:t>
      </w:r>
      <w:r>
        <w:rPr>
          <w:rFonts w:hint="eastAsia" w:eastAsia="仿宋_GB2312"/>
        </w:rPr>
        <w:t>基础</w:t>
      </w:r>
      <w:r>
        <w:rPr>
          <w:rFonts w:eastAsia="仿宋_GB2312"/>
        </w:rPr>
        <w:t>开挖临时堆土</w:t>
      </w:r>
      <w:r>
        <w:rPr>
          <w:rFonts w:hint="eastAsia" w:eastAsia="仿宋_GB2312"/>
        </w:rPr>
        <w:t>实施</w:t>
      </w:r>
      <w:r>
        <w:rPr>
          <w:rFonts w:eastAsia="仿宋_GB2312"/>
        </w:rPr>
        <w:t>防尘网苫盖措施</w:t>
      </w:r>
      <w:r>
        <w:rPr>
          <w:rFonts w:hint="eastAsia" w:eastAsia="仿宋_GB2312"/>
        </w:rPr>
        <w:t>；在</w:t>
      </w:r>
      <w:r>
        <w:rPr>
          <w:rFonts w:eastAsia="仿宋_GB2312"/>
        </w:rPr>
        <w:t>工程建设过程中</w:t>
      </w:r>
      <w:r>
        <w:rPr>
          <w:rFonts w:hint="eastAsia" w:eastAsia="仿宋_GB2312"/>
        </w:rPr>
        <w:t>定期对场地实施</w:t>
      </w:r>
      <w:r>
        <w:rPr>
          <w:rFonts w:eastAsia="仿宋_GB2312"/>
        </w:rPr>
        <w:t>洒水措施，抑制扬尘，以防止</w:t>
      </w:r>
      <w:r>
        <w:rPr>
          <w:rFonts w:hint="eastAsia" w:eastAsia="仿宋_GB2312"/>
        </w:rPr>
        <w:t>地表扰动</w:t>
      </w:r>
      <w:r>
        <w:rPr>
          <w:rFonts w:eastAsia="仿宋_GB2312"/>
        </w:rPr>
        <w:t>产生的水土流失</w:t>
      </w:r>
      <w:r>
        <w:rPr>
          <w:rFonts w:hint="eastAsia" w:eastAsia="仿宋_GB2312"/>
        </w:rPr>
        <w:t>。</w:t>
      </w:r>
    </w:p>
    <w:p>
      <w:pPr>
        <w:pStyle w:val="5"/>
      </w:pPr>
      <w:r>
        <w:rPr>
          <w:rFonts w:hint="eastAsia"/>
        </w:rPr>
        <w:t>附属构筑物区</w:t>
      </w:r>
    </w:p>
    <w:p>
      <w:pPr>
        <w:ind w:firstLine="480"/>
        <w:rPr>
          <w:rFonts w:eastAsia="仿宋_GB2312"/>
        </w:rPr>
      </w:pPr>
      <w:r>
        <w:rPr>
          <w:rFonts w:hint="eastAsia" w:eastAsia="仿宋_GB2312"/>
        </w:rPr>
        <w:t>（一）</w:t>
      </w:r>
      <w:r>
        <w:rPr>
          <w:rFonts w:eastAsia="仿宋_GB2312"/>
        </w:rPr>
        <w:t>主体工程设计的水土保持措施</w:t>
      </w:r>
    </w:p>
    <w:p>
      <w:pPr>
        <w:ind w:firstLine="480"/>
        <w:rPr>
          <w:rFonts w:eastAsia="仿宋_GB2312"/>
        </w:rPr>
      </w:pPr>
      <w:r>
        <w:rPr>
          <w:rFonts w:eastAsia="仿宋_GB2312"/>
        </w:rPr>
        <w:t>1、</w:t>
      </w:r>
      <w:r>
        <w:rPr>
          <w:rFonts w:hint="eastAsia" w:eastAsia="仿宋_GB2312"/>
        </w:rPr>
        <w:t>土地平整</w:t>
      </w:r>
    </w:p>
    <w:p>
      <w:pPr>
        <w:ind w:firstLine="480"/>
        <w:rPr>
          <w:rFonts w:eastAsia="仿宋_GB2312"/>
        </w:rPr>
      </w:pPr>
      <w:r>
        <w:rPr>
          <w:rFonts w:eastAsia="仿宋_GB2312"/>
        </w:rPr>
        <w:t>主体设计在</w:t>
      </w:r>
      <w:r>
        <w:rPr>
          <w:rFonts w:hint="eastAsia" w:eastAsia="仿宋_GB2312"/>
        </w:rPr>
        <w:t>本区施工</w:t>
      </w:r>
      <w:r>
        <w:rPr>
          <w:rFonts w:eastAsia="仿宋_GB2312"/>
        </w:rPr>
        <w:t>结束之后，由施工单位对施工场地进行</w:t>
      </w:r>
      <w:r>
        <w:rPr>
          <w:rFonts w:hint="eastAsia" w:eastAsia="仿宋_GB2312"/>
        </w:rPr>
        <w:t>土地</w:t>
      </w:r>
      <w:r>
        <w:rPr>
          <w:rFonts w:eastAsia="仿宋_GB2312"/>
        </w:rPr>
        <w:t>平整</w:t>
      </w:r>
      <w:r>
        <w:rPr>
          <w:rFonts w:hint="eastAsia" w:eastAsia="仿宋_GB2312"/>
        </w:rPr>
        <w:t>，土地平整面积</w:t>
      </w:r>
      <w:r>
        <w:rPr>
          <w:rFonts w:eastAsia="仿宋_GB2312"/>
        </w:rPr>
        <w:t>共计</w:t>
      </w:r>
      <w:r>
        <w:rPr>
          <w:rFonts w:hint="eastAsia" w:eastAsia="仿宋_GB2312"/>
        </w:rPr>
        <w:t>0.14h</w:t>
      </w:r>
      <w:r>
        <w:rPr>
          <w:rFonts w:eastAsia="仿宋_GB2312"/>
        </w:rPr>
        <w:t>m</w:t>
      </w:r>
      <w:r>
        <w:rPr>
          <w:rFonts w:eastAsia="仿宋_GB2312"/>
          <w:vertAlign w:val="superscript"/>
        </w:rPr>
        <w:t>2</w:t>
      </w:r>
      <w:r>
        <w:rPr>
          <w:rFonts w:eastAsia="仿宋_GB2312"/>
        </w:rPr>
        <w:t>。</w:t>
      </w:r>
    </w:p>
    <w:p>
      <w:pPr>
        <w:ind w:firstLine="480"/>
      </w:pPr>
      <w:r>
        <w:rPr>
          <w:rFonts w:hint="eastAsia" w:eastAsia="仿宋_GB2312"/>
        </w:rPr>
        <w:t>（二）</w:t>
      </w:r>
      <w:r>
        <w:rPr>
          <w:rFonts w:eastAsia="仿宋_GB2312"/>
        </w:rPr>
        <w:t>需要补充完善的水土保持措施</w:t>
      </w:r>
    </w:p>
    <w:p>
      <w:pPr>
        <w:ind w:firstLine="480"/>
        <w:rPr>
          <w:rFonts w:eastAsia="仿宋_GB2312"/>
        </w:rPr>
      </w:pPr>
      <w:r>
        <w:rPr>
          <w:rFonts w:eastAsia="仿宋_GB2312"/>
        </w:rPr>
        <w:t>方案</w:t>
      </w:r>
      <w:r>
        <w:rPr>
          <w:rFonts w:hint="eastAsia" w:eastAsia="仿宋_GB2312"/>
        </w:rPr>
        <w:t>设计施工期间对阀井基础开挖土方临时堆放在基础四周，为减少堆置期间水土流失，</w:t>
      </w:r>
      <w:r>
        <w:rPr>
          <w:rFonts w:eastAsia="仿宋_GB2312"/>
        </w:rPr>
        <w:t>对</w:t>
      </w:r>
      <w:r>
        <w:rPr>
          <w:rFonts w:hint="eastAsia" w:eastAsia="仿宋_GB2312"/>
        </w:rPr>
        <w:t>基础</w:t>
      </w:r>
      <w:r>
        <w:rPr>
          <w:rFonts w:eastAsia="仿宋_GB2312"/>
        </w:rPr>
        <w:t>开挖临时堆土</w:t>
      </w:r>
      <w:r>
        <w:rPr>
          <w:rFonts w:hint="eastAsia" w:eastAsia="仿宋_GB2312"/>
        </w:rPr>
        <w:t>实施</w:t>
      </w:r>
      <w:r>
        <w:rPr>
          <w:rFonts w:eastAsia="仿宋_GB2312"/>
        </w:rPr>
        <w:t>防尘网苫盖措施</w:t>
      </w:r>
      <w:r>
        <w:rPr>
          <w:rFonts w:hint="eastAsia" w:eastAsia="仿宋_GB2312"/>
        </w:rPr>
        <w:t>。</w:t>
      </w:r>
    </w:p>
    <w:p>
      <w:pPr>
        <w:pStyle w:val="3"/>
        <w:widowControl/>
        <w:numPr>
          <w:ilvl w:val="1"/>
          <w:numId w:val="1"/>
        </w:numPr>
        <w:tabs>
          <w:tab w:val="clear" w:pos="1002"/>
        </w:tabs>
        <w:topLinePunct w:val="0"/>
        <w:adjustRightInd/>
        <w:snapToGrid/>
        <w:ind w:left="0" w:firstLine="0"/>
        <w:jc w:val="both"/>
        <w:rPr>
          <w:rFonts w:eastAsia="仿宋_GB2312"/>
        </w:rPr>
      </w:pPr>
      <w:bookmarkStart w:id="205" w:name="_Toc7801558"/>
      <w:bookmarkStart w:id="206" w:name="_Toc7801398"/>
      <w:bookmarkStart w:id="207" w:name="_Toc50221508"/>
      <w:bookmarkStart w:id="208" w:name="_Toc7801465"/>
      <w:r>
        <w:rPr>
          <w:rFonts w:eastAsia="仿宋_GB2312"/>
        </w:rPr>
        <w:t>主体工程设计中水土保持措施界定</w:t>
      </w:r>
      <w:bookmarkEnd w:id="205"/>
      <w:bookmarkEnd w:id="206"/>
      <w:bookmarkEnd w:id="207"/>
      <w:bookmarkEnd w:id="208"/>
    </w:p>
    <w:p>
      <w:pPr>
        <w:ind w:firstLine="480"/>
        <w:rPr>
          <w:rFonts w:eastAsia="仿宋_GB2312"/>
        </w:rPr>
      </w:pPr>
      <w:r>
        <w:rPr>
          <w:rFonts w:eastAsia="仿宋_GB2312"/>
        </w:rPr>
        <w:t>主体工程设计和项目建设过程中采取了一系列水土保持措施形成了较完整的防护系统。对于主体工程设计中水土保持工程的界定根据水保监[2014]58号《关于印发“开发建设项目水土保持方案技术审查要点”的通知》进行判断，并按照以下原则进行。</w:t>
      </w:r>
    </w:p>
    <w:p>
      <w:pPr>
        <w:ind w:firstLine="480"/>
        <w:rPr>
          <w:rFonts w:eastAsia="仿宋_GB2312"/>
        </w:rPr>
      </w:pPr>
      <w:r>
        <w:rPr>
          <w:rFonts w:eastAsia="仿宋_GB2312"/>
        </w:rPr>
        <w:t>1、主导功能原则。以防治水土流失为目标的工程为水土保持工程；以主体设计功能为主，同时具备水土保持功能的工程，不作为水土保持工程。</w:t>
      </w:r>
    </w:p>
    <w:p>
      <w:pPr>
        <w:ind w:firstLine="480"/>
        <w:rPr>
          <w:rFonts w:eastAsia="仿宋_GB2312"/>
        </w:rPr>
      </w:pPr>
      <w:r>
        <w:rPr>
          <w:rFonts w:eastAsia="仿宋_GB2312"/>
        </w:rPr>
        <w:t>2、责任分区原则。对建设项目临时征地、占地范围内的各项防护工程均作为水土保持工程。</w:t>
      </w:r>
    </w:p>
    <w:p>
      <w:pPr>
        <w:ind w:firstLine="480"/>
        <w:rPr>
          <w:rFonts w:eastAsia="仿宋_GB2312"/>
        </w:rPr>
      </w:pPr>
      <w:r>
        <w:rPr>
          <w:rFonts w:eastAsia="仿宋_GB2312"/>
        </w:rPr>
        <w:t>3、实验排除原则。难以区分以主体设计功能为主或以水土保持功能为主的工程，可按破坏性试验的原则进行排除。假定没有这些工程，主体设计功能仍旧可以发挥作用，但会产生较大的水土流失，此类工程应作为水土保持工程。</w:t>
      </w:r>
    </w:p>
    <w:p>
      <w:pPr>
        <w:ind w:firstLine="480"/>
        <w:rPr>
          <w:rFonts w:eastAsia="仿宋_GB2312"/>
        </w:rPr>
      </w:pPr>
      <w:r>
        <w:rPr>
          <w:rFonts w:eastAsia="仿宋_GB2312"/>
        </w:rPr>
        <w:t>基于前述水土保持工程界定原则对主体工程设计进行分析，对主体设计中水土保持工程措施工程量及其投资统计见表3.3-1，主体工程设计的水土保持措施共计投资</w:t>
      </w:r>
      <w:r>
        <w:rPr>
          <w:rFonts w:hint="eastAsia" w:eastAsia="仿宋_GB2312"/>
        </w:rPr>
        <w:t>2.34</w:t>
      </w:r>
      <w:r>
        <w:rPr>
          <w:rFonts w:eastAsia="仿宋_GB2312"/>
        </w:rPr>
        <w:t>万元。</w:t>
      </w:r>
    </w:p>
    <w:p>
      <w:pPr>
        <w:spacing w:line="240" w:lineRule="auto"/>
        <w:ind w:firstLine="0" w:firstLineChars="0"/>
        <w:jc w:val="center"/>
        <w:rPr>
          <w:b/>
          <w:position w:val="-2"/>
          <w:szCs w:val="21"/>
        </w:rPr>
      </w:pPr>
      <w:r>
        <w:rPr>
          <w:b/>
          <w:position w:val="-2"/>
          <w:szCs w:val="21"/>
        </w:rPr>
        <w:t xml:space="preserve">表3.3-1    </w:t>
      </w:r>
      <w:r>
        <w:rPr>
          <w:b/>
          <w:spacing w:val="-2"/>
          <w:position w:val="-2"/>
          <w:szCs w:val="21"/>
        </w:rPr>
        <w:t>主</w:t>
      </w:r>
      <w:r>
        <w:rPr>
          <w:b/>
          <w:position w:val="-2"/>
          <w:szCs w:val="21"/>
        </w:rPr>
        <w:t>体</w:t>
      </w:r>
      <w:r>
        <w:rPr>
          <w:b/>
          <w:spacing w:val="-2"/>
          <w:position w:val="-2"/>
          <w:szCs w:val="21"/>
        </w:rPr>
        <w:t>工</w:t>
      </w:r>
      <w:r>
        <w:rPr>
          <w:b/>
          <w:position w:val="-2"/>
          <w:szCs w:val="21"/>
        </w:rPr>
        <w:t>程</w:t>
      </w:r>
      <w:r>
        <w:rPr>
          <w:b/>
          <w:spacing w:val="-2"/>
          <w:position w:val="-2"/>
          <w:szCs w:val="21"/>
        </w:rPr>
        <w:t>已</w:t>
      </w:r>
      <w:r>
        <w:rPr>
          <w:b/>
          <w:position w:val="-2"/>
          <w:szCs w:val="21"/>
        </w:rPr>
        <w:t>有</w:t>
      </w:r>
      <w:r>
        <w:rPr>
          <w:b/>
          <w:spacing w:val="-2"/>
          <w:position w:val="-2"/>
          <w:szCs w:val="21"/>
        </w:rPr>
        <w:t>的</w:t>
      </w:r>
      <w:r>
        <w:rPr>
          <w:b/>
          <w:position w:val="-2"/>
          <w:szCs w:val="21"/>
        </w:rPr>
        <w:t>水</w:t>
      </w:r>
      <w:r>
        <w:rPr>
          <w:b/>
          <w:spacing w:val="-2"/>
          <w:position w:val="-2"/>
          <w:szCs w:val="21"/>
        </w:rPr>
        <w:t>土保</w:t>
      </w:r>
      <w:r>
        <w:rPr>
          <w:b/>
          <w:position w:val="-2"/>
          <w:szCs w:val="21"/>
        </w:rPr>
        <w:t>持工</w:t>
      </w:r>
      <w:r>
        <w:rPr>
          <w:b/>
          <w:spacing w:val="-2"/>
          <w:position w:val="-2"/>
          <w:szCs w:val="21"/>
        </w:rPr>
        <w:t>程</w:t>
      </w:r>
      <w:r>
        <w:rPr>
          <w:b/>
          <w:position w:val="-2"/>
          <w:szCs w:val="21"/>
        </w:rPr>
        <w:t>及</w:t>
      </w:r>
      <w:r>
        <w:rPr>
          <w:b/>
          <w:spacing w:val="-2"/>
          <w:position w:val="-2"/>
          <w:szCs w:val="21"/>
        </w:rPr>
        <w:t>投</w:t>
      </w:r>
      <w:r>
        <w:rPr>
          <w:b/>
          <w:position w:val="-2"/>
          <w:szCs w:val="21"/>
        </w:rPr>
        <w:t>资表</w:t>
      </w:r>
    </w:p>
    <w:tbl>
      <w:tblPr>
        <w:tblStyle w:val="40"/>
        <w:tblW w:w="857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59"/>
        <w:gridCol w:w="1283"/>
        <w:gridCol w:w="1559"/>
        <w:gridCol w:w="1134"/>
        <w:gridCol w:w="708"/>
        <w:gridCol w:w="1134"/>
        <w:gridCol w:w="11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59" w:type="dxa"/>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项目建设区</w:t>
            </w:r>
          </w:p>
        </w:tc>
        <w:tc>
          <w:tcPr>
            <w:tcW w:w="1283" w:type="dxa"/>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具有水土保</w:t>
            </w:r>
          </w:p>
          <w:p>
            <w:pPr>
              <w:widowControl/>
              <w:topLinePunct w:val="0"/>
              <w:spacing w:line="240" w:lineRule="auto"/>
              <w:ind w:firstLine="0" w:firstLineChars="0"/>
              <w:jc w:val="center"/>
              <w:rPr>
                <w:rFonts w:eastAsia="仿宋_GB2312"/>
                <w:sz w:val="21"/>
                <w:szCs w:val="21"/>
              </w:rPr>
            </w:pPr>
            <w:r>
              <w:rPr>
                <w:rFonts w:eastAsia="仿宋_GB2312"/>
                <w:sz w:val="21"/>
                <w:szCs w:val="21"/>
              </w:rPr>
              <w:t>持功能工程</w:t>
            </w:r>
          </w:p>
        </w:tc>
        <w:tc>
          <w:tcPr>
            <w:tcW w:w="1559" w:type="dxa"/>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是否界定为</w:t>
            </w:r>
          </w:p>
          <w:p>
            <w:pPr>
              <w:widowControl/>
              <w:topLinePunct w:val="0"/>
              <w:spacing w:line="240" w:lineRule="auto"/>
              <w:ind w:firstLine="0" w:firstLineChars="0"/>
              <w:jc w:val="center"/>
              <w:rPr>
                <w:rFonts w:eastAsia="仿宋_GB2312"/>
                <w:sz w:val="21"/>
                <w:szCs w:val="21"/>
              </w:rPr>
            </w:pPr>
            <w:r>
              <w:rPr>
                <w:rFonts w:eastAsia="仿宋_GB2312"/>
                <w:sz w:val="21"/>
                <w:szCs w:val="21"/>
              </w:rPr>
              <w:t>水土保持工程</w:t>
            </w:r>
          </w:p>
        </w:tc>
        <w:tc>
          <w:tcPr>
            <w:tcW w:w="1134" w:type="dxa"/>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工程量</w:t>
            </w:r>
          </w:p>
        </w:tc>
        <w:tc>
          <w:tcPr>
            <w:tcW w:w="708" w:type="dxa"/>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单位</w:t>
            </w:r>
          </w:p>
        </w:tc>
        <w:tc>
          <w:tcPr>
            <w:tcW w:w="1134" w:type="dxa"/>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单价</w:t>
            </w:r>
          </w:p>
          <w:p>
            <w:pPr>
              <w:widowControl/>
              <w:topLinePunct w:val="0"/>
              <w:spacing w:line="240" w:lineRule="auto"/>
              <w:ind w:firstLine="0" w:firstLineChars="0"/>
              <w:jc w:val="center"/>
              <w:rPr>
                <w:rFonts w:eastAsia="仿宋_GB2312"/>
                <w:sz w:val="21"/>
                <w:szCs w:val="21"/>
              </w:rPr>
            </w:pPr>
            <w:r>
              <w:rPr>
                <w:rFonts w:eastAsia="仿宋_GB2312"/>
                <w:sz w:val="21"/>
                <w:szCs w:val="21"/>
              </w:rPr>
              <w:t>（元）</w:t>
            </w:r>
          </w:p>
        </w:tc>
        <w:tc>
          <w:tcPr>
            <w:tcW w:w="1198" w:type="dxa"/>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投资</w:t>
            </w:r>
          </w:p>
          <w:p>
            <w:pPr>
              <w:widowControl/>
              <w:topLinePunct w:val="0"/>
              <w:spacing w:line="240" w:lineRule="auto"/>
              <w:ind w:firstLine="0" w:firstLineChars="0"/>
              <w:jc w:val="center"/>
              <w:rPr>
                <w:rFonts w:eastAsia="仿宋_GB2312"/>
                <w:sz w:val="21"/>
                <w:szCs w:val="21"/>
              </w:rPr>
            </w:pPr>
            <w:r>
              <w:rPr>
                <w:rFonts w:eastAsia="仿宋_GB2312"/>
                <w:sz w:val="21"/>
                <w:szCs w:val="21"/>
              </w:rPr>
              <w:t>（</w:t>
            </w:r>
            <w:r>
              <w:rPr>
                <w:rFonts w:hint="eastAsia" w:eastAsia="仿宋_GB2312"/>
                <w:sz w:val="21"/>
                <w:szCs w:val="21"/>
              </w:rPr>
              <w:t>万</w:t>
            </w:r>
            <w:r>
              <w:rPr>
                <w:rFonts w:eastAsia="仿宋_GB2312"/>
                <w:sz w:val="21"/>
                <w:szCs w:val="21"/>
              </w:rPr>
              <w:t>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5" w:type="dxa"/>
            <w:gridSpan w:val="7"/>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一、主体设计的水土保持措施界定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59" w:type="dxa"/>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管道工程区</w:t>
            </w:r>
          </w:p>
        </w:tc>
        <w:tc>
          <w:tcPr>
            <w:tcW w:w="1283" w:type="dxa"/>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土地平整</w:t>
            </w:r>
          </w:p>
        </w:tc>
        <w:tc>
          <w:tcPr>
            <w:tcW w:w="1559" w:type="dxa"/>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是</w:t>
            </w:r>
          </w:p>
        </w:tc>
        <w:tc>
          <w:tcPr>
            <w:tcW w:w="1134" w:type="dxa"/>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1.81</w:t>
            </w:r>
          </w:p>
        </w:tc>
        <w:tc>
          <w:tcPr>
            <w:tcW w:w="708" w:type="dxa"/>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h</w:t>
            </w:r>
            <w:r>
              <w:rPr>
                <w:rFonts w:eastAsia="仿宋_GB2312"/>
                <w:sz w:val="21"/>
                <w:szCs w:val="21"/>
              </w:rPr>
              <w:t>m</w:t>
            </w:r>
            <w:r>
              <w:rPr>
                <w:rFonts w:eastAsia="仿宋_GB2312"/>
                <w:sz w:val="21"/>
                <w:szCs w:val="21"/>
                <w:vertAlign w:val="superscript"/>
              </w:rPr>
              <w:t>2</w:t>
            </w:r>
          </w:p>
        </w:tc>
        <w:tc>
          <w:tcPr>
            <w:tcW w:w="1134" w:type="dxa"/>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 xml:space="preserve">12018.22 </w:t>
            </w:r>
          </w:p>
        </w:tc>
        <w:tc>
          <w:tcPr>
            <w:tcW w:w="1198" w:type="dxa"/>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2.18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59" w:type="dxa"/>
            <w:tcBorders>
              <w:bottom w:val="single" w:color="auto" w:sz="4" w:space="0"/>
            </w:tcBorders>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附属构筑物区</w:t>
            </w:r>
          </w:p>
        </w:tc>
        <w:tc>
          <w:tcPr>
            <w:tcW w:w="1283" w:type="dxa"/>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土地平整</w:t>
            </w:r>
          </w:p>
        </w:tc>
        <w:tc>
          <w:tcPr>
            <w:tcW w:w="1559" w:type="dxa"/>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是</w:t>
            </w:r>
          </w:p>
        </w:tc>
        <w:tc>
          <w:tcPr>
            <w:tcW w:w="1134" w:type="dxa"/>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0.</w:t>
            </w:r>
            <w:r>
              <w:rPr>
                <w:rFonts w:hint="eastAsia" w:eastAsia="仿宋_GB2312"/>
                <w:sz w:val="21"/>
                <w:szCs w:val="21"/>
              </w:rPr>
              <w:t>14</w:t>
            </w:r>
          </w:p>
        </w:tc>
        <w:tc>
          <w:tcPr>
            <w:tcW w:w="708" w:type="dxa"/>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h</w:t>
            </w:r>
            <w:r>
              <w:rPr>
                <w:rFonts w:eastAsia="仿宋_GB2312"/>
                <w:sz w:val="21"/>
                <w:szCs w:val="21"/>
              </w:rPr>
              <w:t>m</w:t>
            </w:r>
            <w:r>
              <w:rPr>
                <w:rFonts w:eastAsia="仿宋_GB2312"/>
                <w:sz w:val="21"/>
                <w:szCs w:val="21"/>
                <w:vertAlign w:val="superscript"/>
              </w:rPr>
              <w:t>2</w:t>
            </w:r>
          </w:p>
        </w:tc>
        <w:tc>
          <w:tcPr>
            <w:tcW w:w="1134" w:type="dxa"/>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 xml:space="preserve">12018.22 </w:t>
            </w:r>
          </w:p>
        </w:tc>
        <w:tc>
          <w:tcPr>
            <w:tcW w:w="1198" w:type="dxa"/>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559" w:type="dxa"/>
            <w:vAlign w:val="center"/>
          </w:tcPr>
          <w:p>
            <w:pPr>
              <w:spacing w:line="240" w:lineRule="auto"/>
              <w:ind w:firstLine="420"/>
              <w:jc w:val="center"/>
              <w:rPr>
                <w:rFonts w:eastAsia="仿宋_GB2312"/>
                <w:sz w:val="21"/>
                <w:szCs w:val="21"/>
              </w:rPr>
            </w:pPr>
            <w:r>
              <w:rPr>
                <w:rFonts w:hint="eastAsia" w:eastAsia="仿宋_GB2312"/>
                <w:sz w:val="21"/>
                <w:szCs w:val="21"/>
              </w:rPr>
              <w:t>合计</w:t>
            </w:r>
          </w:p>
        </w:tc>
        <w:tc>
          <w:tcPr>
            <w:tcW w:w="1283" w:type="dxa"/>
            <w:vAlign w:val="center"/>
          </w:tcPr>
          <w:p>
            <w:pPr>
              <w:widowControl/>
              <w:topLinePunct w:val="0"/>
              <w:spacing w:line="240" w:lineRule="auto"/>
              <w:ind w:firstLine="0" w:firstLineChars="0"/>
              <w:jc w:val="center"/>
              <w:rPr>
                <w:rFonts w:eastAsia="仿宋_GB2312"/>
                <w:sz w:val="21"/>
                <w:szCs w:val="21"/>
                <w:highlight w:val="yellow"/>
              </w:rPr>
            </w:pPr>
          </w:p>
        </w:tc>
        <w:tc>
          <w:tcPr>
            <w:tcW w:w="1559" w:type="dxa"/>
            <w:vAlign w:val="center"/>
          </w:tcPr>
          <w:p>
            <w:pPr>
              <w:widowControl/>
              <w:topLinePunct w:val="0"/>
              <w:spacing w:line="240" w:lineRule="auto"/>
              <w:ind w:firstLine="0" w:firstLineChars="0"/>
              <w:jc w:val="center"/>
              <w:rPr>
                <w:rFonts w:eastAsia="仿宋_GB2312"/>
                <w:sz w:val="21"/>
                <w:szCs w:val="21"/>
              </w:rPr>
            </w:pPr>
          </w:p>
        </w:tc>
        <w:tc>
          <w:tcPr>
            <w:tcW w:w="1134" w:type="dxa"/>
            <w:vAlign w:val="center"/>
          </w:tcPr>
          <w:p>
            <w:pPr>
              <w:widowControl/>
              <w:topLinePunct w:val="0"/>
              <w:spacing w:line="240" w:lineRule="auto"/>
              <w:ind w:firstLine="0" w:firstLineChars="0"/>
              <w:jc w:val="center"/>
              <w:rPr>
                <w:rFonts w:eastAsia="仿宋_GB2312"/>
                <w:sz w:val="21"/>
                <w:szCs w:val="21"/>
              </w:rPr>
            </w:pPr>
          </w:p>
        </w:tc>
        <w:tc>
          <w:tcPr>
            <w:tcW w:w="708" w:type="dxa"/>
            <w:vAlign w:val="center"/>
          </w:tcPr>
          <w:p>
            <w:pPr>
              <w:widowControl/>
              <w:topLinePunct w:val="0"/>
              <w:spacing w:line="240" w:lineRule="auto"/>
              <w:ind w:firstLine="0" w:firstLineChars="0"/>
              <w:jc w:val="center"/>
              <w:rPr>
                <w:rFonts w:eastAsia="仿宋_GB2312"/>
                <w:sz w:val="21"/>
                <w:szCs w:val="21"/>
              </w:rPr>
            </w:pPr>
          </w:p>
        </w:tc>
        <w:tc>
          <w:tcPr>
            <w:tcW w:w="1134" w:type="dxa"/>
            <w:vAlign w:val="center"/>
          </w:tcPr>
          <w:p>
            <w:pPr>
              <w:widowControl/>
              <w:topLinePunct w:val="0"/>
              <w:spacing w:line="240" w:lineRule="auto"/>
              <w:ind w:firstLine="0" w:firstLineChars="0"/>
              <w:jc w:val="center"/>
              <w:rPr>
                <w:rFonts w:eastAsia="仿宋_GB2312"/>
                <w:sz w:val="21"/>
                <w:szCs w:val="21"/>
              </w:rPr>
            </w:pPr>
          </w:p>
        </w:tc>
        <w:tc>
          <w:tcPr>
            <w:tcW w:w="1198" w:type="dxa"/>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2.34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8575" w:type="dxa"/>
            <w:gridSpan w:val="7"/>
            <w:vAlign w:val="center"/>
          </w:tcPr>
          <w:p>
            <w:pPr>
              <w:spacing w:line="240" w:lineRule="auto"/>
              <w:ind w:firstLine="420"/>
              <w:jc w:val="center"/>
              <w:rPr>
                <w:rFonts w:eastAsia="仿宋_GB2312"/>
                <w:sz w:val="21"/>
                <w:szCs w:val="21"/>
              </w:rPr>
            </w:pPr>
            <w:r>
              <w:rPr>
                <w:rFonts w:eastAsia="仿宋_GB2312"/>
                <w:sz w:val="21"/>
                <w:szCs w:val="21"/>
              </w:rPr>
              <w:t>二、需补充完善的水土保持措施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59" w:type="dxa"/>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管道工程区</w:t>
            </w:r>
          </w:p>
        </w:tc>
        <w:tc>
          <w:tcPr>
            <w:tcW w:w="7016" w:type="dxa"/>
            <w:gridSpan w:val="6"/>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彩条旗限界、防尘网苫盖、洒水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59" w:type="dxa"/>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附属构筑物区</w:t>
            </w:r>
          </w:p>
        </w:tc>
        <w:tc>
          <w:tcPr>
            <w:tcW w:w="7016" w:type="dxa"/>
            <w:gridSpan w:val="6"/>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防尘网苫盖</w:t>
            </w:r>
          </w:p>
        </w:tc>
      </w:tr>
    </w:tbl>
    <w:p>
      <w:pPr>
        <w:ind w:firstLine="0" w:firstLineChars="0"/>
      </w:pPr>
    </w:p>
    <w:p>
      <w:pPr>
        <w:pStyle w:val="140"/>
        <w:numPr>
          <w:ilvl w:val="0"/>
          <w:numId w:val="0"/>
        </w:numPr>
        <w:sectPr>
          <w:headerReference r:id="rId16" w:type="default"/>
          <w:pgSz w:w="11906" w:h="16838"/>
          <w:pgMar w:top="1440" w:right="1803" w:bottom="1440" w:left="1803" w:header="851" w:footer="964" w:gutter="0"/>
          <w:cols w:space="720" w:num="1"/>
          <w:docGrid w:linePitch="326" w:charSpace="0"/>
        </w:sectPr>
      </w:pPr>
      <w:bookmarkStart w:id="209" w:name="_Toc211401543"/>
      <w:bookmarkStart w:id="210" w:name="_Toc255304569"/>
    </w:p>
    <w:p>
      <w:pPr>
        <w:pStyle w:val="50"/>
        <w:widowControl/>
        <w:numPr>
          <w:ilvl w:val="0"/>
          <w:numId w:val="1"/>
        </w:numPr>
        <w:tabs>
          <w:tab w:val="clear" w:pos="432"/>
        </w:tabs>
        <w:spacing w:beforeLines="100" w:afterLines="100"/>
        <w:rPr>
          <w:rFonts w:eastAsia="仿宋_GB2312"/>
          <w:sz w:val="32"/>
          <w:szCs w:val="32"/>
        </w:rPr>
      </w:pPr>
      <w:bookmarkStart w:id="211" w:name="_Toc7801559"/>
      <w:bookmarkStart w:id="212" w:name="_Toc7801399"/>
      <w:bookmarkStart w:id="213" w:name="_Toc50221509"/>
      <w:bookmarkStart w:id="214" w:name="_Toc7801466"/>
      <w:r>
        <w:rPr>
          <w:rFonts w:eastAsia="仿宋_GB2312"/>
          <w:sz w:val="32"/>
          <w:szCs w:val="32"/>
        </w:rPr>
        <w:t>水土流失分析与预测</w:t>
      </w:r>
      <w:bookmarkEnd w:id="211"/>
      <w:bookmarkEnd w:id="212"/>
      <w:bookmarkEnd w:id="213"/>
      <w:bookmarkEnd w:id="214"/>
    </w:p>
    <w:p>
      <w:pPr>
        <w:pStyle w:val="3"/>
        <w:widowControl/>
        <w:numPr>
          <w:ilvl w:val="1"/>
          <w:numId w:val="1"/>
        </w:numPr>
        <w:tabs>
          <w:tab w:val="clear" w:pos="1002"/>
        </w:tabs>
        <w:topLinePunct w:val="0"/>
        <w:adjustRightInd/>
        <w:snapToGrid/>
        <w:ind w:left="0" w:firstLine="0"/>
        <w:jc w:val="both"/>
        <w:rPr>
          <w:rFonts w:eastAsia="仿宋_GB2312"/>
        </w:rPr>
      </w:pPr>
      <w:bookmarkStart w:id="215" w:name="_Toc7801560"/>
      <w:bookmarkStart w:id="216" w:name="_Toc7801467"/>
      <w:bookmarkStart w:id="217" w:name="_Toc7801400"/>
      <w:bookmarkStart w:id="218" w:name="_Toc50221510"/>
      <w:bookmarkStart w:id="219" w:name="_Toc294538841"/>
      <w:r>
        <w:rPr>
          <w:rFonts w:eastAsia="仿宋_GB2312"/>
        </w:rPr>
        <w:t>水土流失现状</w:t>
      </w:r>
      <w:bookmarkEnd w:id="215"/>
      <w:bookmarkEnd w:id="216"/>
      <w:bookmarkEnd w:id="217"/>
      <w:bookmarkEnd w:id="218"/>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区域水土流失现状</w:t>
      </w:r>
    </w:p>
    <w:p>
      <w:pPr>
        <w:tabs>
          <w:tab w:val="left" w:pos="840"/>
          <w:tab w:val="left" w:pos="1485"/>
        </w:tabs>
        <w:ind w:firstLine="480"/>
        <w:rPr>
          <w:rFonts w:eastAsia="仿宋_GB2312"/>
        </w:rPr>
      </w:pPr>
      <w:r>
        <w:rPr>
          <w:rFonts w:eastAsia="仿宋_GB2312"/>
        </w:rPr>
        <w:t>根据《新疆生产建设兵团水土保持规划（2015-2030）》，</w:t>
      </w:r>
      <w:r>
        <w:rPr>
          <w:rFonts w:hint="eastAsia" w:eastAsia="仿宋_GB2312"/>
        </w:rPr>
        <w:t>第十四师水土流失</w:t>
      </w:r>
      <w:r>
        <w:rPr>
          <w:rFonts w:eastAsia="仿宋_GB2312"/>
        </w:rPr>
        <w:t>面积为</w:t>
      </w:r>
      <w:r>
        <w:rPr>
          <w:rFonts w:hint="eastAsia" w:eastAsia="仿宋_GB2312"/>
        </w:rPr>
        <w:t>585.06</w:t>
      </w:r>
      <w:r>
        <w:rPr>
          <w:rFonts w:eastAsia="仿宋_GB2312"/>
        </w:rPr>
        <w:t>km</w:t>
      </w:r>
      <w:r>
        <w:rPr>
          <w:rFonts w:eastAsia="仿宋_GB2312"/>
          <w:vertAlign w:val="superscript"/>
        </w:rPr>
        <w:t>2</w:t>
      </w:r>
      <w:r>
        <w:rPr>
          <w:rFonts w:eastAsia="仿宋_GB2312"/>
        </w:rPr>
        <w:t>，占</w:t>
      </w:r>
      <w:r>
        <w:rPr>
          <w:rFonts w:hint="eastAsia" w:eastAsia="仿宋_GB2312"/>
        </w:rPr>
        <w:t>全师</w:t>
      </w:r>
      <w:r>
        <w:rPr>
          <w:rFonts w:eastAsia="仿宋_GB2312"/>
        </w:rPr>
        <w:t>土地面积的</w:t>
      </w:r>
      <w:r>
        <w:rPr>
          <w:rFonts w:hint="eastAsia" w:eastAsia="仿宋_GB2312"/>
        </w:rPr>
        <w:t>34.8</w:t>
      </w:r>
      <w:r>
        <w:rPr>
          <w:rFonts w:eastAsia="仿宋_GB2312"/>
        </w:rPr>
        <w:t>%</w:t>
      </w:r>
      <w:r>
        <w:rPr>
          <w:rFonts w:hint="eastAsia" w:eastAsia="仿宋_GB2312"/>
        </w:rPr>
        <w:t>。水力侵蚀面积为1.56</w:t>
      </w:r>
      <w:r>
        <w:rPr>
          <w:rFonts w:eastAsia="仿宋_GB2312"/>
        </w:rPr>
        <w:t>km</w:t>
      </w:r>
      <w:r>
        <w:rPr>
          <w:rFonts w:eastAsia="仿宋_GB2312"/>
          <w:vertAlign w:val="superscript"/>
        </w:rPr>
        <w:t>2</w:t>
      </w:r>
      <w:r>
        <w:rPr>
          <w:rFonts w:eastAsia="仿宋_GB2312"/>
        </w:rPr>
        <w:t>，占</w:t>
      </w:r>
      <w:r>
        <w:rPr>
          <w:rFonts w:hint="eastAsia" w:eastAsia="仿宋_GB2312"/>
        </w:rPr>
        <w:t>全师</w:t>
      </w:r>
      <w:r>
        <w:rPr>
          <w:rFonts w:eastAsia="仿宋_GB2312"/>
        </w:rPr>
        <w:t>土地面积的</w:t>
      </w:r>
      <w:r>
        <w:rPr>
          <w:rFonts w:hint="eastAsia" w:eastAsia="仿宋_GB2312"/>
        </w:rPr>
        <w:t>0.1</w:t>
      </w:r>
      <w:r>
        <w:rPr>
          <w:rFonts w:eastAsia="仿宋_GB2312"/>
        </w:rPr>
        <w:t>%。</w:t>
      </w:r>
      <w:r>
        <w:rPr>
          <w:rFonts w:hint="eastAsia" w:eastAsia="仿宋_GB2312"/>
        </w:rPr>
        <w:t>风力侵蚀面积为583.50</w:t>
      </w:r>
      <w:r>
        <w:rPr>
          <w:rFonts w:eastAsia="仿宋_GB2312"/>
        </w:rPr>
        <w:t>km</w:t>
      </w:r>
      <w:r>
        <w:rPr>
          <w:rFonts w:eastAsia="仿宋_GB2312"/>
          <w:vertAlign w:val="superscript"/>
        </w:rPr>
        <w:t>2</w:t>
      </w:r>
      <w:r>
        <w:rPr>
          <w:rFonts w:eastAsia="仿宋_GB2312"/>
        </w:rPr>
        <w:t>，占</w:t>
      </w:r>
      <w:r>
        <w:rPr>
          <w:rFonts w:hint="eastAsia" w:eastAsia="仿宋_GB2312"/>
        </w:rPr>
        <w:t>全师</w:t>
      </w:r>
      <w:r>
        <w:rPr>
          <w:rFonts w:eastAsia="仿宋_GB2312"/>
        </w:rPr>
        <w:t>土地面积的</w:t>
      </w:r>
      <w:r>
        <w:rPr>
          <w:rFonts w:hint="eastAsia" w:eastAsia="仿宋_GB2312"/>
        </w:rPr>
        <w:t>34.7</w:t>
      </w:r>
      <w:r>
        <w:rPr>
          <w:rFonts w:eastAsia="仿宋_GB2312"/>
        </w:rPr>
        <w:t>%</w:t>
      </w:r>
      <w:r>
        <w:rPr>
          <w:rFonts w:hint="eastAsia" w:eastAsia="仿宋_GB2312"/>
        </w:rPr>
        <w:t>。第十四师</w:t>
      </w:r>
      <w:r>
        <w:rPr>
          <w:rFonts w:eastAsia="仿宋_GB2312"/>
        </w:rPr>
        <w:t>水土流失</w:t>
      </w:r>
      <w:r>
        <w:rPr>
          <w:rFonts w:hint="eastAsia" w:eastAsia="仿宋_GB2312"/>
        </w:rPr>
        <w:t>面积及所占比</w:t>
      </w:r>
      <w:r>
        <w:rPr>
          <w:rFonts w:eastAsia="仿宋_GB2312"/>
        </w:rPr>
        <w:t>，见表4.</w:t>
      </w:r>
      <w:r>
        <w:rPr>
          <w:rFonts w:hint="eastAsia" w:eastAsia="仿宋_GB2312"/>
        </w:rPr>
        <w:t>1</w:t>
      </w:r>
      <w:r>
        <w:rPr>
          <w:rFonts w:eastAsia="仿宋_GB2312"/>
        </w:rPr>
        <w:t>-</w:t>
      </w:r>
      <w:r>
        <w:rPr>
          <w:rFonts w:hint="eastAsia" w:eastAsia="仿宋_GB2312"/>
        </w:rPr>
        <w:t>1</w:t>
      </w:r>
      <w:r>
        <w:rPr>
          <w:rFonts w:eastAsia="仿宋_GB2312"/>
        </w:rPr>
        <w:t>。</w:t>
      </w:r>
      <w:r>
        <w:rPr>
          <w:rFonts w:hint="eastAsia" w:eastAsia="仿宋_GB2312"/>
        </w:rPr>
        <w:t>第十四师</w:t>
      </w:r>
      <w:r>
        <w:rPr>
          <w:rFonts w:eastAsia="仿宋_GB2312"/>
        </w:rPr>
        <w:t>水土流失</w:t>
      </w:r>
      <w:r>
        <w:rPr>
          <w:rFonts w:hint="eastAsia" w:eastAsia="仿宋_GB2312"/>
        </w:rPr>
        <w:t>类型及强度分布</w:t>
      </w:r>
      <w:r>
        <w:rPr>
          <w:rFonts w:eastAsia="仿宋_GB2312"/>
        </w:rPr>
        <w:t>，见表4.</w:t>
      </w:r>
      <w:r>
        <w:rPr>
          <w:rFonts w:hint="eastAsia" w:eastAsia="仿宋_GB2312"/>
        </w:rPr>
        <w:t>1</w:t>
      </w:r>
      <w:r>
        <w:rPr>
          <w:rFonts w:eastAsia="仿宋_GB2312"/>
        </w:rPr>
        <w:t>-</w:t>
      </w:r>
      <w:r>
        <w:rPr>
          <w:rFonts w:hint="eastAsia" w:eastAsia="仿宋_GB2312"/>
        </w:rPr>
        <w:t>2。</w:t>
      </w:r>
    </w:p>
    <w:p>
      <w:pPr>
        <w:tabs>
          <w:tab w:val="left" w:pos="840"/>
          <w:tab w:val="left" w:pos="1485"/>
        </w:tabs>
        <w:spacing w:line="240" w:lineRule="auto"/>
        <w:ind w:firstLine="0" w:firstLineChars="0"/>
        <w:jc w:val="center"/>
        <w:rPr>
          <w:rFonts w:eastAsia="仿宋_GB2312"/>
          <w:b/>
        </w:rPr>
      </w:pPr>
      <w:r>
        <w:rPr>
          <w:rFonts w:eastAsia="仿宋_GB2312"/>
          <w:b/>
        </w:rPr>
        <w:t>表4.</w:t>
      </w:r>
      <w:r>
        <w:rPr>
          <w:rFonts w:hint="eastAsia" w:eastAsia="仿宋_GB2312"/>
          <w:b/>
        </w:rPr>
        <w:t>1</w:t>
      </w:r>
      <w:r>
        <w:rPr>
          <w:rFonts w:eastAsia="仿宋_GB2312"/>
          <w:b/>
        </w:rPr>
        <w:t>-</w:t>
      </w:r>
      <w:r>
        <w:rPr>
          <w:rFonts w:hint="eastAsia" w:eastAsia="仿宋_GB2312"/>
          <w:b/>
        </w:rPr>
        <w:t>1第十四师</w:t>
      </w:r>
      <w:r>
        <w:rPr>
          <w:rFonts w:eastAsia="仿宋_GB2312"/>
          <w:b/>
        </w:rPr>
        <w:t>水土流失</w:t>
      </w:r>
      <w:r>
        <w:rPr>
          <w:rFonts w:hint="eastAsia" w:eastAsia="仿宋_GB2312"/>
          <w:b/>
        </w:rPr>
        <w:t>面积及所占比</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64"/>
        <w:gridCol w:w="1029"/>
        <w:gridCol w:w="1070"/>
        <w:gridCol w:w="1071"/>
        <w:gridCol w:w="1070"/>
        <w:gridCol w:w="1071"/>
        <w:gridCol w:w="1071"/>
        <w:gridCol w:w="10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pct"/>
            <w:vMerge w:val="restar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师名称</w:t>
            </w:r>
          </w:p>
        </w:tc>
        <w:tc>
          <w:tcPr>
            <w:tcW w:w="604" w:type="pct"/>
            <w:vMerge w:val="restar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土地</w:t>
            </w:r>
          </w:p>
          <w:p>
            <w:pPr>
              <w:widowControl/>
              <w:spacing w:line="240" w:lineRule="auto"/>
              <w:ind w:firstLine="0" w:firstLineChars="0"/>
              <w:jc w:val="center"/>
              <w:rPr>
                <w:rFonts w:eastAsia="仿宋_GB2312"/>
                <w:sz w:val="21"/>
                <w:szCs w:val="21"/>
              </w:rPr>
            </w:pPr>
            <w:r>
              <w:rPr>
                <w:rFonts w:hint="eastAsia" w:eastAsia="仿宋_GB2312"/>
                <w:sz w:val="21"/>
                <w:szCs w:val="21"/>
              </w:rPr>
              <w:t>面积</w:t>
            </w:r>
          </w:p>
          <w:p>
            <w:pPr>
              <w:widowControl/>
              <w:spacing w:line="240" w:lineRule="auto"/>
              <w:ind w:firstLine="0" w:firstLineChars="0"/>
              <w:jc w:val="center"/>
              <w:rPr>
                <w:rFonts w:eastAsia="仿宋_GB2312"/>
                <w:sz w:val="21"/>
                <w:szCs w:val="21"/>
              </w:rPr>
            </w:pPr>
            <w:r>
              <w:rPr>
                <w:rFonts w:hint="eastAsia" w:eastAsia="仿宋_GB2312"/>
                <w:sz w:val="21"/>
                <w:szCs w:val="21"/>
              </w:rPr>
              <w:t>（km</w:t>
            </w:r>
            <w:r>
              <w:rPr>
                <w:rFonts w:hint="eastAsia" w:eastAsia="仿宋_GB2312"/>
                <w:sz w:val="21"/>
                <w:szCs w:val="21"/>
                <w:vertAlign w:val="superscript"/>
              </w:rPr>
              <w:t>2</w:t>
            </w:r>
            <w:r>
              <w:rPr>
                <w:rFonts w:hint="eastAsia" w:eastAsia="仿宋_GB2312"/>
                <w:sz w:val="21"/>
                <w:szCs w:val="21"/>
              </w:rPr>
              <w:t>）</w:t>
            </w:r>
          </w:p>
        </w:tc>
        <w:tc>
          <w:tcPr>
            <w:tcW w:w="1885" w:type="pct"/>
            <w:gridSpan w:val="3"/>
            <w:tcBorders>
              <w:right w:val="single" w:color="auto" w:sz="4" w:space="0"/>
            </w:tcBorders>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不同类型水土流失面积（km</w:t>
            </w:r>
            <w:r>
              <w:rPr>
                <w:rFonts w:hint="eastAsia" w:eastAsia="仿宋_GB2312"/>
                <w:sz w:val="21"/>
                <w:szCs w:val="21"/>
                <w:vertAlign w:val="superscript"/>
              </w:rPr>
              <w:t>2</w:t>
            </w:r>
            <w:r>
              <w:rPr>
                <w:rFonts w:hint="eastAsia" w:eastAsia="仿宋_GB2312"/>
                <w:sz w:val="21"/>
                <w:szCs w:val="21"/>
              </w:rPr>
              <w:t>）</w:t>
            </w:r>
          </w:p>
        </w:tc>
        <w:tc>
          <w:tcPr>
            <w:tcW w:w="1886" w:type="pct"/>
            <w:gridSpan w:val="3"/>
            <w:tcBorders>
              <w:left w:val="single" w:color="auto" w:sz="4" w:space="0"/>
            </w:tcBorders>
            <w:shd w:val="clear" w:color="auto" w:fill="auto"/>
            <w:vAlign w:val="center"/>
          </w:tcPr>
          <w:p>
            <w:pPr>
              <w:widowControl/>
              <w:spacing w:line="240" w:lineRule="auto"/>
              <w:ind w:firstLine="0" w:firstLineChars="0"/>
              <w:jc w:val="center"/>
              <w:rPr>
                <w:rFonts w:eastAsia="仿宋_GB2312"/>
                <w:sz w:val="21"/>
                <w:szCs w:val="21"/>
              </w:rPr>
            </w:pPr>
            <w:r>
              <w:rPr>
                <w:rFonts w:hint="eastAsia" w:ascii="仿宋_GB2312" w:hAnsi="Calibri" w:eastAsia="仿宋_GB2312" w:cs="仿宋_GB2312"/>
                <w:sz w:val="21"/>
                <w:szCs w:val="21"/>
              </w:rPr>
              <w:t>占土地面积比例</w:t>
            </w:r>
            <w:r>
              <w:rPr>
                <w:rFonts w:eastAsia="仿宋_GB2312"/>
                <w:sz w:val="21"/>
                <w:szCs w:val="21"/>
              </w:rPr>
              <w:t>（</w:t>
            </w:r>
            <w:r>
              <w:rPr>
                <w:rFonts w:eastAsia="宋体"/>
                <w:sz w:val="21"/>
                <w:szCs w:val="21"/>
              </w:rPr>
              <w:t>%</w:t>
            </w:r>
            <w:r>
              <w:rPr>
                <w:rFonts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pct"/>
            <w:vMerge w:val="continue"/>
            <w:shd w:val="clear" w:color="auto" w:fill="auto"/>
            <w:noWrap/>
            <w:vAlign w:val="center"/>
          </w:tcPr>
          <w:p>
            <w:pPr>
              <w:widowControl/>
              <w:spacing w:line="240" w:lineRule="auto"/>
              <w:ind w:firstLine="0" w:firstLineChars="0"/>
              <w:jc w:val="center"/>
              <w:rPr>
                <w:rFonts w:eastAsia="仿宋_GB2312"/>
                <w:sz w:val="21"/>
                <w:szCs w:val="21"/>
              </w:rPr>
            </w:pPr>
          </w:p>
        </w:tc>
        <w:tc>
          <w:tcPr>
            <w:tcW w:w="604" w:type="pct"/>
            <w:vMerge w:val="continue"/>
            <w:shd w:val="clear" w:color="auto" w:fill="auto"/>
            <w:noWrap/>
            <w:vAlign w:val="center"/>
          </w:tcPr>
          <w:p>
            <w:pPr>
              <w:widowControl/>
              <w:spacing w:line="240" w:lineRule="auto"/>
              <w:ind w:firstLine="0" w:firstLineChars="0"/>
              <w:jc w:val="center"/>
              <w:rPr>
                <w:rFonts w:eastAsia="仿宋_GB2312"/>
                <w:sz w:val="21"/>
                <w:szCs w:val="21"/>
              </w:rPr>
            </w:pPr>
          </w:p>
        </w:tc>
        <w:tc>
          <w:tcPr>
            <w:tcW w:w="628" w:type="pc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水力侵蚀</w:t>
            </w:r>
          </w:p>
        </w:tc>
        <w:tc>
          <w:tcPr>
            <w:tcW w:w="629"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风力侵蚀</w:t>
            </w:r>
          </w:p>
        </w:tc>
        <w:tc>
          <w:tcPr>
            <w:tcW w:w="628" w:type="pct"/>
            <w:tcBorders>
              <w:right w:val="single" w:color="auto" w:sz="4" w:space="0"/>
            </w:tcBorders>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水土流失总面积</w:t>
            </w:r>
          </w:p>
        </w:tc>
        <w:tc>
          <w:tcPr>
            <w:tcW w:w="629" w:type="pct"/>
            <w:tcBorders>
              <w:left w:val="single" w:color="auto" w:sz="4" w:space="0"/>
            </w:tcBorders>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水力侵蚀</w:t>
            </w:r>
          </w:p>
        </w:tc>
        <w:tc>
          <w:tcPr>
            <w:tcW w:w="629" w:type="pc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风力侵蚀</w:t>
            </w:r>
          </w:p>
        </w:tc>
        <w:tc>
          <w:tcPr>
            <w:tcW w:w="628" w:type="pct"/>
          </w:tcPr>
          <w:p>
            <w:pPr>
              <w:widowControl/>
              <w:spacing w:line="240" w:lineRule="auto"/>
              <w:ind w:firstLine="0" w:firstLineChars="0"/>
              <w:jc w:val="center"/>
              <w:rPr>
                <w:rFonts w:eastAsia="仿宋_GB2312"/>
                <w:sz w:val="21"/>
                <w:szCs w:val="21"/>
              </w:rPr>
            </w:pPr>
            <w:r>
              <w:rPr>
                <w:rFonts w:hint="eastAsia" w:eastAsia="仿宋_GB2312"/>
                <w:sz w:val="21"/>
                <w:szCs w:val="21"/>
              </w:rPr>
              <w:t>水土流失总面积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第十四师</w:t>
            </w:r>
          </w:p>
        </w:tc>
        <w:tc>
          <w:tcPr>
            <w:tcW w:w="604" w:type="pc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1682.36</w:t>
            </w:r>
          </w:p>
        </w:tc>
        <w:tc>
          <w:tcPr>
            <w:tcW w:w="628" w:type="pc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1.56</w:t>
            </w:r>
          </w:p>
        </w:tc>
        <w:tc>
          <w:tcPr>
            <w:tcW w:w="629"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583.50</w:t>
            </w:r>
          </w:p>
        </w:tc>
        <w:tc>
          <w:tcPr>
            <w:tcW w:w="628"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585.06</w:t>
            </w:r>
          </w:p>
        </w:tc>
        <w:tc>
          <w:tcPr>
            <w:tcW w:w="629"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0.1</w:t>
            </w:r>
          </w:p>
        </w:tc>
        <w:tc>
          <w:tcPr>
            <w:tcW w:w="629" w:type="pc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34.7</w:t>
            </w:r>
          </w:p>
        </w:tc>
        <w:tc>
          <w:tcPr>
            <w:tcW w:w="628"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34.8</w:t>
            </w:r>
          </w:p>
        </w:tc>
      </w:tr>
    </w:tbl>
    <w:p>
      <w:pPr>
        <w:tabs>
          <w:tab w:val="left" w:pos="840"/>
          <w:tab w:val="left" w:pos="1485"/>
        </w:tabs>
        <w:ind w:firstLine="480"/>
        <w:rPr>
          <w:rFonts w:eastAsia="仿宋_GB2312"/>
        </w:rPr>
      </w:pPr>
    </w:p>
    <w:p>
      <w:pPr>
        <w:tabs>
          <w:tab w:val="left" w:pos="840"/>
          <w:tab w:val="left" w:pos="1485"/>
        </w:tabs>
        <w:spacing w:line="240" w:lineRule="auto"/>
        <w:ind w:firstLine="0" w:firstLineChars="0"/>
        <w:jc w:val="center"/>
        <w:rPr>
          <w:rFonts w:eastAsia="仿宋_GB2312"/>
          <w:b/>
        </w:rPr>
      </w:pPr>
      <w:r>
        <w:rPr>
          <w:rFonts w:eastAsia="仿宋_GB2312"/>
          <w:b/>
        </w:rPr>
        <w:t>表4.</w:t>
      </w:r>
      <w:r>
        <w:rPr>
          <w:rFonts w:hint="eastAsia" w:eastAsia="仿宋_GB2312"/>
          <w:b/>
        </w:rPr>
        <w:t>1</w:t>
      </w:r>
      <w:r>
        <w:rPr>
          <w:rFonts w:eastAsia="仿宋_GB2312"/>
          <w:b/>
        </w:rPr>
        <w:t>-</w:t>
      </w:r>
      <w:r>
        <w:rPr>
          <w:rFonts w:hint="eastAsia" w:eastAsia="仿宋_GB2312"/>
          <w:b/>
        </w:rPr>
        <w:t>2第十四师</w:t>
      </w:r>
      <w:r>
        <w:rPr>
          <w:rFonts w:eastAsia="仿宋_GB2312"/>
          <w:b/>
        </w:rPr>
        <w:t>水土流失</w:t>
      </w:r>
      <w:r>
        <w:rPr>
          <w:rFonts w:hint="eastAsia" w:eastAsia="仿宋_GB2312"/>
          <w:b/>
        </w:rPr>
        <w:t>类型及强度分布</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98"/>
        <w:gridCol w:w="926"/>
        <w:gridCol w:w="926"/>
        <w:gridCol w:w="926"/>
        <w:gridCol w:w="927"/>
        <w:gridCol w:w="927"/>
        <w:gridCol w:w="927"/>
        <w:gridCol w:w="927"/>
        <w:gridCol w:w="9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pct"/>
            <w:vMerge w:val="restar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所属师部</w:t>
            </w:r>
          </w:p>
        </w:tc>
        <w:tc>
          <w:tcPr>
            <w:tcW w:w="1632" w:type="pct"/>
            <w:gridSpan w:val="3"/>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水力侵蚀面积（km</w:t>
            </w:r>
            <w:r>
              <w:rPr>
                <w:rFonts w:hint="eastAsia" w:eastAsia="仿宋_GB2312"/>
                <w:sz w:val="21"/>
                <w:szCs w:val="21"/>
                <w:vertAlign w:val="superscript"/>
              </w:rPr>
              <w:t>2</w:t>
            </w:r>
            <w:r>
              <w:rPr>
                <w:rFonts w:hint="eastAsia" w:eastAsia="仿宋_GB2312"/>
                <w:sz w:val="21"/>
                <w:szCs w:val="21"/>
              </w:rPr>
              <w:t>）</w:t>
            </w:r>
          </w:p>
        </w:tc>
        <w:tc>
          <w:tcPr>
            <w:tcW w:w="2723" w:type="pct"/>
            <w:gridSpan w:val="5"/>
            <w:shd w:val="clear" w:color="auto" w:fill="auto"/>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风力侵蚀面积（km</w:t>
            </w:r>
            <w:r>
              <w:rPr>
                <w:rFonts w:hint="eastAsia" w:eastAsia="仿宋_GB2312"/>
                <w:sz w:val="21"/>
                <w:szCs w:val="21"/>
                <w:vertAlign w:val="superscript"/>
              </w:rPr>
              <w:t>2</w:t>
            </w:r>
            <w:r>
              <w:rPr>
                <w:rFonts w:hint="eastAsia"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pct"/>
            <w:vMerge w:val="continue"/>
            <w:shd w:val="clear" w:color="auto" w:fill="auto"/>
            <w:noWrap/>
            <w:vAlign w:val="center"/>
          </w:tcPr>
          <w:p>
            <w:pPr>
              <w:widowControl/>
              <w:spacing w:line="240" w:lineRule="auto"/>
              <w:ind w:firstLine="0" w:firstLineChars="0"/>
              <w:jc w:val="center"/>
              <w:rPr>
                <w:rFonts w:eastAsia="仿宋_GB2312"/>
                <w:sz w:val="21"/>
                <w:szCs w:val="21"/>
              </w:rPr>
            </w:pPr>
          </w:p>
        </w:tc>
        <w:tc>
          <w:tcPr>
            <w:tcW w:w="544" w:type="pc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小计</w:t>
            </w:r>
          </w:p>
        </w:tc>
        <w:tc>
          <w:tcPr>
            <w:tcW w:w="54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轻度</w:t>
            </w:r>
          </w:p>
        </w:tc>
        <w:tc>
          <w:tcPr>
            <w:tcW w:w="54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中度</w:t>
            </w:r>
          </w:p>
        </w:tc>
        <w:tc>
          <w:tcPr>
            <w:tcW w:w="54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小计</w:t>
            </w:r>
          </w:p>
        </w:tc>
        <w:tc>
          <w:tcPr>
            <w:tcW w:w="544" w:type="pc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轻度</w:t>
            </w:r>
          </w:p>
        </w:tc>
        <w:tc>
          <w:tcPr>
            <w:tcW w:w="54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中度</w:t>
            </w:r>
          </w:p>
        </w:tc>
        <w:tc>
          <w:tcPr>
            <w:tcW w:w="54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强烈</w:t>
            </w:r>
          </w:p>
        </w:tc>
        <w:tc>
          <w:tcPr>
            <w:tcW w:w="546"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极强烈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pc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第十四师</w:t>
            </w:r>
          </w:p>
        </w:tc>
        <w:tc>
          <w:tcPr>
            <w:tcW w:w="544" w:type="pc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1.56</w:t>
            </w:r>
          </w:p>
        </w:tc>
        <w:tc>
          <w:tcPr>
            <w:tcW w:w="54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1.54</w:t>
            </w:r>
          </w:p>
        </w:tc>
        <w:tc>
          <w:tcPr>
            <w:tcW w:w="54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0.02</w:t>
            </w:r>
          </w:p>
        </w:tc>
        <w:tc>
          <w:tcPr>
            <w:tcW w:w="54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583.50</w:t>
            </w:r>
          </w:p>
        </w:tc>
        <w:tc>
          <w:tcPr>
            <w:tcW w:w="544" w:type="pc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119.51</w:t>
            </w:r>
          </w:p>
        </w:tc>
        <w:tc>
          <w:tcPr>
            <w:tcW w:w="54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154.46</w:t>
            </w:r>
          </w:p>
        </w:tc>
        <w:tc>
          <w:tcPr>
            <w:tcW w:w="54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79.34</w:t>
            </w:r>
          </w:p>
        </w:tc>
        <w:tc>
          <w:tcPr>
            <w:tcW w:w="546"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230.19</w:t>
            </w:r>
          </w:p>
        </w:tc>
      </w:tr>
    </w:tbl>
    <w:p>
      <w:pPr>
        <w:pStyle w:val="4"/>
        <w:keepLines/>
        <w:widowControl/>
        <w:numPr>
          <w:ilvl w:val="2"/>
          <w:numId w:val="1"/>
        </w:numPr>
        <w:tabs>
          <w:tab w:val="clear" w:pos="432"/>
          <w:tab w:val="clear" w:pos="960"/>
        </w:tabs>
        <w:kinsoku/>
        <w:overflowPunct/>
        <w:topLinePunct w:val="0"/>
        <w:autoSpaceDE/>
        <w:autoSpaceDN/>
        <w:adjustRightInd/>
        <w:snapToGrid/>
        <w:spacing w:beforeLines="100"/>
        <w:ind w:left="0" w:firstLine="0"/>
        <w:jc w:val="both"/>
        <w:rPr>
          <w:rFonts w:eastAsia="仿宋_GB2312"/>
        </w:rPr>
      </w:pPr>
      <w:r>
        <w:rPr>
          <w:rFonts w:eastAsia="仿宋_GB2312"/>
        </w:rPr>
        <w:t>工程区水土流失现状</w:t>
      </w:r>
    </w:p>
    <w:p>
      <w:pPr>
        <w:tabs>
          <w:tab w:val="left" w:pos="840"/>
          <w:tab w:val="left" w:pos="1485"/>
        </w:tabs>
        <w:ind w:firstLine="480"/>
        <w:rPr>
          <w:rFonts w:eastAsia="仿宋_GB2312"/>
        </w:rPr>
      </w:pPr>
      <w:bookmarkStart w:id="220" w:name="_Toc420589330"/>
      <w:bookmarkStart w:id="221" w:name="_Toc419985302"/>
      <w:r>
        <w:rPr>
          <w:rFonts w:eastAsia="仿宋_GB2312"/>
        </w:rPr>
        <w:t>项目区地处</w:t>
      </w:r>
      <w:r>
        <w:rPr>
          <w:rFonts w:hint="eastAsia" w:eastAsia="仿宋_GB2312"/>
        </w:rPr>
        <w:t>新疆生产建设兵团第十四师224团境内</w:t>
      </w:r>
      <w:r>
        <w:rPr>
          <w:rFonts w:eastAsia="仿宋_GB2312"/>
        </w:rPr>
        <w:t>，位于《全国水土保持区域（试行）》中划定的“北方风沙区”。根据《全国水土保持规划国家级水土流失重点预防区和重点治理区复核划分成果》，</w:t>
      </w:r>
      <w:r>
        <w:rPr>
          <w:rFonts w:hint="eastAsia" w:eastAsia="仿宋_GB2312"/>
        </w:rPr>
        <w:t>224团（按墨玉县考虑）</w:t>
      </w:r>
      <w:r>
        <w:rPr>
          <w:rFonts w:eastAsia="仿宋_GB2312"/>
        </w:rPr>
        <w:t>属于塔里木河国家级水土流失重点预防区。</w:t>
      </w:r>
      <w:r>
        <w:rPr>
          <w:rFonts w:hint="eastAsia" w:eastAsia="仿宋_GB2312"/>
        </w:rPr>
        <w:t>根据</w:t>
      </w:r>
      <w:r>
        <w:rPr>
          <w:rFonts w:eastAsia="仿宋_GB2312"/>
        </w:rPr>
        <w:t>《关于印发新疆自治区级水土流失重点预防区和重点治理区复核划分成果的通知》（新水水保[2019]4号）</w:t>
      </w:r>
      <w:r>
        <w:rPr>
          <w:rFonts w:hint="eastAsia" w:eastAsia="仿宋_GB2312"/>
        </w:rPr>
        <w:t>，224团（按墨玉县考虑）不属于</w:t>
      </w:r>
      <w:r>
        <w:rPr>
          <w:rFonts w:eastAsia="仿宋_GB2312"/>
        </w:rPr>
        <w:t>新疆自治区级水土流失重点预防区和重点治理区</w:t>
      </w:r>
      <w:r>
        <w:rPr>
          <w:rFonts w:hint="eastAsia" w:eastAsia="仿宋_GB2312"/>
        </w:rPr>
        <w:t>。</w:t>
      </w:r>
      <w:r>
        <w:rPr>
          <w:rFonts w:eastAsia="仿宋_GB2312"/>
        </w:rPr>
        <w:t>根据《新疆生产建设兵团水土保持规划（2015-2030）》，</w:t>
      </w:r>
      <w:r>
        <w:rPr>
          <w:rFonts w:hint="eastAsia" w:eastAsia="仿宋_GB2312"/>
        </w:rPr>
        <w:t>第十四师224团</w:t>
      </w:r>
      <w:r>
        <w:rPr>
          <w:rFonts w:eastAsia="仿宋_GB2312"/>
        </w:rPr>
        <w:t>属于</w:t>
      </w:r>
      <w:r>
        <w:rPr>
          <w:rFonts w:hint="eastAsia" w:eastAsia="仿宋_GB2312"/>
        </w:rPr>
        <w:t>塔里木河流域兵团级水土流失重点治理区。</w:t>
      </w:r>
      <w:r>
        <w:rPr>
          <w:rFonts w:eastAsia="仿宋_GB2312"/>
        </w:rPr>
        <w:t>按照《生产建设项目水土流失防治标准》（GB/T50434-2018）</w:t>
      </w:r>
      <w:r>
        <w:rPr>
          <w:rFonts w:hint="eastAsia" w:eastAsia="仿宋_GB2312"/>
        </w:rPr>
        <w:t>及《全国水土保持区划（试行）》</w:t>
      </w:r>
      <w:r>
        <w:rPr>
          <w:rFonts w:eastAsia="仿宋_GB2312"/>
        </w:rPr>
        <w:t>的基本要求和规定，本工程水土流失防治执行北方风沙区建设类一级防治标准。</w:t>
      </w:r>
    </w:p>
    <w:p>
      <w:pPr>
        <w:tabs>
          <w:tab w:val="left" w:pos="840"/>
          <w:tab w:val="left" w:pos="1485"/>
        </w:tabs>
        <w:ind w:firstLine="480"/>
        <w:rPr>
          <w:rFonts w:eastAsia="仿宋_GB2312"/>
        </w:rPr>
      </w:pPr>
      <w:r>
        <w:rPr>
          <w:rFonts w:eastAsia="仿宋_GB2312"/>
        </w:rPr>
        <w:t>根据现场踏勘情况，项目区土壤侵蚀类型主要为轻度风力侵蚀、微度水力侵蚀。根据项目区自然环境概况，结合全疆第二次水土流失普查结果，在参考《土壤侵蚀分类分级标准》（SL190-2007）的基础上，结合对项目区水土流失现状调查情况，初步判定原生土壤侵蚀模数为</w:t>
      </w:r>
      <w:r>
        <w:rPr>
          <w:rFonts w:hint="eastAsia" w:eastAsia="仿宋_GB2312"/>
        </w:rPr>
        <w:t>15</w:t>
      </w:r>
      <w:r>
        <w:rPr>
          <w:rFonts w:eastAsia="仿宋_GB2312"/>
        </w:rPr>
        <w:t>00t/km</w:t>
      </w:r>
      <w:r>
        <w:rPr>
          <w:rFonts w:eastAsia="仿宋_GB2312"/>
          <w:vertAlign w:val="superscript"/>
        </w:rPr>
        <w:t>2</w:t>
      </w:r>
      <w:r>
        <w:rPr>
          <w:rFonts w:eastAsia="仿宋_GB2312"/>
        </w:rPr>
        <w:t>·a</w:t>
      </w:r>
      <w:r>
        <w:rPr>
          <w:rFonts w:hint="eastAsia" w:eastAsia="仿宋_GB2312"/>
        </w:rPr>
        <w:t>，</w:t>
      </w:r>
      <w:r>
        <w:rPr>
          <w:rFonts w:eastAsia="仿宋_GB2312"/>
        </w:rPr>
        <w:t>容许土壤流失量</w:t>
      </w:r>
      <w:r>
        <w:rPr>
          <w:rFonts w:hint="eastAsia" w:eastAsia="仿宋_GB2312"/>
        </w:rPr>
        <w:t>为15</w:t>
      </w:r>
      <w:r>
        <w:rPr>
          <w:rFonts w:eastAsia="仿宋_GB2312"/>
        </w:rPr>
        <w:t>00t/km</w:t>
      </w:r>
      <w:r>
        <w:rPr>
          <w:rFonts w:eastAsia="仿宋_GB2312"/>
          <w:vertAlign w:val="superscript"/>
        </w:rPr>
        <w:t>2</w:t>
      </w:r>
      <w:r>
        <w:rPr>
          <w:rFonts w:eastAsia="仿宋_GB2312"/>
        </w:rPr>
        <w:t>·a。</w:t>
      </w:r>
    </w:p>
    <w:p>
      <w:pPr>
        <w:pStyle w:val="3"/>
        <w:widowControl/>
        <w:numPr>
          <w:ilvl w:val="1"/>
          <w:numId w:val="1"/>
        </w:numPr>
        <w:tabs>
          <w:tab w:val="clear" w:pos="1002"/>
        </w:tabs>
        <w:topLinePunct w:val="0"/>
        <w:adjustRightInd/>
        <w:snapToGrid/>
        <w:ind w:left="0" w:firstLine="0"/>
        <w:jc w:val="both"/>
        <w:rPr>
          <w:rFonts w:eastAsia="仿宋_GB2312"/>
        </w:rPr>
      </w:pPr>
      <w:bookmarkStart w:id="222" w:name="_Toc50221511"/>
      <w:bookmarkStart w:id="223" w:name="_Toc7801401"/>
      <w:bookmarkStart w:id="224" w:name="_Toc7801468"/>
      <w:bookmarkStart w:id="225" w:name="_Toc7801561"/>
      <w:r>
        <w:rPr>
          <w:rFonts w:eastAsia="仿宋_GB2312"/>
        </w:rPr>
        <w:t>水土流失影响因素分析</w:t>
      </w:r>
      <w:bookmarkEnd w:id="222"/>
      <w:bookmarkEnd w:id="223"/>
      <w:bookmarkEnd w:id="224"/>
      <w:bookmarkEnd w:id="225"/>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hint="eastAsia" w:eastAsia="仿宋_GB2312"/>
        </w:rPr>
        <w:t>工程建设对水土流失的影响</w:t>
      </w:r>
    </w:p>
    <w:p>
      <w:pPr>
        <w:tabs>
          <w:tab w:val="left" w:pos="600"/>
          <w:tab w:val="left" w:pos="1485"/>
        </w:tabs>
        <w:ind w:firstLine="480"/>
        <w:rPr>
          <w:rFonts w:eastAsia="仿宋_GB2312"/>
        </w:rPr>
      </w:pPr>
      <w:r>
        <w:rPr>
          <w:rFonts w:eastAsia="仿宋_GB2312"/>
        </w:rPr>
        <w:t>工程建设中，造成土壤侵蚀加速发展的因素包括自然因素和人为因素，人为因素是主导因素。影响该区域水土流失的自然因素主要有气候、地质、地形、地貌、土壤和植被等；人为因素有场地平整和清理、</w:t>
      </w:r>
      <w:r>
        <w:rPr>
          <w:rFonts w:hint="eastAsia" w:eastAsia="仿宋_GB2312"/>
        </w:rPr>
        <w:t>基础</w:t>
      </w:r>
      <w:r>
        <w:rPr>
          <w:rFonts w:eastAsia="仿宋_GB2312"/>
        </w:rPr>
        <w:t>开挖等施工活动，以上施工活动改变了外营力与土体抵抗力之间形成的自然相对平衡，潜在的自然因素在人为因素的诱发下加速土壤侵蚀，形成新的水土流失</w:t>
      </w:r>
      <w:r>
        <w:rPr>
          <w:rFonts w:hint="eastAsia" w:eastAsia="仿宋_GB2312"/>
        </w:rPr>
        <w:t>。</w:t>
      </w:r>
      <w:r>
        <w:rPr>
          <w:rFonts w:eastAsia="仿宋_GB2312"/>
        </w:rPr>
        <w:t>根据工程的建设特点，施工建设活动主要从以下几方面形成新增水土流失：</w:t>
      </w:r>
    </w:p>
    <w:p>
      <w:pPr>
        <w:tabs>
          <w:tab w:val="left" w:pos="840"/>
          <w:tab w:val="left" w:pos="1485"/>
        </w:tabs>
        <w:ind w:firstLine="480"/>
        <w:rPr>
          <w:rFonts w:eastAsia="仿宋_GB2312"/>
        </w:rPr>
      </w:pPr>
      <w:r>
        <w:rPr>
          <w:rFonts w:eastAsia="仿宋_GB2312"/>
        </w:rPr>
        <w:t>（</w:t>
      </w:r>
      <w:r>
        <w:rPr>
          <w:rFonts w:hint="eastAsia" w:eastAsia="仿宋_GB2312"/>
        </w:rPr>
        <w:t>1</w:t>
      </w:r>
      <w:r>
        <w:rPr>
          <w:rFonts w:eastAsia="仿宋_GB2312"/>
        </w:rPr>
        <w:t>）扰动和破坏原生植被</w:t>
      </w:r>
    </w:p>
    <w:p>
      <w:pPr>
        <w:tabs>
          <w:tab w:val="left" w:pos="840"/>
          <w:tab w:val="left" w:pos="1485"/>
        </w:tabs>
        <w:ind w:firstLine="480"/>
        <w:rPr>
          <w:rFonts w:eastAsia="仿宋_GB2312"/>
        </w:rPr>
      </w:pPr>
      <w:r>
        <w:rPr>
          <w:rFonts w:eastAsia="仿宋_GB2312"/>
        </w:rPr>
        <w:t>由于项目的建设，增加了人流、物流的强度，扩大了人类活动范围，增大了对地表土壤和植被的扰动强度。原生植被在以下几方面遭到破坏：地面平整、开挖、填筑等形成较大范围的裸露面；场地平整，</w:t>
      </w:r>
      <w:r>
        <w:rPr>
          <w:rFonts w:hint="eastAsia" w:eastAsia="仿宋_GB2312"/>
        </w:rPr>
        <w:t>基础</w:t>
      </w:r>
      <w:r>
        <w:rPr>
          <w:rFonts w:eastAsia="仿宋_GB2312"/>
        </w:rPr>
        <w:t>开挖等占压地面、损坏植被；施工机械的碾压和人员践踏等生产与生活活动破坏植被，并可能使周边区域的植被也受到影响。</w:t>
      </w:r>
    </w:p>
    <w:p>
      <w:pPr>
        <w:tabs>
          <w:tab w:val="left" w:pos="840"/>
          <w:tab w:val="left" w:pos="1485"/>
        </w:tabs>
        <w:ind w:firstLine="480"/>
        <w:rPr>
          <w:rFonts w:eastAsia="仿宋_GB2312"/>
        </w:rPr>
      </w:pPr>
      <w:r>
        <w:rPr>
          <w:rFonts w:eastAsia="仿宋_GB2312"/>
        </w:rPr>
        <w:t>（</w:t>
      </w:r>
      <w:r>
        <w:rPr>
          <w:rFonts w:hint="eastAsia" w:eastAsia="仿宋_GB2312"/>
        </w:rPr>
        <w:t>2</w:t>
      </w:r>
      <w:r>
        <w:rPr>
          <w:rFonts w:eastAsia="仿宋_GB2312"/>
        </w:rPr>
        <w:t>）土壤表层松散性加大</w:t>
      </w:r>
    </w:p>
    <w:p>
      <w:pPr>
        <w:tabs>
          <w:tab w:val="left" w:pos="840"/>
          <w:tab w:val="left" w:pos="1485"/>
        </w:tabs>
        <w:ind w:firstLine="480"/>
        <w:rPr>
          <w:rFonts w:eastAsia="仿宋_GB2312"/>
        </w:rPr>
      </w:pPr>
      <w:r>
        <w:rPr>
          <w:rFonts w:eastAsia="仿宋_GB2312"/>
        </w:rPr>
        <w:t>土壤是侵蚀过程中被侵蚀的对象。本项目建设区占地</w:t>
      </w:r>
      <w:r>
        <w:rPr>
          <w:rFonts w:hint="eastAsia" w:eastAsia="仿宋_GB2312"/>
        </w:rPr>
        <w:t>类型</w:t>
      </w:r>
      <w:r>
        <w:rPr>
          <w:rFonts w:eastAsia="仿宋_GB2312"/>
        </w:rPr>
        <w:t>均为</w:t>
      </w:r>
      <w:r>
        <w:rPr>
          <w:rFonts w:hint="eastAsia" w:eastAsia="仿宋_GB2312"/>
        </w:rPr>
        <w:t>建设用地</w:t>
      </w:r>
      <w:r>
        <w:rPr>
          <w:rFonts w:eastAsia="仿宋_GB2312"/>
        </w:rPr>
        <w:t>，土表具有较强的抗风蚀能力。由于项目的建设，产生</w:t>
      </w:r>
      <w:r>
        <w:rPr>
          <w:rFonts w:hint="eastAsia" w:eastAsia="仿宋_GB2312"/>
        </w:rPr>
        <w:t>一定量的</w:t>
      </w:r>
      <w:r>
        <w:rPr>
          <w:rFonts w:eastAsia="仿宋_GB2312"/>
        </w:rPr>
        <w:t>土石方开挖，</w:t>
      </w:r>
      <w:r>
        <w:rPr>
          <w:rFonts w:hint="eastAsia" w:eastAsia="仿宋_GB2312"/>
        </w:rPr>
        <w:t>这些</w:t>
      </w:r>
      <w:r>
        <w:rPr>
          <w:rFonts w:eastAsia="仿宋_GB2312"/>
        </w:rPr>
        <w:t>松散</w:t>
      </w:r>
      <w:r>
        <w:rPr>
          <w:rFonts w:hint="eastAsia" w:eastAsia="仿宋_GB2312"/>
        </w:rPr>
        <w:t>的</w:t>
      </w:r>
      <w:r>
        <w:rPr>
          <w:rFonts w:eastAsia="仿宋_GB2312"/>
        </w:rPr>
        <w:t>表土发生运移和重新堆积，使土壤水分大量散失，土体的机械组成混杂不一，丧失了原地表土壤的抗蚀力。在当地大风及强降雨的作用下，裸露带极易形成较强的水土流失。</w:t>
      </w:r>
    </w:p>
    <w:p>
      <w:pPr>
        <w:tabs>
          <w:tab w:val="left" w:pos="840"/>
          <w:tab w:val="left" w:pos="1485"/>
        </w:tabs>
        <w:ind w:firstLine="480"/>
        <w:rPr>
          <w:rFonts w:eastAsia="仿宋_GB2312"/>
        </w:rPr>
      </w:pPr>
      <w:r>
        <w:rPr>
          <w:rFonts w:eastAsia="仿宋_GB2312"/>
        </w:rPr>
        <w:t>（</w:t>
      </w:r>
      <w:r>
        <w:rPr>
          <w:rFonts w:hint="eastAsia" w:eastAsia="仿宋_GB2312"/>
        </w:rPr>
        <w:t>3</w:t>
      </w:r>
      <w:r>
        <w:rPr>
          <w:rFonts w:eastAsia="仿宋_GB2312"/>
        </w:rPr>
        <w:t>）原地貌形态改变</w:t>
      </w:r>
    </w:p>
    <w:p>
      <w:pPr>
        <w:ind w:firstLine="480"/>
        <w:rPr>
          <w:rFonts w:eastAsia="仿宋_GB2312"/>
        </w:rPr>
      </w:pPr>
      <w:r>
        <w:rPr>
          <w:rFonts w:eastAsia="仿宋_GB2312"/>
        </w:rPr>
        <w:t>项目建设中，开挖、填筑及临时堆土场等处形成了有较大坡度的人工地貌，改变了相对平坦的原地貌，使表土变的疏松、裸露，如果无适当的保护措施，当发生短历时、强降雨时，易在人工开挖、填、垫和临时堆土场边坡形成水力侵蚀</w:t>
      </w:r>
      <w:r>
        <w:rPr>
          <w:rFonts w:hint="eastAsia" w:eastAsia="仿宋_GB2312"/>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扰动地表、损坏水土保持设施预测</w:t>
      </w:r>
    </w:p>
    <w:p>
      <w:pPr>
        <w:tabs>
          <w:tab w:val="left" w:pos="840"/>
          <w:tab w:val="left" w:pos="1485"/>
        </w:tabs>
        <w:ind w:firstLine="480"/>
        <w:rPr>
          <w:rFonts w:eastAsia="仿宋_GB2312"/>
        </w:rPr>
      </w:pPr>
      <w:r>
        <w:rPr>
          <w:rFonts w:eastAsia="仿宋_GB2312"/>
        </w:rPr>
        <w:t>根据工程设计和现场调查分析评价，本项目建设区</w:t>
      </w:r>
      <w:r>
        <w:rPr>
          <w:rFonts w:hint="eastAsia" w:eastAsia="仿宋_GB2312"/>
        </w:rPr>
        <w:t>场地</w:t>
      </w:r>
      <w:r>
        <w:rPr>
          <w:rFonts w:eastAsia="仿宋_GB2312"/>
        </w:rPr>
        <w:t>硬化、加固层、植被、原始表土均为具有水土保持功能的设施，工程建设区域由于场地平整、基础施工、管沟开挖施工，原始地表、结皮、硬化层、植被、土壤等均将被破坏，因而损坏水土保持设施面积为工程建设占地扰动地表面积，共计</w:t>
      </w:r>
      <w:r>
        <w:rPr>
          <w:rFonts w:hint="eastAsia" w:eastAsia="仿宋_GB2312"/>
        </w:rPr>
        <w:t>2.88h</w:t>
      </w:r>
      <w:r>
        <w:rPr>
          <w:rFonts w:eastAsia="仿宋_GB2312"/>
        </w:rPr>
        <w:t>m²。扰动地表、损坏水土保持设施面积统计表，见表4.2-1。</w:t>
      </w:r>
    </w:p>
    <w:p>
      <w:pPr>
        <w:tabs>
          <w:tab w:val="left" w:pos="840"/>
          <w:tab w:val="left" w:pos="1485"/>
        </w:tabs>
        <w:spacing w:line="240" w:lineRule="auto"/>
        <w:ind w:firstLine="0" w:firstLineChars="0"/>
        <w:jc w:val="center"/>
        <w:rPr>
          <w:rFonts w:eastAsia="仿宋_GB2312"/>
          <w:b/>
        </w:rPr>
      </w:pPr>
      <w:r>
        <w:rPr>
          <w:rFonts w:eastAsia="仿宋_GB2312"/>
          <w:b/>
        </w:rPr>
        <w:t>表4.2-1  扰动地表、损坏水土保持设施面积统计表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8"/>
        <w:gridCol w:w="1897"/>
        <w:gridCol w:w="1046"/>
        <w:gridCol w:w="1594"/>
        <w:gridCol w:w="1558"/>
        <w:gridCol w:w="16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0" w:type="pct"/>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序号</w:t>
            </w:r>
          </w:p>
        </w:tc>
        <w:tc>
          <w:tcPr>
            <w:tcW w:w="1114" w:type="pct"/>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水土流失防治区</w:t>
            </w:r>
          </w:p>
        </w:tc>
        <w:tc>
          <w:tcPr>
            <w:tcW w:w="614" w:type="pct"/>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单位</w:t>
            </w:r>
          </w:p>
        </w:tc>
        <w:tc>
          <w:tcPr>
            <w:tcW w:w="936" w:type="pct"/>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占地面积</w:t>
            </w:r>
          </w:p>
        </w:tc>
        <w:tc>
          <w:tcPr>
            <w:tcW w:w="915" w:type="pct"/>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扰动地表面积</w:t>
            </w:r>
          </w:p>
        </w:tc>
        <w:tc>
          <w:tcPr>
            <w:tcW w:w="941" w:type="pct"/>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土地利用类型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0"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1</w:t>
            </w:r>
          </w:p>
        </w:tc>
        <w:tc>
          <w:tcPr>
            <w:tcW w:w="1114"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管道工程区</w:t>
            </w:r>
          </w:p>
        </w:tc>
        <w:tc>
          <w:tcPr>
            <w:tcW w:w="614"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hm</w:t>
            </w:r>
            <w:r>
              <w:rPr>
                <w:rFonts w:hint="eastAsia" w:eastAsia="仿宋_GB2312"/>
                <w:sz w:val="21"/>
                <w:szCs w:val="21"/>
                <w:vertAlign w:val="superscript"/>
              </w:rPr>
              <w:t>2</w:t>
            </w:r>
          </w:p>
        </w:tc>
        <w:tc>
          <w:tcPr>
            <w:tcW w:w="936"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2.71</w:t>
            </w:r>
          </w:p>
        </w:tc>
        <w:tc>
          <w:tcPr>
            <w:tcW w:w="915"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2.71</w:t>
            </w:r>
          </w:p>
        </w:tc>
        <w:tc>
          <w:tcPr>
            <w:tcW w:w="941"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建设用地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0"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2</w:t>
            </w:r>
          </w:p>
        </w:tc>
        <w:tc>
          <w:tcPr>
            <w:tcW w:w="1114"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附属构筑物区</w:t>
            </w:r>
          </w:p>
        </w:tc>
        <w:tc>
          <w:tcPr>
            <w:tcW w:w="614"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hm</w:t>
            </w:r>
            <w:r>
              <w:rPr>
                <w:rFonts w:hint="eastAsia" w:eastAsia="仿宋_GB2312"/>
                <w:sz w:val="21"/>
                <w:szCs w:val="21"/>
                <w:vertAlign w:val="superscript"/>
              </w:rPr>
              <w:t>2</w:t>
            </w:r>
          </w:p>
        </w:tc>
        <w:tc>
          <w:tcPr>
            <w:tcW w:w="936"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0.17</w:t>
            </w:r>
          </w:p>
        </w:tc>
        <w:tc>
          <w:tcPr>
            <w:tcW w:w="915"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0.17</w:t>
            </w:r>
          </w:p>
        </w:tc>
        <w:tc>
          <w:tcPr>
            <w:tcW w:w="941"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建设用地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0"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3</w:t>
            </w:r>
          </w:p>
        </w:tc>
        <w:tc>
          <w:tcPr>
            <w:tcW w:w="1114" w:type="pct"/>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合计</w:t>
            </w:r>
          </w:p>
        </w:tc>
        <w:tc>
          <w:tcPr>
            <w:tcW w:w="614" w:type="pct"/>
            <w:vAlign w:val="center"/>
          </w:tcPr>
          <w:p>
            <w:pPr>
              <w:tabs>
                <w:tab w:val="left" w:pos="840"/>
                <w:tab w:val="left" w:pos="1485"/>
              </w:tabs>
              <w:spacing w:line="240" w:lineRule="auto"/>
              <w:ind w:firstLine="0" w:firstLineChars="0"/>
              <w:jc w:val="center"/>
              <w:rPr>
                <w:rFonts w:eastAsia="仿宋_GB2312"/>
                <w:sz w:val="21"/>
                <w:szCs w:val="21"/>
              </w:rPr>
            </w:pPr>
          </w:p>
        </w:tc>
        <w:tc>
          <w:tcPr>
            <w:tcW w:w="936"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2.88</w:t>
            </w:r>
          </w:p>
        </w:tc>
        <w:tc>
          <w:tcPr>
            <w:tcW w:w="915"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2.88</w:t>
            </w:r>
          </w:p>
        </w:tc>
        <w:tc>
          <w:tcPr>
            <w:tcW w:w="941" w:type="pct"/>
            <w:vAlign w:val="center"/>
          </w:tcPr>
          <w:p>
            <w:pPr>
              <w:autoSpaceDE w:val="0"/>
              <w:autoSpaceDN w:val="0"/>
              <w:spacing w:line="0" w:lineRule="atLeast"/>
              <w:ind w:right="-20" w:firstLine="0" w:firstLineChars="0"/>
              <w:jc w:val="center"/>
              <w:rPr>
                <w:rFonts w:eastAsia="仿宋_GB2312"/>
                <w:position w:val="-2"/>
                <w:sz w:val="21"/>
                <w:szCs w:val="21"/>
              </w:rPr>
            </w:pPr>
          </w:p>
        </w:tc>
      </w:tr>
    </w:tbl>
    <w:p>
      <w:pPr>
        <w:pStyle w:val="4"/>
        <w:keepLines/>
        <w:widowControl/>
        <w:numPr>
          <w:ilvl w:val="2"/>
          <w:numId w:val="1"/>
        </w:numPr>
        <w:tabs>
          <w:tab w:val="clear" w:pos="432"/>
          <w:tab w:val="clear" w:pos="960"/>
        </w:tabs>
        <w:kinsoku/>
        <w:overflowPunct/>
        <w:topLinePunct w:val="0"/>
        <w:autoSpaceDE/>
        <w:autoSpaceDN/>
        <w:adjustRightInd/>
        <w:snapToGrid/>
        <w:spacing w:beforeLines="100"/>
        <w:ind w:left="0" w:firstLine="0"/>
        <w:jc w:val="both"/>
        <w:rPr>
          <w:rFonts w:eastAsia="仿宋_GB2312"/>
        </w:rPr>
      </w:pPr>
      <w:r>
        <w:rPr>
          <w:rFonts w:eastAsia="仿宋_GB2312"/>
        </w:rPr>
        <w:t>弃土弃渣量预测</w:t>
      </w:r>
    </w:p>
    <w:p>
      <w:pPr>
        <w:tabs>
          <w:tab w:val="left" w:pos="840"/>
          <w:tab w:val="left" w:pos="1485"/>
        </w:tabs>
        <w:ind w:firstLine="480"/>
        <w:rPr>
          <w:rFonts w:eastAsia="仿宋_GB2312"/>
        </w:rPr>
      </w:pPr>
      <w:r>
        <w:rPr>
          <w:rFonts w:hint="eastAsia" w:eastAsia="仿宋_GB2312"/>
        </w:rPr>
        <w:t>第十四师224团团部污水管网改造项目总挖方共计1.9万</w:t>
      </w:r>
      <w:r>
        <w:rPr>
          <w:rFonts w:eastAsia="仿宋_GB2312"/>
        </w:rPr>
        <w:t>m</w:t>
      </w:r>
      <w:r>
        <w:rPr>
          <w:rFonts w:eastAsia="仿宋_GB2312"/>
          <w:vertAlign w:val="superscript"/>
        </w:rPr>
        <w:t>3</w:t>
      </w:r>
      <w:r>
        <w:rPr>
          <w:rFonts w:hint="eastAsia" w:eastAsia="仿宋_GB2312"/>
        </w:rPr>
        <w:t>，总填方共计1.9万</w:t>
      </w:r>
      <w:r>
        <w:rPr>
          <w:rFonts w:eastAsia="仿宋_GB2312"/>
        </w:rPr>
        <w:t>m</w:t>
      </w:r>
      <w:r>
        <w:rPr>
          <w:rFonts w:eastAsia="仿宋_GB2312"/>
          <w:vertAlign w:val="superscript"/>
        </w:rPr>
        <w:t>3</w:t>
      </w:r>
      <w:r>
        <w:rPr>
          <w:rFonts w:hint="eastAsia" w:eastAsia="仿宋_GB2312"/>
        </w:rPr>
        <w:t>，开挖土方通过内部调运大部分土方回填利用，剩余土方平摊至施工范围内，全部按填方考虑。</w:t>
      </w:r>
      <w:r>
        <w:rPr>
          <w:rFonts w:hint="eastAsia" w:eastAsia="仿宋_GB2312"/>
          <w:color w:val="000000"/>
        </w:rPr>
        <w:t>本项目仅有少量路面拆除垃圾运至垃圾场处理。</w:t>
      </w:r>
      <w:r>
        <w:rPr>
          <w:rFonts w:hint="eastAsia" w:eastAsia="仿宋_GB2312"/>
        </w:rPr>
        <w:t>工程总体挖填平衡，无永久废弃土石方，不会产生水土流失影响。</w:t>
      </w:r>
    </w:p>
    <w:p>
      <w:pPr>
        <w:pStyle w:val="3"/>
        <w:widowControl/>
        <w:numPr>
          <w:ilvl w:val="1"/>
          <w:numId w:val="1"/>
        </w:numPr>
        <w:tabs>
          <w:tab w:val="clear" w:pos="1002"/>
        </w:tabs>
        <w:topLinePunct w:val="0"/>
        <w:adjustRightInd/>
        <w:snapToGrid/>
        <w:ind w:left="0" w:firstLine="0"/>
        <w:jc w:val="both"/>
        <w:rPr>
          <w:rFonts w:eastAsia="仿宋_GB2312"/>
        </w:rPr>
      </w:pPr>
      <w:bookmarkStart w:id="226" w:name="_Toc7801469"/>
      <w:bookmarkStart w:id="227" w:name="_Toc50221512"/>
      <w:bookmarkStart w:id="228" w:name="_Toc7801562"/>
      <w:bookmarkStart w:id="229" w:name="_Toc7801402"/>
      <w:r>
        <w:rPr>
          <w:rFonts w:eastAsia="仿宋_GB2312"/>
        </w:rPr>
        <w:t>土壤流失量预测</w:t>
      </w:r>
      <w:bookmarkEnd w:id="220"/>
      <w:bookmarkEnd w:id="221"/>
      <w:bookmarkEnd w:id="226"/>
      <w:bookmarkEnd w:id="227"/>
      <w:bookmarkEnd w:id="228"/>
      <w:bookmarkEnd w:id="229"/>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预测单元</w:t>
      </w:r>
    </w:p>
    <w:p>
      <w:pPr>
        <w:tabs>
          <w:tab w:val="left" w:pos="840"/>
          <w:tab w:val="left" w:pos="1485"/>
        </w:tabs>
        <w:ind w:firstLine="480"/>
        <w:rPr>
          <w:rFonts w:eastAsia="仿宋_GB2312"/>
        </w:rPr>
      </w:pPr>
      <w:bookmarkStart w:id="230" w:name="_Toc294538842"/>
      <w:r>
        <w:rPr>
          <w:rFonts w:eastAsia="仿宋_GB2312"/>
        </w:rPr>
        <w:t>本项目水土流失发生在建设区范围内，工程建设扰动的区域都会发生水土流失，但是根据不同的扰动情况，各区水土流失强度不尽相同。</w:t>
      </w:r>
    </w:p>
    <w:p>
      <w:pPr>
        <w:tabs>
          <w:tab w:val="left" w:pos="840"/>
          <w:tab w:val="left" w:pos="1485"/>
        </w:tabs>
        <w:ind w:firstLine="480"/>
        <w:rPr>
          <w:rFonts w:eastAsia="仿宋_GB2312"/>
        </w:rPr>
      </w:pPr>
      <w:r>
        <w:rPr>
          <w:rFonts w:eastAsia="仿宋_GB2312"/>
        </w:rPr>
        <w:t>根据主体工程总体布局及项目特点，结合现场踏勘与实地调查，本水土保持方案新增水土流失预测范围为项目水土流失防治责任范围，按扰动方式、扰动后地表物质组成等因素，预测单元包括</w:t>
      </w:r>
      <w:r>
        <w:rPr>
          <w:rFonts w:hint="eastAsia" w:eastAsia="仿宋_GB2312"/>
        </w:rPr>
        <w:t>管道工程区、附属构筑物区</w:t>
      </w:r>
      <w:r>
        <w:rPr>
          <w:rFonts w:eastAsia="仿宋_GB2312"/>
        </w:rPr>
        <w:t>。经统计计算，共计预测范围</w:t>
      </w:r>
      <w:r>
        <w:rPr>
          <w:rFonts w:hint="eastAsia" w:eastAsia="仿宋_GB2312"/>
        </w:rPr>
        <w:t>2.88h</w:t>
      </w:r>
      <w:r>
        <w:rPr>
          <w:rFonts w:eastAsia="仿宋_GB2312"/>
        </w:rPr>
        <w:t>m²，为各项目建设区占地面积。</w:t>
      </w:r>
    </w:p>
    <w:p>
      <w:pPr>
        <w:ind w:firstLine="480"/>
        <w:rPr>
          <w:rFonts w:eastAsia="仿宋_GB2312"/>
          <w:color w:val="000000"/>
        </w:rPr>
      </w:pPr>
      <w:r>
        <w:rPr>
          <w:rFonts w:eastAsia="仿宋_GB2312"/>
          <w:color w:val="000000"/>
        </w:rPr>
        <w:t>各时期各建设区水土流失面积统计计算见表4.3-1。</w:t>
      </w:r>
    </w:p>
    <w:p>
      <w:pPr>
        <w:spacing w:line="240" w:lineRule="auto"/>
        <w:ind w:firstLine="480"/>
        <w:jc w:val="center"/>
        <w:rPr>
          <w:rFonts w:eastAsia="仿宋_GB2312"/>
          <w:b/>
          <w:color w:val="000000"/>
        </w:rPr>
      </w:pPr>
      <w:r>
        <w:rPr>
          <w:rFonts w:eastAsia="仿宋_GB2312"/>
          <w:b/>
          <w:color w:val="000000"/>
        </w:rPr>
        <w:t>表4.3-1  不同时期水土流失预测范围统计表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105"/>
        <w:gridCol w:w="2705"/>
        <w:gridCol w:w="27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23" w:type="pct"/>
            <w:vMerge w:val="restart"/>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预测单元</w:t>
            </w:r>
          </w:p>
        </w:tc>
        <w:tc>
          <w:tcPr>
            <w:tcW w:w="3177" w:type="pct"/>
            <w:gridSpan w:val="2"/>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预测范围（</w:t>
            </w:r>
            <w:r>
              <w:rPr>
                <w:rFonts w:hint="eastAsia" w:eastAsia="仿宋_GB2312"/>
                <w:sz w:val="21"/>
                <w:szCs w:val="21"/>
              </w:rPr>
              <w:t>h</w:t>
            </w:r>
            <w:r>
              <w:rPr>
                <w:rFonts w:eastAsia="仿宋_GB2312"/>
                <w:sz w:val="21"/>
                <w:szCs w:val="21"/>
              </w:rPr>
              <w:t>m²）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23" w:type="pct"/>
            <w:vMerge w:val="continue"/>
            <w:vAlign w:val="center"/>
          </w:tcPr>
          <w:p>
            <w:pPr>
              <w:tabs>
                <w:tab w:val="left" w:pos="840"/>
                <w:tab w:val="left" w:pos="1485"/>
              </w:tabs>
              <w:spacing w:line="240" w:lineRule="auto"/>
              <w:ind w:firstLine="0" w:firstLineChars="0"/>
              <w:jc w:val="center"/>
              <w:rPr>
                <w:rFonts w:eastAsia="仿宋_GB2312"/>
                <w:sz w:val="21"/>
                <w:szCs w:val="21"/>
              </w:rPr>
            </w:pPr>
          </w:p>
        </w:tc>
        <w:tc>
          <w:tcPr>
            <w:tcW w:w="1588" w:type="pct"/>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施工期</w:t>
            </w:r>
          </w:p>
        </w:tc>
        <w:tc>
          <w:tcPr>
            <w:tcW w:w="1589" w:type="pct"/>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自然恢复期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23"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管道工程区</w:t>
            </w:r>
          </w:p>
        </w:tc>
        <w:tc>
          <w:tcPr>
            <w:tcW w:w="1588"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2.71</w:t>
            </w:r>
          </w:p>
        </w:tc>
        <w:tc>
          <w:tcPr>
            <w:tcW w:w="1589"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1.83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23"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附属构筑物区</w:t>
            </w:r>
          </w:p>
        </w:tc>
        <w:tc>
          <w:tcPr>
            <w:tcW w:w="1588"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0.17</w:t>
            </w:r>
          </w:p>
        </w:tc>
        <w:tc>
          <w:tcPr>
            <w:tcW w:w="1589"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23" w:type="pct"/>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合计</w:t>
            </w:r>
          </w:p>
        </w:tc>
        <w:tc>
          <w:tcPr>
            <w:tcW w:w="1588"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2.88</w:t>
            </w:r>
          </w:p>
        </w:tc>
        <w:tc>
          <w:tcPr>
            <w:tcW w:w="1589"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1.89</w:t>
            </w:r>
          </w:p>
        </w:tc>
      </w:tr>
    </w:tbl>
    <w:p>
      <w:pPr>
        <w:pStyle w:val="4"/>
        <w:keepLines/>
        <w:widowControl/>
        <w:numPr>
          <w:ilvl w:val="2"/>
          <w:numId w:val="1"/>
        </w:numPr>
        <w:tabs>
          <w:tab w:val="clear" w:pos="432"/>
          <w:tab w:val="clear" w:pos="960"/>
        </w:tabs>
        <w:kinsoku/>
        <w:overflowPunct/>
        <w:topLinePunct w:val="0"/>
        <w:autoSpaceDE/>
        <w:autoSpaceDN/>
        <w:adjustRightInd/>
        <w:snapToGrid/>
        <w:spacing w:beforeLines="100"/>
        <w:ind w:left="0" w:firstLine="0"/>
        <w:jc w:val="both"/>
        <w:rPr>
          <w:rFonts w:eastAsia="仿宋_GB2312"/>
        </w:rPr>
      </w:pPr>
      <w:r>
        <w:rPr>
          <w:rFonts w:eastAsia="仿宋_GB2312"/>
        </w:rPr>
        <w:t>预测时段</w:t>
      </w:r>
      <w:bookmarkEnd w:id="230"/>
    </w:p>
    <w:p>
      <w:pPr>
        <w:autoSpaceDE w:val="0"/>
        <w:autoSpaceDN w:val="0"/>
        <w:ind w:firstLine="480"/>
        <w:rPr>
          <w:rFonts w:eastAsia="仿宋_GB2312"/>
          <w:kern w:val="10"/>
          <w:lang w:val="zh-CN"/>
        </w:rPr>
      </w:pPr>
      <w:r>
        <w:rPr>
          <w:rFonts w:eastAsia="仿宋_GB2312"/>
          <w:kern w:val="10"/>
          <w:lang w:val="zh-CN"/>
        </w:rPr>
        <w:t>由于本项目为建设类项目，结合</w:t>
      </w:r>
      <w:bookmarkStart w:id="231" w:name="OLE_LINK11"/>
      <w:r>
        <w:rPr>
          <w:rFonts w:eastAsia="仿宋_GB2312"/>
          <w:kern w:val="10"/>
          <w:lang w:val="zh-CN"/>
        </w:rPr>
        <w:t>工程建设过程中</w:t>
      </w:r>
      <w:bookmarkEnd w:id="231"/>
      <w:r>
        <w:rPr>
          <w:rFonts w:eastAsia="仿宋_GB2312"/>
          <w:kern w:val="10"/>
          <w:lang w:val="zh-CN"/>
        </w:rPr>
        <w:t>水土流失发生和发展具体情况，将水土流失预测期分为施工期（含施工准备期）、自然恢复期两个时段。项目建设期为施工期，竣工以后建设期扰动区则进入自然恢复期。</w:t>
      </w:r>
    </w:p>
    <w:p>
      <w:pPr>
        <w:autoSpaceDE w:val="0"/>
        <w:autoSpaceDN w:val="0"/>
        <w:ind w:firstLine="480"/>
        <w:rPr>
          <w:rFonts w:eastAsia="仿宋_GB2312"/>
          <w:kern w:val="10"/>
          <w:lang w:val="zh-CN"/>
        </w:rPr>
      </w:pPr>
      <w:r>
        <w:rPr>
          <w:rFonts w:hint="eastAsia" w:eastAsia="仿宋_GB2312" w:cs="宋体"/>
        </w:rPr>
        <w:t>自然恢复期是指单项工程完工后不采取任何措施情况下，植被自然恢复，使土壤侵蚀模数达到原背景值所需的时间，通过对区域降雨、土壤以及自然植被生长状况的调查，确定本项目自然恢复期为5年。</w:t>
      </w:r>
    </w:p>
    <w:p>
      <w:pPr>
        <w:autoSpaceDE w:val="0"/>
        <w:autoSpaceDN w:val="0"/>
        <w:ind w:firstLine="480"/>
        <w:rPr>
          <w:rFonts w:eastAsia="仿宋_GB2312"/>
          <w:kern w:val="10"/>
          <w:lang w:val="zh-CN"/>
        </w:rPr>
      </w:pPr>
      <w:r>
        <w:rPr>
          <w:rFonts w:eastAsia="仿宋_GB2312"/>
          <w:kern w:val="10"/>
          <w:lang w:val="zh-CN"/>
        </w:rPr>
        <w:t>各防治分区的预测时段根据生产建设特点、施工安排、工程建设时间，结合产生水土流失的季节，以最不利时段确定预测时段，即施工时段超过风季、雨季长度的按全年计算，不超过风、雨季长度的按占风季或雨季长度的比例计算。</w:t>
      </w:r>
    </w:p>
    <w:p>
      <w:pPr>
        <w:autoSpaceDE w:val="0"/>
        <w:autoSpaceDN w:val="0"/>
        <w:ind w:firstLine="480"/>
        <w:rPr>
          <w:rFonts w:eastAsia="仿宋_GB2312"/>
          <w:kern w:val="10"/>
          <w:lang w:val="zh-CN"/>
        </w:rPr>
      </w:pPr>
      <w:r>
        <w:rPr>
          <w:rFonts w:eastAsia="仿宋_GB2312"/>
          <w:kern w:val="10"/>
          <w:lang w:val="zh-CN"/>
        </w:rPr>
        <w:t>根据项目建设实际情况，本项目建设期各工程区水土流失预测单元及预测时间见表4.3-2。</w:t>
      </w:r>
    </w:p>
    <w:p>
      <w:pPr>
        <w:autoSpaceDE w:val="0"/>
        <w:autoSpaceDN w:val="0"/>
        <w:spacing w:line="240" w:lineRule="auto"/>
        <w:ind w:firstLine="0" w:firstLineChars="0"/>
        <w:jc w:val="center"/>
        <w:rPr>
          <w:rFonts w:eastAsia="仿宋_GB2312"/>
          <w:b/>
          <w:bCs/>
          <w:kern w:val="10"/>
          <w:lang w:val="zh-CN"/>
        </w:rPr>
      </w:pPr>
      <w:r>
        <w:rPr>
          <w:rFonts w:eastAsia="仿宋_GB2312"/>
          <w:b/>
          <w:bCs/>
          <w:kern w:val="10"/>
          <w:lang w:val="zh-CN"/>
        </w:rPr>
        <w:t xml:space="preserve">表4.3-2    </w:t>
      </w:r>
      <w:bookmarkStart w:id="232" w:name="RANGE!B4:F9"/>
      <w:bookmarkEnd w:id="232"/>
      <w:bookmarkStart w:id="233" w:name="RANGE!B4:F7"/>
      <w:bookmarkEnd w:id="233"/>
      <w:r>
        <w:rPr>
          <w:rFonts w:eastAsia="仿宋_GB2312"/>
          <w:b/>
          <w:bCs/>
          <w:kern w:val="10"/>
          <w:lang w:val="zh-CN"/>
        </w:rPr>
        <w:t>工程建设产生水土流失预测时段统计表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9"/>
        <w:gridCol w:w="2340"/>
        <w:gridCol w:w="2701"/>
        <w:gridCol w:w="16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62" w:type="pct"/>
            <w:vMerge w:val="restart"/>
            <w:vAlign w:val="center"/>
          </w:tcPr>
          <w:p>
            <w:pPr>
              <w:spacing w:line="0" w:lineRule="atLeast"/>
              <w:ind w:firstLine="0" w:firstLineChars="0"/>
              <w:jc w:val="center"/>
              <w:rPr>
                <w:rFonts w:eastAsia="仿宋_GB2312"/>
                <w:sz w:val="21"/>
                <w:szCs w:val="21"/>
              </w:rPr>
            </w:pPr>
            <w:r>
              <w:rPr>
                <w:rFonts w:eastAsia="仿宋_GB2312"/>
                <w:sz w:val="21"/>
                <w:szCs w:val="21"/>
              </w:rPr>
              <w:t>一级分区</w:t>
            </w:r>
          </w:p>
        </w:tc>
        <w:tc>
          <w:tcPr>
            <w:tcW w:w="1374" w:type="pct"/>
            <w:vMerge w:val="restart"/>
            <w:vAlign w:val="center"/>
          </w:tcPr>
          <w:p>
            <w:pPr>
              <w:spacing w:line="0" w:lineRule="atLeast"/>
              <w:ind w:firstLine="0" w:firstLineChars="0"/>
              <w:jc w:val="center"/>
              <w:rPr>
                <w:rFonts w:eastAsia="仿宋_GB2312"/>
                <w:sz w:val="21"/>
                <w:szCs w:val="21"/>
              </w:rPr>
            </w:pPr>
            <w:r>
              <w:rPr>
                <w:rFonts w:eastAsia="仿宋_GB2312"/>
                <w:sz w:val="21"/>
                <w:szCs w:val="21"/>
              </w:rPr>
              <w:t>二级分区</w:t>
            </w:r>
          </w:p>
        </w:tc>
        <w:tc>
          <w:tcPr>
            <w:tcW w:w="2564" w:type="pct"/>
            <w:gridSpan w:val="2"/>
            <w:vAlign w:val="center"/>
          </w:tcPr>
          <w:p>
            <w:pPr>
              <w:spacing w:line="0" w:lineRule="atLeast"/>
              <w:ind w:firstLine="420"/>
              <w:jc w:val="center"/>
              <w:rPr>
                <w:rFonts w:eastAsia="仿宋_GB2312"/>
                <w:b/>
                <w:sz w:val="21"/>
                <w:szCs w:val="21"/>
              </w:rPr>
            </w:pPr>
            <w:r>
              <w:rPr>
                <w:rFonts w:eastAsia="仿宋_GB2312"/>
                <w:sz w:val="21"/>
                <w:szCs w:val="21"/>
              </w:rPr>
              <w:t>预测年限（年）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62" w:type="pct"/>
            <w:vMerge w:val="continue"/>
            <w:vAlign w:val="center"/>
          </w:tcPr>
          <w:p>
            <w:pPr>
              <w:spacing w:line="0" w:lineRule="atLeast"/>
              <w:ind w:firstLine="420"/>
              <w:jc w:val="center"/>
              <w:rPr>
                <w:rFonts w:eastAsia="仿宋_GB2312"/>
                <w:b/>
                <w:sz w:val="21"/>
                <w:szCs w:val="21"/>
              </w:rPr>
            </w:pPr>
          </w:p>
        </w:tc>
        <w:tc>
          <w:tcPr>
            <w:tcW w:w="1374" w:type="pct"/>
            <w:vMerge w:val="continue"/>
            <w:vAlign w:val="center"/>
          </w:tcPr>
          <w:p>
            <w:pPr>
              <w:spacing w:line="0" w:lineRule="atLeast"/>
              <w:ind w:firstLine="420"/>
              <w:jc w:val="center"/>
              <w:rPr>
                <w:rFonts w:eastAsia="仿宋_GB2312"/>
                <w:b/>
                <w:sz w:val="21"/>
                <w:szCs w:val="21"/>
              </w:rPr>
            </w:pPr>
          </w:p>
        </w:tc>
        <w:tc>
          <w:tcPr>
            <w:tcW w:w="1586" w:type="pct"/>
            <w:vAlign w:val="center"/>
          </w:tcPr>
          <w:p>
            <w:pPr>
              <w:autoSpaceDE w:val="0"/>
              <w:autoSpaceDN w:val="0"/>
              <w:spacing w:line="0" w:lineRule="atLeast"/>
              <w:ind w:firstLine="0" w:firstLineChars="0"/>
              <w:jc w:val="center"/>
              <w:rPr>
                <w:rFonts w:eastAsia="仿宋_GB2312"/>
                <w:sz w:val="21"/>
                <w:szCs w:val="21"/>
              </w:rPr>
            </w:pPr>
            <w:r>
              <w:rPr>
                <w:rFonts w:eastAsia="仿宋_GB2312"/>
                <w:sz w:val="21"/>
                <w:szCs w:val="21"/>
              </w:rPr>
              <w:t>施工期（含施工准备期）</w:t>
            </w:r>
          </w:p>
        </w:tc>
        <w:tc>
          <w:tcPr>
            <w:tcW w:w="978" w:type="pct"/>
            <w:vAlign w:val="center"/>
          </w:tcPr>
          <w:p>
            <w:pPr>
              <w:spacing w:line="0" w:lineRule="atLeast"/>
              <w:ind w:firstLine="0" w:firstLineChars="0"/>
              <w:jc w:val="center"/>
              <w:rPr>
                <w:rFonts w:eastAsia="仿宋_GB2312"/>
                <w:sz w:val="21"/>
                <w:szCs w:val="21"/>
              </w:rPr>
            </w:pPr>
            <w:r>
              <w:rPr>
                <w:rFonts w:eastAsia="仿宋_GB2312"/>
                <w:sz w:val="21"/>
                <w:szCs w:val="21"/>
              </w:rPr>
              <w:t>自然恢复</w:t>
            </w:r>
            <w:r>
              <w:rPr>
                <w:rFonts w:hint="eastAsia" w:eastAsia="仿宋_GB2312"/>
                <w:sz w:val="21"/>
                <w:szCs w:val="21"/>
              </w:rPr>
              <w:t>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62" w:type="pct"/>
            <w:vMerge w:val="restart"/>
            <w:vAlign w:val="center"/>
          </w:tcPr>
          <w:p>
            <w:pPr>
              <w:spacing w:line="0" w:lineRule="atLeast"/>
              <w:ind w:firstLine="0" w:firstLineChars="0"/>
              <w:jc w:val="center"/>
              <w:rPr>
                <w:rFonts w:eastAsia="仿宋_GB2312"/>
                <w:sz w:val="21"/>
                <w:szCs w:val="21"/>
              </w:rPr>
            </w:pPr>
            <w:r>
              <w:rPr>
                <w:rFonts w:hint="eastAsia" w:eastAsia="仿宋_GB2312"/>
                <w:sz w:val="21"/>
                <w:szCs w:val="21"/>
              </w:rPr>
              <w:t>冲洪积平原区</w:t>
            </w:r>
          </w:p>
        </w:tc>
        <w:tc>
          <w:tcPr>
            <w:tcW w:w="1374"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管道工程区</w:t>
            </w:r>
          </w:p>
        </w:tc>
        <w:tc>
          <w:tcPr>
            <w:tcW w:w="158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0.08</w:t>
            </w:r>
          </w:p>
        </w:tc>
        <w:tc>
          <w:tcPr>
            <w:tcW w:w="978" w:type="pct"/>
            <w:vAlign w:val="center"/>
          </w:tcPr>
          <w:p>
            <w:pPr>
              <w:spacing w:line="0" w:lineRule="atLeast"/>
              <w:ind w:firstLine="0" w:firstLineChars="0"/>
              <w:jc w:val="center"/>
              <w:rPr>
                <w:rFonts w:eastAsia="仿宋_GB2312"/>
                <w:color w:val="FF0000"/>
                <w:sz w:val="21"/>
                <w:szCs w:val="21"/>
              </w:rPr>
            </w:pPr>
            <w:r>
              <w:rPr>
                <w:rFonts w:hint="eastAsia" w:eastAsia="仿宋_GB2312"/>
                <w:sz w:val="21"/>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62" w:type="pct"/>
            <w:vMerge w:val="continue"/>
            <w:vAlign w:val="center"/>
          </w:tcPr>
          <w:p>
            <w:pPr>
              <w:spacing w:line="0" w:lineRule="atLeast"/>
              <w:ind w:firstLine="0" w:firstLineChars="0"/>
              <w:jc w:val="center"/>
              <w:rPr>
                <w:rFonts w:eastAsia="仿宋_GB2312"/>
                <w:sz w:val="21"/>
                <w:szCs w:val="21"/>
              </w:rPr>
            </w:pPr>
          </w:p>
        </w:tc>
        <w:tc>
          <w:tcPr>
            <w:tcW w:w="1374"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附属构筑物区</w:t>
            </w:r>
          </w:p>
        </w:tc>
        <w:tc>
          <w:tcPr>
            <w:tcW w:w="158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0.08</w:t>
            </w:r>
          </w:p>
        </w:tc>
        <w:tc>
          <w:tcPr>
            <w:tcW w:w="978" w:type="pct"/>
            <w:vAlign w:val="center"/>
          </w:tcPr>
          <w:p>
            <w:pPr>
              <w:spacing w:line="0" w:lineRule="atLeast"/>
              <w:ind w:firstLine="0" w:firstLineChars="0"/>
              <w:jc w:val="center"/>
              <w:rPr>
                <w:rFonts w:eastAsia="仿宋_GB2312"/>
                <w:color w:val="FF0000"/>
                <w:sz w:val="21"/>
                <w:szCs w:val="21"/>
              </w:rPr>
            </w:pPr>
            <w:r>
              <w:rPr>
                <w:rFonts w:hint="eastAsia" w:eastAsia="仿宋_GB2312"/>
                <w:sz w:val="21"/>
                <w:szCs w:val="21"/>
              </w:rPr>
              <w:t>5</w:t>
            </w:r>
          </w:p>
        </w:tc>
      </w:tr>
    </w:tbl>
    <w:p>
      <w:pPr>
        <w:pStyle w:val="4"/>
        <w:keepLines/>
        <w:widowControl/>
        <w:numPr>
          <w:ilvl w:val="2"/>
          <w:numId w:val="1"/>
        </w:numPr>
        <w:tabs>
          <w:tab w:val="clear" w:pos="432"/>
          <w:tab w:val="clear" w:pos="960"/>
        </w:tabs>
        <w:kinsoku/>
        <w:overflowPunct/>
        <w:topLinePunct w:val="0"/>
        <w:autoSpaceDE/>
        <w:autoSpaceDN/>
        <w:adjustRightInd/>
        <w:snapToGrid/>
        <w:spacing w:beforeLines="100"/>
        <w:ind w:left="0" w:firstLine="0"/>
        <w:jc w:val="both"/>
        <w:rPr>
          <w:rFonts w:eastAsia="仿宋_GB2312"/>
        </w:rPr>
      </w:pPr>
      <w:r>
        <w:rPr>
          <w:rFonts w:eastAsia="仿宋_GB2312"/>
        </w:rPr>
        <w:t>土壤侵蚀模数</w:t>
      </w:r>
    </w:p>
    <w:p>
      <w:pPr>
        <w:pStyle w:val="5"/>
        <w:rPr>
          <w:kern w:val="2"/>
          <w:szCs w:val="28"/>
        </w:rPr>
      </w:pPr>
      <w:r>
        <w:rPr>
          <w:kern w:val="2"/>
          <w:szCs w:val="28"/>
        </w:rPr>
        <w:t>预测方法</w:t>
      </w:r>
    </w:p>
    <w:p>
      <w:pPr>
        <w:tabs>
          <w:tab w:val="left" w:pos="840"/>
          <w:tab w:val="left" w:pos="1485"/>
        </w:tabs>
        <w:ind w:firstLine="480"/>
        <w:rPr>
          <w:rFonts w:eastAsia="仿宋_GB2312"/>
        </w:rPr>
      </w:pPr>
      <w:r>
        <w:rPr>
          <w:rFonts w:eastAsia="仿宋_GB2312"/>
        </w:rPr>
        <w:t>造成水土流失量的来源有两方面：一是扰动地表损坏原地貌植被，使水土保持功能降低或丧失，形成加速侵蚀区而增加的水土流失量；二是由于堆放、排弃土石而增加的水土流失量；因此水土流失的预测应分区、分时段进行。本项目区水土流失量预测采取经验公式法计算：</w:t>
      </w:r>
    </w:p>
    <w:p>
      <w:pPr>
        <w:tabs>
          <w:tab w:val="left" w:pos="840"/>
          <w:tab w:val="left" w:pos="1485"/>
        </w:tabs>
        <w:ind w:firstLine="480"/>
        <w:rPr>
          <w:rFonts w:eastAsia="仿宋_GB2312"/>
        </w:rPr>
      </w:pPr>
      <w:r>
        <w:rPr>
          <w:rFonts w:eastAsia="仿宋_GB2312"/>
        </w:rPr>
        <w:t>（1）原生水土流失量预测</w:t>
      </w:r>
    </w:p>
    <w:p>
      <w:pPr>
        <w:tabs>
          <w:tab w:val="left" w:pos="840"/>
          <w:tab w:val="left" w:pos="1485"/>
        </w:tabs>
        <w:ind w:firstLine="480"/>
        <w:rPr>
          <w:rFonts w:eastAsia="仿宋_GB2312"/>
        </w:rPr>
      </w:pPr>
      <w:r>
        <w:rPr>
          <w:rFonts w:eastAsia="仿宋_GB2312"/>
        </w:rPr>
        <w:t>原生水土流失量预测采用土壤侵蚀模数法进行分析计算：</w:t>
      </w:r>
    </w:p>
    <w:p>
      <w:pPr>
        <w:tabs>
          <w:tab w:val="left" w:pos="840"/>
          <w:tab w:val="left" w:pos="1485"/>
        </w:tabs>
        <w:ind w:firstLine="480"/>
        <w:rPr>
          <w:rFonts w:eastAsia="仿宋_GB2312"/>
        </w:rPr>
      </w:pPr>
      <w:r>
        <w:rPr>
          <w:rFonts w:eastAsia="仿宋_GB2312"/>
        </w:rPr>
        <w:object>
          <v:shape id="_x0000_i1026" o:spt="75" type="#_x0000_t75" style="height:41.25pt;width:135.75pt;" o:ole="t" filled="f" o:preferrelative="t" stroked="f" coordsize="21600,21600">
            <v:path/>
            <v:fill on="f" focussize="0,0"/>
            <v:stroke on="f" joinstyle="miter"/>
            <v:imagedata r:id="rId40" o:title=""/>
            <o:lock v:ext="edit" aspectratio="t"/>
            <w10:wrap type="none"/>
            <w10:anchorlock/>
          </v:shape>
          <o:OLEObject Type="Embed" ProgID="Equation.3" ShapeID="_x0000_i1026" DrawAspect="Content" ObjectID="_1468075726" r:id="rId39">
            <o:LockedField>false</o:LockedField>
          </o:OLEObject>
        </w:object>
      </w:r>
    </w:p>
    <w:p>
      <w:pPr>
        <w:tabs>
          <w:tab w:val="left" w:pos="840"/>
          <w:tab w:val="left" w:pos="1485"/>
        </w:tabs>
        <w:ind w:firstLine="480"/>
        <w:rPr>
          <w:rFonts w:eastAsia="仿宋_GB2312"/>
        </w:rPr>
      </w:pPr>
      <w:r>
        <w:rPr>
          <w:rFonts w:eastAsia="仿宋_GB2312"/>
        </w:rPr>
        <w:t>式中：W原：原地貌水土流失量，t；i：不同土地利用类型；Mi：原地貌土壤侵蚀模数，</w:t>
      </w:r>
      <w:bookmarkStart w:id="234" w:name="OLE_LINK109"/>
      <w:r>
        <w:rPr>
          <w:rFonts w:eastAsia="仿宋_GB2312"/>
        </w:rPr>
        <w:t>t/km²·a</w:t>
      </w:r>
      <w:bookmarkEnd w:id="234"/>
      <w:r>
        <w:rPr>
          <w:rFonts w:eastAsia="仿宋_GB2312"/>
        </w:rPr>
        <w:t>；Fi：不同的地貌单元面积，km²；Ti：水土流失预测时段，年（a）。</w:t>
      </w:r>
    </w:p>
    <w:p>
      <w:pPr>
        <w:tabs>
          <w:tab w:val="left" w:pos="840"/>
          <w:tab w:val="left" w:pos="1485"/>
        </w:tabs>
        <w:ind w:firstLine="480"/>
        <w:rPr>
          <w:rFonts w:eastAsia="仿宋_GB2312"/>
        </w:rPr>
      </w:pPr>
      <w:r>
        <w:rPr>
          <w:rFonts w:eastAsia="仿宋_GB2312"/>
        </w:rPr>
        <w:t>（2）扰动后的水土流失量计算方法</w:t>
      </w:r>
    </w:p>
    <w:p>
      <w:pPr>
        <w:tabs>
          <w:tab w:val="left" w:pos="840"/>
          <w:tab w:val="left" w:pos="1485"/>
        </w:tabs>
        <w:ind w:firstLine="480"/>
        <w:rPr>
          <w:rFonts w:eastAsia="仿宋_GB2312"/>
        </w:rPr>
      </w:pPr>
      <w:r>
        <w:rPr>
          <w:rFonts w:eastAsia="仿宋_GB2312"/>
        </w:rPr>
        <w:t>扰动后水土流失预测按下式计算</w:t>
      </w:r>
      <w:r>
        <w:rPr>
          <w:rFonts w:hint="eastAsia" w:eastAsia="仿宋_GB2312"/>
        </w:rPr>
        <w:t>：</w:t>
      </w:r>
    </w:p>
    <w:p>
      <w:pPr>
        <w:tabs>
          <w:tab w:val="left" w:pos="840"/>
          <w:tab w:val="left" w:pos="1485"/>
        </w:tabs>
        <w:ind w:firstLine="480"/>
        <w:rPr>
          <w:rFonts w:eastAsia="仿宋_GB2312"/>
        </w:rPr>
      </w:pPr>
      <w:r>
        <w:rPr>
          <w:rFonts w:eastAsia="仿宋_GB2312"/>
        </w:rPr>
        <w:object>
          <v:shape id="_x0000_i1027" o:spt="75" type="#_x0000_t75" style="height:41.25pt;width:135.75pt;" o:ole="t" filled="f" o:preferrelative="t" stroked="f" coordsize="21600,21600">
            <v:path/>
            <v:fill on="f" focussize="0,0"/>
            <v:stroke on="f" joinstyle="miter"/>
            <v:imagedata r:id="rId42" o:title=""/>
            <o:lock v:ext="edit" aspectratio="t"/>
            <w10:wrap type="none"/>
            <w10:anchorlock/>
          </v:shape>
          <o:OLEObject Type="Embed" ProgID="Equation.3" ShapeID="_x0000_i1027" DrawAspect="Content" ObjectID="_1468075727" r:id="rId41">
            <o:LockedField>false</o:LockedField>
          </o:OLEObject>
        </w:object>
      </w:r>
    </w:p>
    <w:p>
      <w:pPr>
        <w:tabs>
          <w:tab w:val="left" w:pos="840"/>
          <w:tab w:val="left" w:pos="1485"/>
        </w:tabs>
        <w:ind w:firstLine="480"/>
        <w:rPr>
          <w:rFonts w:eastAsia="仿宋_GB2312"/>
        </w:rPr>
      </w:pPr>
      <w:r>
        <w:rPr>
          <w:rFonts w:eastAsia="仿宋_GB2312"/>
        </w:rPr>
        <w:t>式中：W扰：扰动后的水土流失量，t；i：预测单元，1、2、3…，n-1，n；Fi：第i个预测单元的面积，km²；Mi：扰动后的土壤侵蚀模数，t/km²·a；Ti：预测时段，a。</w:t>
      </w:r>
    </w:p>
    <w:p>
      <w:pPr>
        <w:tabs>
          <w:tab w:val="left" w:pos="840"/>
          <w:tab w:val="left" w:pos="1485"/>
        </w:tabs>
        <w:ind w:firstLine="480"/>
        <w:rPr>
          <w:rFonts w:eastAsia="仿宋_GB2312"/>
        </w:rPr>
      </w:pPr>
      <w:r>
        <w:rPr>
          <w:rFonts w:eastAsia="仿宋_GB2312"/>
        </w:rPr>
        <w:t>（3）新增水土流失量预测</w:t>
      </w:r>
    </w:p>
    <w:p>
      <w:pPr>
        <w:tabs>
          <w:tab w:val="left" w:pos="840"/>
          <w:tab w:val="left" w:pos="1485"/>
        </w:tabs>
        <w:ind w:firstLine="480"/>
        <w:rPr>
          <w:rFonts w:eastAsia="仿宋_GB2312"/>
        </w:rPr>
      </w:pPr>
      <w:bookmarkStart w:id="235" w:name="OLE_LINK102"/>
      <w:r>
        <w:rPr>
          <w:rFonts w:eastAsia="仿宋_GB2312"/>
        </w:rPr>
        <w:t>可能新增水土流失量按下式计算：</w:t>
      </w:r>
    </w:p>
    <w:p>
      <w:pPr>
        <w:tabs>
          <w:tab w:val="left" w:pos="840"/>
          <w:tab w:val="left" w:pos="1485"/>
        </w:tabs>
        <w:ind w:firstLine="480"/>
        <w:rPr>
          <w:rFonts w:eastAsia="仿宋_GB2312"/>
        </w:rPr>
      </w:pPr>
      <w:r>
        <w:rPr>
          <w:rFonts w:eastAsia="仿宋_GB2312"/>
        </w:rPr>
        <w:t>W新=W扰-W原</w:t>
      </w:r>
    </w:p>
    <w:p>
      <w:pPr>
        <w:tabs>
          <w:tab w:val="left" w:pos="840"/>
          <w:tab w:val="left" w:pos="1485"/>
        </w:tabs>
        <w:ind w:firstLine="480"/>
        <w:rPr>
          <w:rFonts w:eastAsia="仿宋_GB2312"/>
        </w:rPr>
      </w:pPr>
      <w:r>
        <w:rPr>
          <w:rFonts w:eastAsia="仿宋_GB2312"/>
        </w:rPr>
        <w:t>式中：W新：工程建设新增水土流失量，t； W扰：工程建设扰动地表水土流失量，t；W原：工程区原生水土流失量，t。</w:t>
      </w:r>
    </w:p>
    <w:bookmarkEnd w:id="235"/>
    <w:p>
      <w:pPr>
        <w:tabs>
          <w:tab w:val="left" w:pos="840"/>
          <w:tab w:val="left" w:pos="1485"/>
        </w:tabs>
        <w:ind w:firstLine="480"/>
        <w:rPr>
          <w:rFonts w:eastAsia="仿宋_GB2312"/>
        </w:rPr>
      </w:pPr>
      <w:r>
        <w:rPr>
          <w:rFonts w:eastAsia="仿宋_GB2312"/>
        </w:rPr>
        <w:t>在具体计算时，将根据有关调查资料并结合工程区域的自然条件，经综合分析确定有关的计算参数。</w:t>
      </w:r>
    </w:p>
    <w:p>
      <w:pPr>
        <w:pStyle w:val="5"/>
        <w:rPr>
          <w:bCs w:val="0"/>
          <w:kern w:val="2"/>
        </w:rPr>
      </w:pPr>
      <w:r>
        <w:rPr>
          <w:bCs w:val="0"/>
          <w:kern w:val="2"/>
        </w:rPr>
        <w:t>土壤侵蚀模数的确定</w:t>
      </w:r>
    </w:p>
    <w:p>
      <w:pPr>
        <w:ind w:firstLine="480"/>
        <w:jc w:val="left"/>
        <w:rPr>
          <w:rFonts w:eastAsia="仿宋_GB2312"/>
          <w:color w:val="000000"/>
        </w:rPr>
      </w:pPr>
      <w:bookmarkStart w:id="236" w:name="_Toc294538848"/>
      <w:r>
        <w:rPr>
          <w:rFonts w:eastAsia="仿宋_GB2312"/>
          <w:color w:val="000000"/>
        </w:rPr>
        <w:t>一、原生土壤侵蚀模数选取</w:t>
      </w:r>
    </w:p>
    <w:p>
      <w:pPr>
        <w:tabs>
          <w:tab w:val="left" w:pos="840"/>
          <w:tab w:val="left" w:pos="1485"/>
        </w:tabs>
        <w:ind w:firstLine="480"/>
        <w:rPr>
          <w:rFonts w:eastAsia="仿宋_GB2312"/>
        </w:rPr>
      </w:pPr>
      <w:r>
        <w:rPr>
          <w:rFonts w:eastAsia="仿宋_GB2312"/>
        </w:rPr>
        <w:t>项目区位于</w:t>
      </w:r>
      <w:r>
        <w:rPr>
          <w:rFonts w:hint="eastAsia" w:eastAsia="仿宋_GB2312"/>
        </w:rPr>
        <w:t>第十四师224团</w:t>
      </w:r>
      <w:r>
        <w:rPr>
          <w:rFonts w:eastAsia="仿宋_GB2312"/>
        </w:rPr>
        <w:t>，场区主要处于</w:t>
      </w:r>
      <w:r>
        <w:rPr>
          <w:rFonts w:hint="eastAsia" w:eastAsia="仿宋_GB2312"/>
        </w:rPr>
        <w:t>冲洪积平原区</w:t>
      </w:r>
      <w:r>
        <w:rPr>
          <w:rFonts w:eastAsia="仿宋_GB2312"/>
        </w:rPr>
        <w:t>，以轻度风力侵蚀为主。参考全国第二次遥感影像图及《新疆维吾尔自治区水土保持规划》中对该区域风力侵蚀特点的描述，通过现场踏勘对当地未扰动区域水土流失现状进行初步勘测，根据项目区土壤、植被情况，最终确定工程区原生地貌侵蚀模数为</w:t>
      </w:r>
      <w:r>
        <w:rPr>
          <w:rFonts w:hint="eastAsia" w:eastAsia="仿宋_GB2312"/>
        </w:rPr>
        <w:t>15</w:t>
      </w:r>
      <w:r>
        <w:rPr>
          <w:rFonts w:eastAsia="仿宋_GB2312"/>
        </w:rPr>
        <w:t>00t/（km²·a）。</w:t>
      </w:r>
    </w:p>
    <w:p>
      <w:pPr>
        <w:ind w:firstLine="480"/>
        <w:jc w:val="left"/>
        <w:rPr>
          <w:rFonts w:eastAsia="仿宋_GB2312"/>
          <w:color w:val="000000"/>
        </w:rPr>
      </w:pPr>
      <w:r>
        <w:rPr>
          <w:rFonts w:eastAsia="仿宋_GB2312"/>
          <w:color w:val="000000"/>
        </w:rPr>
        <w:t>二、扰动后侵蚀模数的确定</w:t>
      </w:r>
    </w:p>
    <w:p>
      <w:pPr>
        <w:tabs>
          <w:tab w:val="left" w:pos="840"/>
          <w:tab w:val="left" w:pos="1485"/>
        </w:tabs>
        <w:ind w:firstLine="480"/>
        <w:rPr>
          <w:rFonts w:eastAsia="仿宋_GB2312"/>
          <w:color w:val="FF0000"/>
        </w:rPr>
      </w:pPr>
      <w:r>
        <w:rPr>
          <w:rFonts w:eastAsia="仿宋_GB2312"/>
        </w:rPr>
        <w:t>本项目属</w:t>
      </w:r>
      <w:r>
        <w:rPr>
          <w:rFonts w:hint="eastAsia" w:eastAsia="仿宋_GB2312"/>
        </w:rPr>
        <w:t>线型</w:t>
      </w:r>
      <w:r>
        <w:rPr>
          <w:rFonts w:eastAsia="仿宋_GB2312"/>
        </w:rPr>
        <w:t>工程，按照地貌类型划分为</w:t>
      </w:r>
      <w:r>
        <w:rPr>
          <w:rFonts w:hint="eastAsia" w:eastAsia="仿宋_GB2312"/>
        </w:rPr>
        <w:t>冲洪积平原区</w:t>
      </w:r>
      <w:r>
        <w:rPr>
          <w:rFonts w:eastAsia="仿宋_GB2312"/>
        </w:rPr>
        <w:t>。由于本项目没有实测的土壤流失资料，分区土壤侵蚀模数只有通过类比法确定。本项目所在区域原生地貌侵蚀模数的选取是依据本项目区的气象资料、地表物质及植被、地形地貌等自然特征分析，在对项目区现场踏勘和基础上，</w:t>
      </w:r>
      <w:r>
        <w:rPr>
          <w:rFonts w:hint="eastAsia" w:eastAsia="仿宋_GB2312"/>
        </w:rPr>
        <w:t>类比工程选择</w:t>
      </w:r>
      <w:r>
        <w:rPr>
          <w:rFonts w:eastAsia="仿宋_GB2312"/>
        </w:rPr>
        <w:t>G315</w:t>
      </w:r>
      <w:r>
        <w:rPr>
          <w:rFonts w:hint="eastAsia" w:eastAsia="仿宋_GB2312"/>
        </w:rPr>
        <w:t>线叶城至墨玉公路建设工程，项目已由新疆公路工程咨询公司在</w:t>
      </w:r>
      <w:r>
        <w:rPr>
          <w:rFonts w:eastAsia="仿宋_GB2312"/>
        </w:rPr>
        <w:t>2017-2018</w:t>
      </w:r>
      <w:r>
        <w:rPr>
          <w:rFonts w:hint="eastAsia" w:eastAsia="仿宋_GB2312"/>
        </w:rPr>
        <w:t>年负责完成监测且</w:t>
      </w:r>
      <w:r>
        <w:rPr>
          <w:rFonts w:eastAsia="仿宋_GB2312"/>
        </w:rPr>
        <w:t>2018</w:t>
      </w:r>
      <w:r>
        <w:rPr>
          <w:rFonts w:hint="eastAsia" w:eastAsia="仿宋_GB2312"/>
        </w:rPr>
        <w:t>年</w:t>
      </w:r>
      <w:r>
        <w:rPr>
          <w:rFonts w:eastAsia="仿宋_GB2312"/>
        </w:rPr>
        <w:t>11</w:t>
      </w:r>
      <w:r>
        <w:rPr>
          <w:rFonts w:hint="eastAsia" w:eastAsia="仿宋_GB2312"/>
        </w:rPr>
        <w:t>月自治区公路管理局完成了水土保持自主验收，该工程途径叶城县和墨玉县，与本项目相距较近，地表土壤和侵蚀类型也基本相同，具有很高的类比性，但考虑到本项目地表植被覆盖度较高，施工对地表扰动范围较小、程度较轻，故通过查阅《</w:t>
      </w:r>
      <w:r>
        <w:rPr>
          <w:rFonts w:eastAsia="仿宋_GB2312"/>
        </w:rPr>
        <w:t>G315</w:t>
      </w:r>
      <w:r>
        <w:rPr>
          <w:rFonts w:hint="eastAsia" w:eastAsia="仿宋_GB2312"/>
        </w:rPr>
        <w:t>线叶城至墨玉公路建设工程水土保持监测总结报告》，结合在对项目区现场踏勘和基础上，确定本项目区的土壤侵蚀模数。</w:t>
      </w:r>
    </w:p>
    <w:p>
      <w:pPr>
        <w:tabs>
          <w:tab w:val="left" w:pos="840"/>
          <w:tab w:val="left" w:pos="1485"/>
        </w:tabs>
        <w:ind w:firstLine="480"/>
        <w:rPr>
          <w:rFonts w:eastAsia="仿宋_GB2312"/>
        </w:rPr>
      </w:pPr>
      <w:r>
        <w:rPr>
          <w:rFonts w:eastAsia="仿宋_GB2312"/>
        </w:rPr>
        <w:t>本项目与类比工程基本情况对比见表4.3-3。</w:t>
      </w:r>
    </w:p>
    <w:p>
      <w:pPr>
        <w:spacing w:line="240" w:lineRule="auto"/>
        <w:ind w:right="482" w:firstLine="480"/>
        <w:jc w:val="center"/>
        <w:rPr>
          <w:rFonts w:eastAsia="仿宋_GB2312"/>
          <w:b/>
          <w:bCs/>
          <w:color w:val="000000"/>
        </w:rPr>
      </w:pPr>
      <w:r>
        <w:rPr>
          <w:rFonts w:eastAsia="仿宋_GB2312"/>
          <w:b/>
          <w:bCs/>
          <w:color w:val="000000"/>
        </w:rPr>
        <w:t>表4.3-3  类比工程土壤侵蚀因素对比表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27"/>
        <w:gridCol w:w="1376"/>
        <w:gridCol w:w="3013"/>
        <w:gridCol w:w="35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kern w:val="10"/>
                <w:sz w:val="21"/>
                <w:szCs w:val="21"/>
              </w:rPr>
            </w:pPr>
            <w:r>
              <w:rPr>
                <w:rFonts w:eastAsia="仿宋_GB2312"/>
                <w:color w:val="000000"/>
                <w:sz w:val="21"/>
                <w:szCs w:val="21"/>
              </w:rPr>
              <w:t>序号</w:t>
            </w:r>
          </w:p>
        </w:tc>
        <w:tc>
          <w:tcPr>
            <w:tcW w:w="80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kern w:val="10"/>
                <w:sz w:val="21"/>
                <w:szCs w:val="21"/>
              </w:rPr>
            </w:pPr>
            <w:r>
              <w:rPr>
                <w:rFonts w:eastAsia="仿宋_GB2312"/>
                <w:color w:val="000000"/>
                <w:sz w:val="21"/>
                <w:szCs w:val="21"/>
              </w:rPr>
              <w:t>项目</w:t>
            </w:r>
          </w:p>
        </w:tc>
        <w:tc>
          <w:tcPr>
            <w:tcW w:w="1769"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kern w:val="10"/>
                <w:sz w:val="21"/>
                <w:szCs w:val="21"/>
              </w:rPr>
            </w:pPr>
            <w:r>
              <w:rPr>
                <w:rFonts w:eastAsia="仿宋_GB2312"/>
                <w:sz w:val="21"/>
                <w:szCs w:val="21"/>
              </w:rPr>
              <w:t>类比工程</w:t>
            </w:r>
          </w:p>
        </w:tc>
        <w:tc>
          <w:tcPr>
            <w:tcW w:w="2055"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kern w:val="10"/>
                <w:sz w:val="21"/>
                <w:szCs w:val="21"/>
              </w:rPr>
            </w:pPr>
            <w:r>
              <w:rPr>
                <w:rFonts w:eastAsia="仿宋_GB2312"/>
                <w:sz w:val="21"/>
                <w:szCs w:val="21"/>
              </w:rPr>
              <w:t>拟建项目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kern w:val="10"/>
                <w:sz w:val="21"/>
                <w:szCs w:val="21"/>
              </w:rPr>
            </w:pPr>
            <w:r>
              <w:rPr>
                <w:rFonts w:eastAsia="仿宋_GB2312"/>
                <w:color w:val="000000"/>
                <w:sz w:val="21"/>
                <w:szCs w:val="21"/>
              </w:rPr>
              <w:t>1</w:t>
            </w:r>
          </w:p>
        </w:tc>
        <w:tc>
          <w:tcPr>
            <w:tcW w:w="80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kern w:val="10"/>
                <w:sz w:val="21"/>
                <w:szCs w:val="21"/>
              </w:rPr>
            </w:pPr>
            <w:r>
              <w:rPr>
                <w:rFonts w:eastAsia="仿宋_GB2312"/>
                <w:color w:val="000000"/>
                <w:sz w:val="21"/>
                <w:szCs w:val="21"/>
              </w:rPr>
              <w:t>名称</w:t>
            </w:r>
          </w:p>
        </w:tc>
        <w:tc>
          <w:tcPr>
            <w:tcW w:w="1769"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FF0000"/>
                <w:sz w:val="21"/>
                <w:szCs w:val="21"/>
              </w:rPr>
            </w:pPr>
            <w:r>
              <w:rPr>
                <w:rFonts w:eastAsia="仿宋_GB2312"/>
                <w:sz w:val="21"/>
                <w:szCs w:val="21"/>
              </w:rPr>
              <w:t>G315</w:t>
            </w:r>
            <w:r>
              <w:rPr>
                <w:rFonts w:hint="eastAsia" w:eastAsia="仿宋_GB2312"/>
                <w:sz w:val="21"/>
                <w:szCs w:val="21"/>
              </w:rPr>
              <w:t>线叶城至墨玉公路建设工程</w:t>
            </w:r>
          </w:p>
        </w:tc>
        <w:tc>
          <w:tcPr>
            <w:tcW w:w="2055"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hint="eastAsia" w:eastAsia="仿宋_GB2312"/>
                <w:color w:val="000000"/>
                <w:sz w:val="21"/>
                <w:szCs w:val="21"/>
              </w:rPr>
              <w:t>第十四师224团团部污水管网改造项目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2</w:t>
            </w:r>
          </w:p>
        </w:tc>
        <w:tc>
          <w:tcPr>
            <w:tcW w:w="80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地形地貌</w:t>
            </w:r>
          </w:p>
        </w:tc>
        <w:tc>
          <w:tcPr>
            <w:tcW w:w="1769" w:type="pct"/>
            <w:tcBorders>
              <w:right w:val="single" w:color="auto" w:sz="4" w:space="0"/>
            </w:tcBorders>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FF0000"/>
                <w:sz w:val="21"/>
                <w:szCs w:val="21"/>
              </w:rPr>
            </w:pPr>
            <w:r>
              <w:rPr>
                <w:rFonts w:hint="eastAsia" w:eastAsia="仿宋_GB2312"/>
                <w:sz w:val="21"/>
                <w:szCs w:val="21"/>
              </w:rPr>
              <w:t>戈壁平原区</w:t>
            </w:r>
          </w:p>
        </w:tc>
        <w:tc>
          <w:tcPr>
            <w:tcW w:w="2055" w:type="pct"/>
            <w:tcBorders>
              <w:left w:val="single" w:color="auto" w:sz="4" w:space="0"/>
            </w:tcBorders>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hint="eastAsia" w:eastAsia="仿宋_GB2312"/>
                <w:color w:val="000000"/>
                <w:sz w:val="21"/>
                <w:szCs w:val="21"/>
              </w:rPr>
              <w:t>冲洪积平原地貌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3</w:t>
            </w:r>
          </w:p>
        </w:tc>
        <w:tc>
          <w:tcPr>
            <w:tcW w:w="80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气候</w:t>
            </w:r>
          </w:p>
        </w:tc>
        <w:tc>
          <w:tcPr>
            <w:tcW w:w="1769" w:type="pct"/>
            <w:tcBorders>
              <w:right w:val="single" w:color="auto" w:sz="4" w:space="0"/>
            </w:tcBorders>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FF0000"/>
                <w:sz w:val="21"/>
                <w:szCs w:val="21"/>
              </w:rPr>
            </w:pPr>
            <w:r>
              <w:rPr>
                <w:rFonts w:hint="eastAsia" w:eastAsia="仿宋_GB2312"/>
                <w:sz w:val="21"/>
                <w:szCs w:val="21"/>
              </w:rPr>
              <w:t>项目区为典型的温带大陆性干旱气候，年平均气温</w:t>
            </w:r>
            <w:r>
              <w:rPr>
                <w:rFonts w:eastAsia="仿宋_GB2312"/>
                <w:sz w:val="21"/>
                <w:szCs w:val="21"/>
              </w:rPr>
              <w:t>11.4°C</w:t>
            </w:r>
            <w:r>
              <w:rPr>
                <w:rFonts w:hint="eastAsia" w:eastAsia="仿宋_GB2312"/>
                <w:sz w:val="21"/>
                <w:szCs w:val="21"/>
              </w:rPr>
              <w:t>；年平均降水量</w:t>
            </w:r>
            <w:r>
              <w:rPr>
                <w:rFonts w:eastAsia="仿宋_GB2312"/>
                <w:sz w:val="21"/>
                <w:szCs w:val="21"/>
              </w:rPr>
              <w:t>52.7mm</w:t>
            </w:r>
            <w:r>
              <w:rPr>
                <w:rFonts w:hint="eastAsia" w:eastAsia="仿宋_GB2312"/>
                <w:sz w:val="21"/>
                <w:szCs w:val="21"/>
              </w:rPr>
              <w:t>，最大风速</w:t>
            </w:r>
            <w:r>
              <w:rPr>
                <w:rFonts w:eastAsia="仿宋_GB2312"/>
                <w:sz w:val="21"/>
                <w:szCs w:val="21"/>
              </w:rPr>
              <w:t>2.2m/s</w:t>
            </w:r>
            <w:r>
              <w:rPr>
                <w:rFonts w:hint="eastAsia" w:eastAsia="仿宋_GB2312"/>
                <w:sz w:val="21"/>
                <w:szCs w:val="21"/>
              </w:rPr>
              <w:t>。</w:t>
            </w:r>
          </w:p>
        </w:tc>
        <w:tc>
          <w:tcPr>
            <w:tcW w:w="2055" w:type="pct"/>
            <w:tcBorders>
              <w:left w:val="single" w:color="auto" w:sz="4" w:space="0"/>
            </w:tcBorders>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hint="eastAsia" w:eastAsia="仿宋_GB2312"/>
                <w:color w:val="000000"/>
                <w:sz w:val="21"/>
                <w:szCs w:val="21"/>
              </w:rPr>
              <w:t>项目区</w:t>
            </w:r>
            <w:r>
              <w:rPr>
                <w:rFonts w:eastAsia="仿宋_GB2312"/>
                <w:color w:val="000000"/>
                <w:sz w:val="21"/>
                <w:szCs w:val="21"/>
              </w:rPr>
              <w:t>属暖温带内陆干旱荒漠气候，</w:t>
            </w:r>
          </w:p>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多年平均气温</w:t>
            </w:r>
            <w:r>
              <w:rPr>
                <w:rFonts w:hint="eastAsia" w:eastAsia="仿宋_GB2312"/>
                <w:color w:val="000000"/>
                <w:sz w:val="21"/>
                <w:szCs w:val="21"/>
              </w:rPr>
              <w:t>12.2℃</w:t>
            </w:r>
            <w:r>
              <w:rPr>
                <w:rFonts w:eastAsia="仿宋_GB2312"/>
                <w:color w:val="000000"/>
                <w:sz w:val="21"/>
                <w:szCs w:val="21"/>
              </w:rPr>
              <w:t>，多年平均降水量</w:t>
            </w:r>
            <w:r>
              <w:rPr>
                <w:rFonts w:hint="eastAsia" w:eastAsia="仿宋_GB2312"/>
                <w:color w:val="000000"/>
                <w:sz w:val="21"/>
                <w:szCs w:val="21"/>
              </w:rPr>
              <w:t>33.4</w:t>
            </w:r>
            <w:r>
              <w:rPr>
                <w:rFonts w:eastAsia="仿宋_GB2312"/>
                <w:color w:val="000000"/>
                <w:sz w:val="21"/>
                <w:szCs w:val="21"/>
              </w:rPr>
              <w:t>mm，多年平均蒸发量</w:t>
            </w:r>
            <w:r>
              <w:rPr>
                <w:rFonts w:hint="eastAsia" w:eastAsia="仿宋_GB2312"/>
                <w:color w:val="000000"/>
                <w:sz w:val="21"/>
                <w:szCs w:val="21"/>
              </w:rPr>
              <w:t>2602</w:t>
            </w:r>
            <w:r>
              <w:rPr>
                <w:rFonts w:eastAsia="仿宋_GB2312"/>
                <w:color w:val="000000"/>
                <w:sz w:val="21"/>
                <w:szCs w:val="21"/>
              </w:rPr>
              <w:t>mm</w:t>
            </w:r>
            <w:r>
              <w:rPr>
                <w:rFonts w:hint="eastAsia" w:eastAsia="仿宋_GB2312"/>
                <w:color w:val="000000"/>
                <w:sz w:val="21"/>
                <w:szCs w:val="21"/>
              </w:rPr>
              <w:t>，</w:t>
            </w:r>
            <w:r>
              <w:rPr>
                <w:rFonts w:eastAsia="仿宋_GB2312"/>
                <w:color w:val="000000"/>
                <w:sz w:val="21"/>
                <w:szCs w:val="21"/>
              </w:rPr>
              <w:t>年平均风速</w:t>
            </w:r>
            <w:r>
              <w:rPr>
                <w:rFonts w:hint="eastAsia" w:eastAsia="仿宋_GB2312"/>
                <w:color w:val="000000"/>
                <w:sz w:val="21"/>
                <w:szCs w:val="21"/>
              </w:rPr>
              <w:t>2.1</w:t>
            </w:r>
            <w:r>
              <w:rPr>
                <w:rFonts w:eastAsia="仿宋_GB2312"/>
                <w:color w:val="000000"/>
                <w:sz w:val="21"/>
                <w:szCs w:val="21"/>
              </w:rPr>
              <w:t>m/s</w:t>
            </w:r>
            <w:r>
              <w:rPr>
                <w:rFonts w:hint="eastAsia" w:eastAsia="仿宋_GB2312"/>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5</w:t>
            </w:r>
          </w:p>
        </w:tc>
        <w:tc>
          <w:tcPr>
            <w:tcW w:w="80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土壤条件</w:t>
            </w:r>
          </w:p>
        </w:tc>
        <w:tc>
          <w:tcPr>
            <w:tcW w:w="1769"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sz w:val="21"/>
                <w:szCs w:val="21"/>
              </w:rPr>
            </w:pPr>
            <w:r>
              <w:rPr>
                <w:rFonts w:hint="eastAsia" w:eastAsia="仿宋_GB2312"/>
                <w:sz w:val="21"/>
                <w:szCs w:val="21"/>
              </w:rPr>
              <w:t>棕漠土</w:t>
            </w:r>
          </w:p>
        </w:tc>
        <w:tc>
          <w:tcPr>
            <w:tcW w:w="2055" w:type="pct"/>
            <w:vAlign w:val="center"/>
          </w:tcPr>
          <w:p>
            <w:pPr>
              <w:spacing w:line="240" w:lineRule="auto"/>
              <w:ind w:firstLine="0" w:firstLineChars="0"/>
              <w:jc w:val="center"/>
              <w:rPr>
                <w:rFonts w:eastAsia="仿宋_GB2312"/>
                <w:sz w:val="21"/>
                <w:szCs w:val="21"/>
              </w:rPr>
            </w:pPr>
            <w:r>
              <w:rPr>
                <w:rFonts w:hint="eastAsia" w:eastAsia="仿宋_GB2312"/>
                <w:sz w:val="21"/>
                <w:szCs w:val="21"/>
              </w:rPr>
              <w:t>棕漠土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6</w:t>
            </w:r>
          </w:p>
        </w:tc>
        <w:tc>
          <w:tcPr>
            <w:tcW w:w="80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植被</w:t>
            </w:r>
          </w:p>
        </w:tc>
        <w:tc>
          <w:tcPr>
            <w:tcW w:w="1769"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sz w:val="21"/>
                <w:szCs w:val="21"/>
              </w:rPr>
            </w:pPr>
            <w:r>
              <w:rPr>
                <w:rFonts w:hint="eastAsia" w:eastAsia="仿宋_GB2312"/>
                <w:sz w:val="21"/>
                <w:szCs w:val="21"/>
              </w:rPr>
              <w:t>荒漠植被，植被覆盖度为</w:t>
            </w:r>
            <w:r>
              <w:rPr>
                <w:rFonts w:eastAsia="仿宋_GB2312"/>
                <w:sz w:val="21"/>
                <w:szCs w:val="21"/>
              </w:rPr>
              <w:t>5%</w:t>
            </w:r>
          </w:p>
        </w:tc>
        <w:tc>
          <w:tcPr>
            <w:tcW w:w="2055"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sz w:val="21"/>
                <w:szCs w:val="21"/>
              </w:rPr>
            </w:pPr>
            <w:r>
              <w:rPr>
                <w:rFonts w:hint="eastAsia" w:eastAsia="仿宋_GB2312"/>
                <w:sz w:val="21"/>
                <w:szCs w:val="21"/>
              </w:rPr>
              <w:t>人工植被</w:t>
            </w:r>
            <w:r>
              <w:rPr>
                <w:rFonts w:eastAsia="仿宋_GB2312"/>
                <w:sz w:val="21"/>
                <w:szCs w:val="21"/>
              </w:rPr>
              <w:t>，</w:t>
            </w:r>
            <w:r>
              <w:rPr>
                <w:rFonts w:hint="eastAsia" w:eastAsia="仿宋_GB2312"/>
                <w:sz w:val="21"/>
                <w:szCs w:val="21"/>
              </w:rPr>
              <w:t>植被分布有榆树、榆叶梅、黑麦草等</w:t>
            </w:r>
            <w:r>
              <w:rPr>
                <w:rFonts w:eastAsia="仿宋_GB2312"/>
                <w:sz w:val="21"/>
                <w:szCs w:val="21"/>
              </w:rPr>
              <w:t>，植被覆盖度</w:t>
            </w:r>
            <w:r>
              <w:rPr>
                <w:rFonts w:hint="eastAsia" w:eastAsia="仿宋_GB2312"/>
                <w:sz w:val="21"/>
                <w:szCs w:val="21"/>
              </w:rPr>
              <w:t>约5</w:t>
            </w:r>
            <w:r>
              <w:rPr>
                <w:rFonts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7</w:t>
            </w:r>
          </w:p>
        </w:tc>
        <w:tc>
          <w:tcPr>
            <w:tcW w:w="80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流失类型</w:t>
            </w:r>
          </w:p>
        </w:tc>
        <w:tc>
          <w:tcPr>
            <w:tcW w:w="1769"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sz w:val="21"/>
                <w:szCs w:val="21"/>
              </w:rPr>
            </w:pPr>
            <w:r>
              <w:rPr>
                <w:rFonts w:hint="eastAsia" w:eastAsia="仿宋_GB2312"/>
                <w:sz w:val="21"/>
                <w:szCs w:val="21"/>
              </w:rPr>
              <w:t>轻度风力侵蚀、微度水力侵蚀</w:t>
            </w:r>
          </w:p>
        </w:tc>
        <w:tc>
          <w:tcPr>
            <w:tcW w:w="2055"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sz w:val="21"/>
                <w:szCs w:val="21"/>
              </w:rPr>
            </w:pPr>
            <w:r>
              <w:rPr>
                <w:rFonts w:hint="eastAsia" w:eastAsia="仿宋_GB2312"/>
                <w:sz w:val="21"/>
                <w:szCs w:val="21"/>
              </w:rPr>
              <w:t>轻度风力侵蚀、微度水力侵蚀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8</w:t>
            </w:r>
          </w:p>
        </w:tc>
        <w:tc>
          <w:tcPr>
            <w:tcW w:w="80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原生地貌土壤侵蚀模数</w:t>
            </w:r>
          </w:p>
        </w:tc>
        <w:tc>
          <w:tcPr>
            <w:tcW w:w="1769"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sz w:val="21"/>
                <w:szCs w:val="21"/>
              </w:rPr>
            </w:pPr>
            <w:r>
              <w:rPr>
                <w:rFonts w:hint="eastAsia" w:eastAsia="仿宋_GB2312"/>
                <w:sz w:val="21"/>
                <w:szCs w:val="21"/>
              </w:rPr>
              <w:t>1500</w:t>
            </w:r>
            <w:r>
              <w:rPr>
                <w:rFonts w:eastAsia="仿宋_GB2312"/>
                <w:sz w:val="21"/>
                <w:szCs w:val="21"/>
              </w:rPr>
              <w:t>t/（km²·a）</w:t>
            </w:r>
          </w:p>
        </w:tc>
        <w:tc>
          <w:tcPr>
            <w:tcW w:w="2055"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hint="eastAsia" w:eastAsia="仿宋_GB2312"/>
                <w:color w:val="000000"/>
                <w:sz w:val="21"/>
                <w:szCs w:val="21"/>
              </w:rPr>
              <w:t>15</w:t>
            </w:r>
            <w:r>
              <w:rPr>
                <w:rFonts w:eastAsia="仿宋_GB2312"/>
                <w:color w:val="000000"/>
                <w:sz w:val="21"/>
                <w:szCs w:val="21"/>
              </w:rPr>
              <w:t>00t/（km²·a）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9</w:t>
            </w:r>
          </w:p>
        </w:tc>
        <w:tc>
          <w:tcPr>
            <w:tcW w:w="80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扰动后土壤侵蚀模数</w:t>
            </w:r>
          </w:p>
        </w:tc>
        <w:tc>
          <w:tcPr>
            <w:tcW w:w="1769"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sz w:val="21"/>
                <w:szCs w:val="21"/>
              </w:rPr>
            </w:pPr>
            <w:r>
              <w:rPr>
                <w:rFonts w:hint="eastAsia" w:eastAsia="仿宋_GB2312"/>
                <w:sz w:val="21"/>
                <w:szCs w:val="21"/>
              </w:rPr>
              <w:t>5000</w:t>
            </w:r>
            <w:r>
              <w:rPr>
                <w:rFonts w:eastAsia="仿宋_GB2312"/>
                <w:sz w:val="21"/>
                <w:szCs w:val="21"/>
              </w:rPr>
              <w:t>t/（km²·a）</w:t>
            </w:r>
          </w:p>
        </w:tc>
        <w:tc>
          <w:tcPr>
            <w:tcW w:w="2055"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hint="eastAsia" w:eastAsia="仿宋_GB2312"/>
                <w:color w:val="000000"/>
                <w:sz w:val="21"/>
                <w:szCs w:val="21"/>
              </w:rPr>
              <w:t>45</w:t>
            </w:r>
            <w:r>
              <w:rPr>
                <w:rFonts w:eastAsia="仿宋_GB2312"/>
                <w:color w:val="000000"/>
                <w:sz w:val="21"/>
                <w:szCs w:val="21"/>
              </w:rPr>
              <w:t>00t/（km²·a）</w:t>
            </w:r>
          </w:p>
        </w:tc>
      </w:tr>
    </w:tbl>
    <w:p>
      <w:pPr>
        <w:spacing w:beforeLines="50"/>
        <w:ind w:firstLine="480"/>
        <w:rPr>
          <w:rFonts w:eastAsia="仿宋_GB2312"/>
          <w:color w:val="000000"/>
        </w:rPr>
      </w:pPr>
      <w:r>
        <w:rPr>
          <w:rFonts w:eastAsia="仿宋_GB2312"/>
        </w:rPr>
        <w:t>项目区属于轻度风力侵蚀、微度水力侵蚀，工程区容许土壤流失量为</w:t>
      </w:r>
      <w:r>
        <w:rPr>
          <w:rFonts w:hint="eastAsia" w:eastAsia="仿宋_GB2312"/>
        </w:rPr>
        <w:t>15</w:t>
      </w:r>
      <w:r>
        <w:rPr>
          <w:rFonts w:eastAsia="仿宋_GB2312"/>
        </w:rPr>
        <w:t>00t/（km</w:t>
      </w:r>
      <w:r>
        <w:rPr>
          <w:rFonts w:eastAsia="仿宋_GB2312"/>
          <w:vertAlign w:val="superscript"/>
        </w:rPr>
        <w:t>2</w:t>
      </w:r>
      <w:r>
        <w:rPr>
          <w:rFonts w:eastAsia="仿宋_GB2312"/>
        </w:rPr>
        <w:t>·a），原生土壤流失量为</w:t>
      </w:r>
      <w:r>
        <w:rPr>
          <w:rFonts w:hint="eastAsia" w:eastAsia="仿宋_GB2312"/>
        </w:rPr>
        <w:t>150</w:t>
      </w:r>
      <w:r>
        <w:rPr>
          <w:rFonts w:eastAsia="仿宋_GB2312"/>
        </w:rPr>
        <w:t>0t/（km²·a），</w:t>
      </w:r>
      <w:r>
        <w:rPr>
          <w:rFonts w:hint="eastAsia" w:eastAsia="仿宋_GB2312"/>
        </w:rPr>
        <w:t>由于本项目位于平原区，且施工期较短，项目类型较类比工程对地表扰动程度轻、范围小，产生的水土流失也相对较小，因此，</w:t>
      </w:r>
      <w:r>
        <w:rPr>
          <w:rFonts w:eastAsia="仿宋_GB2312"/>
        </w:rPr>
        <w:t>确定本项目区扰动后土壤侵蚀模数为</w:t>
      </w:r>
      <w:r>
        <w:rPr>
          <w:rFonts w:hint="eastAsia" w:eastAsia="仿宋_GB2312"/>
        </w:rPr>
        <w:t>45</w:t>
      </w:r>
      <w:r>
        <w:rPr>
          <w:rFonts w:eastAsia="仿宋_GB2312"/>
        </w:rPr>
        <w:t>00t/（km²·a）。在治理后的自然恢复期，由于施工建设期内地表所受人为扰动减少，扰动地表水土流失量逐渐稳定，土体抗侵蚀能力增加。综合以上因素分析和相关工程经验，初步确定自然恢复期第一年土壤侵蚀模数值为</w:t>
      </w:r>
      <w:r>
        <w:rPr>
          <w:rFonts w:hint="eastAsia" w:eastAsia="仿宋_GB2312"/>
        </w:rPr>
        <w:t>25</w:t>
      </w:r>
      <w:r>
        <w:rPr>
          <w:rFonts w:eastAsia="仿宋_GB2312"/>
        </w:rPr>
        <w:t>00t/（km²·a），自然恢复期第二年土壤侵蚀模数为</w:t>
      </w:r>
      <w:r>
        <w:rPr>
          <w:rFonts w:hint="eastAsia" w:eastAsia="仿宋_GB2312"/>
        </w:rPr>
        <w:t>210</w:t>
      </w:r>
      <w:r>
        <w:rPr>
          <w:rFonts w:eastAsia="仿宋_GB2312"/>
        </w:rPr>
        <w:t>0t/（km²·a）</w:t>
      </w:r>
      <w:r>
        <w:rPr>
          <w:rFonts w:hint="eastAsia" w:eastAsia="仿宋_GB2312"/>
        </w:rPr>
        <w:t>，</w:t>
      </w:r>
      <w:r>
        <w:rPr>
          <w:rFonts w:eastAsia="仿宋_GB2312"/>
        </w:rPr>
        <w:t>自然恢复期第</w:t>
      </w:r>
      <w:r>
        <w:rPr>
          <w:rFonts w:hint="eastAsia" w:eastAsia="仿宋_GB2312"/>
        </w:rPr>
        <w:t>三</w:t>
      </w:r>
      <w:r>
        <w:rPr>
          <w:rFonts w:eastAsia="仿宋_GB2312"/>
        </w:rPr>
        <w:t>年土壤侵蚀模数值为</w:t>
      </w:r>
      <w:r>
        <w:rPr>
          <w:rFonts w:hint="eastAsia" w:eastAsia="仿宋_GB2312"/>
        </w:rPr>
        <w:t>18</w:t>
      </w:r>
      <w:r>
        <w:rPr>
          <w:rFonts w:eastAsia="仿宋_GB2312"/>
        </w:rPr>
        <w:t>00t/（km²·a），自然恢复期第</w:t>
      </w:r>
      <w:r>
        <w:rPr>
          <w:rFonts w:hint="eastAsia" w:eastAsia="仿宋_GB2312"/>
        </w:rPr>
        <w:t>四</w:t>
      </w:r>
      <w:r>
        <w:rPr>
          <w:rFonts w:eastAsia="仿宋_GB2312"/>
        </w:rPr>
        <w:t>年土壤侵蚀模数值为</w:t>
      </w:r>
      <w:r>
        <w:rPr>
          <w:rFonts w:hint="eastAsia" w:eastAsia="仿宋_GB2312"/>
        </w:rPr>
        <w:t>16</w:t>
      </w:r>
      <w:r>
        <w:rPr>
          <w:rFonts w:eastAsia="仿宋_GB2312"/>
        </w:rPr>
        <w:t>00t/（km²·a），自然恢复期第</w:t>
      </w:r>
      <w:r>
        <w:rPr>
          <w:rFonts w:hint="eastAsia" w:eastAsia="仿宋_GB2312"/>
        </w:rPr>
        <w:t>五</w:t>
      </w:r>
      <w:r>
        <w:rPr>
          <w:rFonts w:eastAsia="仿宋_GB2312"/>
        </w:rPr>
        <w:t>年土壤侵蚀模数为</w:t>
      </w:r>
      <w:r>
        <w:rPr>
          <w:rFonts w:hint="eastAsia" w:eastAsia="仿宋_GB2312"/>
        </w:rPr>
        <w:t>15</w:t>
      </w:r>
      <w:r>
        <w:rPr>
          <w:rFonts w:eastAsia="仿宋_GB2312"/>
        </w:rPr>
        <w:t>00t/（km²·a）。</w:t>
      </w:r>
    </w:p>
    <w:p>
      <w:pPr>
        <w:tabs>
          <w:tab w:val="left" w:pos="840"/>
          <w:tab w:val="left" w:pos="1485"/>
        </w:tabs>
        <w:ind w:firstLine="480"/>
        <w:rPr>
          <w:rFonts w:eastAsia="仿宋_GB2312"/>
        </w:rPr>
      </w:pPr>
      <w:r>
        <w:rPr>
          <w:rFonts w:eastAsia="仿宋_GB2312"/>
          <w:color w:val="000000"/>
        </w:rPr>
        <w:t>各防治区土壤侵蚀模数值统计见表4.3-4。</w:t>
      </w:r>
    </w:p>
    <w:p>
      <w:pPr>
        <w:spacing w:line="240" w:lineRule="auto"/>
        <w:ind w:right="482" w:firstLine="480"/>
        <w:jc w:val="center"/>
        <w:rPr>
          <w:rFonts w:eastAsia="仿宋_GB2312"/>
          <w:b/>
          <w:bCs/>
          <w:color w:val="000000"/>
        </w:rPr>
      </w:pPr>
      <w:r>
        <w:rPr>
          <w:rFonts w:eastAsia="仿宋_GB2312"/>
          <w:b/>
          <w:bCs/>
          <w:color w:val="000000"/>
        </w:rPr>
        <w:t>表4.3-4       各建设区土壤侵蚀模数单位：t/km</w:t>
      </w:r>
      <w:r>
        <w:rPr>
          <w:rFonts w:eastAsia="仿宋_GB2312"/>
          <w:b/>
          <w:bCs/>
          <w:color w:val="000000"/>
          <w:vertAlign w:val="superscript"/>
        </w:rPr>
        <w:t>2</w:t>
      </w:r>
      <w:r>
        <w:rPr>
          <w:rFonts w:eastAsia="仿宋_GB2312"/>
          <w:b/>
          <w:bCs/>
          <w:color w:val="000000"/>
        </w:rPr>
        <w:t>·a</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10"/>
        <w:gridCol w:w="1875"/>
        <w:gridCol w:w="966"/>
        <w:gridCol w:w="966"/>
        <w:gridCol w:w="967"/>
        <w:gridCol w:w="966"/>
        <w:gridCol w:w="9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63"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预测单元</w:t>
            </w:r>
          </w:p>
        </w:tc>
        <w:tc>
          <w:tcPr>
            <w:tcW w:w="1101" w:type="pct"/>
            <w:vMerge w:val="restar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施工期</w:t>
            </w:r>
          </w:p>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（施工准备期）</w:t>
            </w:r>
          </w:p>
        </w:tc>
        <w:tc>
          <w:tcPr>
            <w:tcW w:w="2836" w:type="pct"/>
            <w:gridSpan w:val="5"/>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自然恢复期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63"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1101"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第一年</w:t>
            </w: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第二年</w:t>
            </w:r>
          </w:p>
        </w:tc>
        <w:tc>
          <w:tcPr>
            <w:tcW w:w="568" w:type="pct"/>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第</w:t>
            </w:r>
            <w:r>
              <w:rPr>
                <w:rFonts w:hint="eastAsia" w:eastAsia="仿宋_GB2312"/>
                <w:sz w:val="21"/>
                <w:szCs w:val="21"/>
              </w:rPr>
              <w:t>三</w:t>
            </w:r>
            <w:r>
              <w:rPr>
                <w:rFonts w:eastAsia="仿宋_GB2312"/>
                <w:sz w:val="21"/>
                <w:szCs w:val="21"/>
              </w:rPr>
              <w:t>年</w:t>
            </w:r>
          </w:p>
        </w:tc>
        <w:tc>
          <w:tcPr>
            <w:tcW w:w="567" w:type="pct"/>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第</w:t>
            </w:r>
            <w:r>
              <w:rPr>
                <w:rFonts w:hint="eastAsia" w:eastAsia="仿宋_GB2312"/>
                <w:sz w:val="21"/>
                <w:szCs w:val="21"/>
              </w:rPr>
              <w:t>四</w:t>
            </w:r>
            <w:r>
              <w:rPr>
                <w:rFonts w:eastAsia="仿宋_GB2312"/>
                <w:sz w:val="21"/>
                <w:szCs w:val="21"/>
              </w:rPr>
              <w:t>年</w:t>
            </w:r>
          </w:p>
        </w:tc>
        <w:tc>
          <w:tcPr>
            <w:tcW w:w="567" w:type="pct"/>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第</w:t>
            </w:r>
            <w:r>
              <w:rPr>
                <w:rFonts w:hint="eastAsia" w:eastAsia="仿宋_GB2312"/>
                <w:sz w:val="21"/>
                <w:szCs w:val="21"/>
              </w:rPr>
              <w:t>五</w:t>
            </w:r>
            <w:r>
              <w:rPr>
                <w:rFonts w:eastAsia="仿宋_GB2312"/>
                <w:sz w:val="21"/>
                <w:szCs w:val="21"/>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63" w:type="pct"/>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管道工程区</w:t>
            </w:r>
          </w:p>
        </w:tc>
        <w:tc>
          <w:tcPr>
            <w:tcW w:w="1101" w:type="pct"/>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4500</w:t>
            </w: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2500</w:t>
            </w: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2100</w:t>
            </w:r>
          </w:p>
        </w:tc>
        <w:tc>
          <w:tcPr>
            <w:tcW w:w="568" w:type="pct"/>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1800</w:t>
            </w:r>
          </w:p>
        </w:tc>
        <w:tc>
          <w:tcPr>
            <w:tcW w:w="567" w:type="pct"/>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1600</w:t>
            </w:r>
          </w:p>
        </w:tc>
        <w:tc>
          <w:tcPr>
            <w:tcW w:w="567" w:type="pct"/>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63" w:type="pct"/>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附属构筑物区</w:t>
            </w:r>
          </w:p>
        </w:tc>
        <w:tc>
          <w:tcPr>
            <w:tcW w:w="1101" w:type="pct"/>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4500</w:t>
            </w: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2500</w:t>
            </w: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2100</w:t>
            </w:r>
          </w:p>
        </w:tc>
        <w:tc>
          <w:tcPr>
            <w:tcW w:w="568" w:type="pct"/>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1800</w:t>
            </w:r>
          </w:p>
        </w:tc>
        <w:tc>
          <w:tcPr>
            <w:tcW w:w="567" w:type="pct"/>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1600</w:t>
            </w:r>
          </w:p>
        </w:tc>
        <w:tc>
          <w:tcPr>
            <w:tcW w:w="567" w:type="pct"/>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1500</w:t>
            </w:r>
          </w:p>
        </w:tc>
      </w:tr>
      <w:bookmarkEnd w:id="236"/>
    </w:tbl>
    <w:p>
      <w:pPr>
        <w:pStyle w:val="4"/>
        <w:keepLines/>
        <w:widowControl/>
        <w:numPr>
          <w:ilvl w:val="2"/>
          <w:numId w:val="1"/>
        </w:numPr>
        <w:tabs>
          <w:tab w:val="clear" w:pos="432"/>
          <w:tab w:val="clear" w:pos="960"/>
        </w:tabs>
        <w:kinsoku/>
        <w:overflowPunct/>
        <w:topLinePunct w:val="0"/>
        <w:autoSpaceDE/>
        <w:autoSpaceDN/>
        <w:adjustRightInd/>
        <w:snapToGrid/>
        <w:spacing w:beforeLines="100"/>
        <w:ind w:left="0" w:firstLine="0"/>
        <w:jc w:val="both"/>
        <w:rPr>
          <w:rFonts w:eastAsia="仿宋_GB2312"/>
        </w:rPr>
      </w:pPr>
      <w:r>
        <w:rPr>
          <w:rFonts w:eastAsia="仿宋_GB2312"/>
        </w:rPr>
        <w:t>预测结果</w:t>
      </w:r>
    </w:p>
    <w:p>
      <w:pPr>
        <w:tabs>
          <w:tab w:val="left" w:pos="840"/>
          <w:tab w:val="left" w:pos="1485"/>
        </w:tabs>
        <w:ind w:firstLine="480"/>
        <w:rPr>
          <w:rFonts w:eastAsia="仿宋_GB2312"/>
          <w:color w:val="000000"/>
        </w:rPr>
      </w:pPr>
      <w:r>
        <w:rPr>
          <w:rFonts w:eastAsia="仿宋_GB2312"/>
          <w:color w:val="000000"/>
        </w:rPr>
        <w:t>按前述确定的土壤侵蚀模数和水土流失面积，</w:t>
      </w:r>
      <w:bookmarkStart w:id="237" w:name="OLE_LINK119"/>
      <w:r>
        <w:rPr>
          <w:rFonts w:eastAsia="仿宋_GB2312"/>
          <w:color w:val="000000"/>
        </w:rPr>
        <w:t>预测</w:t>
      </w:r>
      <w:bookmarkStart w:id="238" w:name="OLE_LINK153"/>
      <w:r>
        <w:rPr>
          <w:rFonts w:eastAsia="仿宋_GB2312"/>
          <w:color w:val="000000"/>
        </w:rPr>
        <w:t>本项目建设扰动破坏地表可能造成的水土流失量为</w:t>
      </w:r>
      <w:r>
        <w:rPr>
          <w:rFonts w:hint="eastAsia" w:eastAsia="仿宋_GB2312"/>
          <w:color w:val="000000"/>
        </w:rPr>
        <w:t>191t</w:t>
      </w:r>
      <w:r>
        <w:rPr>
          <w:rFonts w:eastAsia="仿宋_GB2312"/>
          <w:color w:val="000000"/>
        </w:rPr>
        <w:t>，新增水土流失量为</w:t>
      </w:r>
      <w:r>
        <w:rPr>
          <w:rFonts w:hint="eastAsia" w:eastAsia="仿宋_GB2312"/>
          <w:color w:val="000000"/>
        </w:rPr>
        <w:t>46</w:t>
      </w:r>
      <w:r>
        <w:rPr>
          <w:rFonts w:eastAsia="仿宋_GB2312"/>
          <w:color w:val="000000"/>
        </w:rPr>
        <w:t>t。</w:t>
      </w:r>
      <w:bookmarkEnd w:id="237"/>
      <w:bookmarkEnd w:id="238"/>
      <w:r>
        <w:rPr>
          <w:rFonts w:eastAsia="仿宋_GB2312"/>
          <w:color w:val="000000"/>
        </w:rPr>
        <w:t>详见表4.3-5</w:t>
      </w:r>
      <w:r>
        <w:rPr>
          <w:rFonts w:hint="eastAsia" w:eastAsia="仿宋_GB2312"/>
          <w:color w:val="000000"/>
        </w:rPr>
        <w:t>、表4.3-6、表4.3-7</w:t>
      </w:r>
      <w:r>
        <w:rPr>
          <w:rFonts w:eastAsia="仿宋_GB2312"/>
          <w:color w:val="000000"/>
        </w:rPr>
        <w:t>和图4.3-1</w:t>
      </w:r>
      <w:r>
        <w:rPr>
          <w:rFonts w:hint="eastAsia" w:eastAsia="仿宋_GB2312"/>
          <w:color w:val="000000"/>
        </w:rPr>
        <w:t>、</w:t>
      </w:r>
      <w:r>
        <w:rPr>
          <w:rFonts w:eastAsia="仿宋_GB2312"/>
          <w:color w:val="000000"/>
        </w:rPr>
        <w:t>图4.3-</w:t>
      </w:r>
      <w:r>
        <w:rPr>
          <w:rFonts w:hint="eastAsia" w:eastAsia="仿宋_GB2312"/>
          <w:color w:val="000000"/>
        </w:rPr>
        <w:t>2</w:t>
      </w:r>
      <w:r>
        <w:rPr>
          <w:rFonts w:eastAsia="仿宋_GB2312"/>
          <w:color w:val="000000"/>
        </w:rPr>
        <w:t>。</w:t>
      </w:r>
    </w:p>
    <w:p>
      <w:pPr>
        <w:tabs>
          <w:tab w:val="left" w:pos="840"/>
          <w:tab w:val="left" w:pos="1485"/>
        </w:tabs>
        <w:spacing w:line="240" w:lineRule="auto"/>
        <w:ind w:firstLine="480"/>
        <w:jc w:val="center"/>
        <w:rPr>
          <w:rFonts w:eastAsia="仿宋_GB2312"/>
          <w:b/>
          <w:bCs/>
          <w:lang w:val="zh-CN"/>
        </w:rPr>
      </w:pPr>
      <w:r>
        <w:rPr>
          <w:rFonts w:eastAsia="仿宋_GB2312"/>
          <w:b/>
        </w:rPr>
        <w:t>表4.3-5</w:t>
      </w:r>
      <w:r>
        <w:rPr>
          <w:rFonts w:eastAsia="仿宋_GB2312"/>
          <w:b/>
          <w:bCs/>
          <w:lang w:val="zh-CN"/>
        </w:rPr>
        <w:t>水土流失预测表</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19"/>
        <w:gridCol w:w="426"/>
        <w:gridCol w:w="991"/>
        <w:gridCol w:w="1276"/>
        <w:gridCol w:w="1276"/>
        <w:gridCol w:w="991"/>
        <w:gridCol w:w="709"/>
        <w:gridCol w:w="676"/>
        <w:gridCol w:w="676"/>
        <w:gridCol w:w="67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40" w:hRule="atLeast"/>
        </w:trPr>
        <w:tc>
          <w:tcPr>
            <w:tcW w:w="480"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预测单元</w:t>
            </w:r>
          </w:p>
        </w:tc>
        <w:tc>
          <w:tcPr>
            <w:tcW w:w="832" w:type="pct"/>
            <w:gridSpan w:val="2"/>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预测时段</w:t>
            </w:r>
          </w:p>
        </w:tc>
        <w:tc>
          <w:tcPr>
            <w:tcW w:w="749"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土壤侵蚀</w:t>
            </w:r>
          </w:p>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背景值（t/km</w:t>
            </w:r>
            <w:r>
              <w:rPr>
                <w:rFonts w:eastAsia="仿宋_GB2312"/>
                <w:b/>
                <w:bCs/>
                <w:color w:val="000000"/>
                <w:sz w:val="21"/>
                <w:szCs w:val="21"/>
                <w:vertAlign w:val="superscript"/>
              </w:rPr>
              <w:t>2</w:t>
            </w:r>
            <w:r>
              <w:rPr>
                <w:rFonts w:eastAsia="仿宋_GB2312"/>
                <w:b/>
                <w:bCs/>
                <w:color w:val="000000"/>
                <w:sz w:val="21"/>
                <w:szCs w:val="21"/>
              </w:rPr>
              <w:t>·a）</w:t>
            </w:r>
          </w:p>
        </w:tc>
        <w:tc>
          <w:tcPr>
            <w:tcW w:w="749"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扰动后土壤侵蚀模数（t/km</w:t>
            </w:r>
            <w:r>
              <w:rPr>
                <w:rFonts w:eastAsia="仿宋_GB2312"/>
                <w:b/>
                <w:bCs/>
                <w:color w:val="000000"/>
                <w:sz w:val="21"/>
                <w:szCs w:val="21"/>
                <w:vertAlign w:val="superscript"/>
              </w:rPr>
              <w:t>2</w:t>
            </w:r>
            <w:r>
              <w:rPr>
                <w:rFonts w:eastAsia="仿宋_GB2312"/>
                <w:b/>
                <w:bCs/>
                <w:color w:val="000000"/>
                <w:sz w:val="21"/>
                <w:szCs w:val="21"/>
              </w:rPr>
              <w:t>·a）</w:t>
            </w:r>
          </w:p>
        </w:tc>
        <w:tc>
          <w:tcPr>
            <w:tcW w:w="582"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侵蚀</w:t>
            </w:r>
          </w:p>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面积（hm</w:t>
            </w:r>
            <w:r>
              <w:rPr>
                <w:rFonts w:eastAsia="仿宋_GB2312"/>
                <w:b/>
                <w:bCs/>
                <w:color w:val="000000"/>
                <w:sz w:val="21"/>
                <w:szCs w:val="21"/>
                <w:vertAlign w:val="superscript"/>
              </w:rPr>
              <w:t>2</w:t>
            </w:r>
            <w:r>
              <w:rPr>
                <w:rFonts w:eastAsia="仿宋_GB2312"/>
                <w:b/>
                <w:bCs/>
                <w:color w:val="000000"/>
                <w:sz w:val="21"/>
                <w:szCs w:val="21"/>
              </w:rPr>
              <w:t>）</w:t>
            </w:r>
          </w:p>
        </w:tc>
        <w:tc>
          <w:tcPr>
            <w:tcW w:w="416"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侵蚀时间(a)</w:t>
            </w:r>
          </w:p>
        </w:tc>
        <w:tc>
          <w:tcPr>
            <w:tcW w:w="397"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背景流失量(t)</w:t>
            </w:r>
          </w:p>
        </w:tc>
        <w:tc>
          <w:tcPr>
            <w:tcW w:w="397"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预测流失量(t)</w:t>
            </w:r>
          </w:p>
        </w:tc>
        <w:tc>
          <w:tcPr>
            <w:tcW w:w="397"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新增流失量(t)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管道工程区</w:t>
            </w:r>
          </w:p>
        </w:tc>
        <w:tc>
          <w:tcPr>
            <w:tcW w:w="832"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施工期（含施工准备期）</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4500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2.71</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0.08</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3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10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7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250" w:type="pct"/>
            <w:vMerge w:val="restar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自然恢复期</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第一年</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2500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1.83</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27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46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18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25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第二年</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2100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1.83</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27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38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11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25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第三年</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1800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1.83</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27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33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5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25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第四年</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1600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1.83</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27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29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2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25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第五年</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1550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1.83</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27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28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832"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小计</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141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185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44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附属构筑物区</w:t>
            </w:r>
          </w:p>
        </w:tc>
        <w:tc>
          <w:tcPr>
            <w:tcW w:w="832"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施工期（含施工准备期）</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4500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0.17</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0.08</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250" w:type="pct"/>
            <w:vMerge w:val="restar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自然恢复期</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第一年</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2500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0.06</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2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25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第二年</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2100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0.06</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25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第三年</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1800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0.06</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25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第四年</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1600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0.06</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25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第五年</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1550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0.06</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832"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小计</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5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6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2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312" w:type="pct"/>
            <w:gridSpan w:val="3"/>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合计</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145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191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46 </w:t>
            </w:r>
          </w:p>
        </w:tc>
      </w:tr>
    </w:tbl>
    <w:p>
      <w:pPr>
        <w:tabs>
          <w:tab w:val="left" w:pos="840"/>
          <w:tab w:val="left" w:pos="1485"/>
        </w:tabs>
        <w:spacing w:line="240" w:lineRule="auto"/>
        <w:ind w:firstLine="480"/>
        <w:jc w:val="center"/>
        <w:rPr>
          <w:rFonts w:eastAsia="仿宋_GB2312"/>
          <w:b/>
          <w:bCs/>
          <w:lang w:val="zh-CN"/>
        </w:rPr>
      </w:pPr>
    </w:p>
    <w:p>
      <w:pPr>
        <w:autoSpaceDE w:val="0"/>
        <w:autoSpaceDN w:val="0"/>
        <w:spacing w:line="240" w:lineRule="auto"/>
        <w:ind w:firstLine="480"/>
        <w:jc w:val="center"/>
        <w:rPr>
          <w:rFonts w:eastAsia="仿宋_GB2312"/>
          <w:b/>
          <w:bCs/>
          <w:lang w:val="zh-CN"/>
        </w:rPr>
      </w:pPr>
      <w:r>
        <w:rPr>
          <w:rFonts w:eastAsia="仿宋_GB2312"/>
          <w:b/>
          <w:bCs/>
          <w:lang w:val="zh-CN"/>
        </w:rPr>
        <w:t>表</w:t>
      </w:r>
      <w:r>
        <w:rPr>
          <w:rFonts w:hint="eastAsia" w:eastAsia="仿宋_GB2312"/>
          <w:b/>
          <w:bCs/>
          <w:lang w:val="zh-CN"/>
        </w:rPr>
        <w:t xml:space="preserve">4.3-6    </w:t>
      </w:r>
      <w:r>
        <w:rPr>
          <w:rFonts w:eastAsia="仿宋_GB2312"/>
          <w:b/>
          <w:bCs/>
          <w:lang w:val="zh-CN"/>
        </w:rPr>
        <w:t>工程建设各防治区水土流失量预测</w:t>
      </w:r>
      <w:r>
        <w:rPr>
          <w:rFonts w:hint="eastAsia" w:eastAsia="仿宋_GB2312"/>
          <w:b/>
          <w:bCs/>
          <w:lang w:val="zh-CN"/>
        </w:rPr>
        <w:t>统计</w:t>
      </w:r>
      <w:r>
        <w:rPr>
          <w:rFonts w:eastAsia="仿宋_GB2312"/>
          <w:b/>
          <w:bCs/>
          <w:lang w:val="zh-CN"/>
        </w:rPr>
        <w:t>表</w:t>
      </w:r>
    </w:p>
    <w:tbl>
      <w:tblPr>
        <w:tblStyle w:val="4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73"/>
        <w:gridCol w:w="1850"/>
        <w:gridCol w:w="1848"/>
        <w:gridCol w:w="18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46" w:type="pct"/>
            <w:vAlign w:val="center"/>
          </w:tcPr>
          <w:p>
            <w:pPr>
              <w:topLinePunct w:val="0"/>
              <w:adjustRightInd/>
              <w:snapToGrid/>
              <w:spacing w:line="240" w:lineRule="auto"/>
              <w:ind w:firstLine="0" w:firstLineChars="0"/>
              <w:jc w:val="center"/>
              <w:rPr>
                <w:rFonts w:eastAsia="仿宋_GB2312"/>
                <w:sz w:val="21"/>
                <w:szCs w:val="21"/>
              </w:rPr>
            </w:pPr>
            <w:r>
              <w:rPr>
                <w:rFonts w:eastAsia="仿宋_GB2312"/>
                <w:sz w:val="21"/>
                <w:szCs w:val="21"/>
              </w:rPr>
              <w:t>预测单元</w:t>
            </w:r>
          </w:p>
        </w:tc>
        <w:tc>
          <w:tcPr>
            <w:tcW w:w="1086" w:type="pct"/>
            <w:vAlign w:val="center"/>
          </w:tcPr>
          <w:p>
            <w:pPr>
              <w:topLinePunct w:val="0"/>
              <w:adjustRightInd/>
              <w:snapToGrid/>
              <w:spacing w:line="240" w:lineRule="auto"/>
              <w:ind w:firstLine="0" w:firstLineChars="0"/>
              <w:jc w:val="center"/>
              <w:rPr>
                <w:rFonts w:eastAsia="仿宋_GB2312"/>
                <w:sz w:val="21"/>
                <w:szCs w:val="21"/>
              </w:rPr>
            </w:pPr>
            <w:r>
              <w:rPr>
                <w:rFonts w:eastAsia="仿宋_GB2312"/>
                <w:sz w:val="21"/>
                <w:szCs w:val="21"/>
              </w:rPr>
              <w:t>背景流失量(t)</w:t>
            </w:r>
          </w:p>
        </w:tc>
        <w:tc>
          <w:tcPr>
            <w:tcW w:w="1085" w:type="pct"/>
            <w:vAlign w:val="center"/>
          </w:tcPr>
          <w:p>
            <w:pPr>
              <w:topLinePunct w:val="0"/>
              <w:adjustRightInd/>
              <w:snapToGrid/>
              <w:spacing w:line="240" w:lineRule="auto"/>
              <w:ind w:firstLine="0" w:firstLineChars="0"/>
              <w:jc w:val="center"/>
              <w:rPr>
                <w:rFonts w:eastAsia="仿宋_GB2312"/>
                <w:sz w:val="21"/>
                <w:szCs w:val="21"/>
              </w:rPr>
            </w:pPr>
            <w:r>
              <w:rPr>
                <w:rFonts w:eastAsia="仿宋_GB2312"/>
                <w:sz w:val="21"/>
                <w:szCs w:val="21"/>
              </w:rPr>
              <w:t>预测流失量(t)</w:t>
            </w:r>
          </w:p>
        </w:tc>
        <w:tc>
          <w:tcPr>
            <w:tcW w:w="1083" w:type="pct"/>
            <w:vAlign w:val="center"/>
          </w:tcPr>
          <w:p>
            <w:pPr>
              <w:topLinePunct w:val="0"/>
              <w:adjustRightInd/>
              <w:snapToGrid/>
              <w:spacing w:line="240" w:lineRule="auto"/>
              <w:ind w:firstLine="0" w:firstLineChars="0"/>
              <w:jc w:val="center"/>
              <w:rPr>
                <w:rFonts w:eastAsia="仿宋_GB2312"/>
                <w:sz w:val="21"/>
                <w:szCs w:val="21"/>
              </w:rPr>
            </w:pPr>
            <w:r>
              <w:rPr>
                <w:rFonts w:eastAsia="仿宋_GB2312"/>
                <w:sz w:val="21"/>
                <w:szCs w:val="21"/>
              </w:rPr>
              <w:t>新增流失量(t)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46" w:type="pct"/>
            <w:vAlign w:val="center"/>
          </w:tcPr>
          <w:p>
            <w:pPr>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管道工程区</w:t>
            </w:r>
          </w:p>
        </w:tc>
        <w:tc>
          <w:tcPr>
            <w:tcW w:w="1086" w:type="pct"/>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141</w:t>
            </w:r>
          </w:p>
        </w:tc>
        <w:tc>
          <w:tcPr>
            <w:tcW w:w="1085" w:type="pct"/>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185</w:t>
            </w:r>
          </w:p>
        </w:tc>
        <w:tc>
          <w:tcPr>
            <w:tcW w:w="1083" w:type="pct"/>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46" w:type="pct"/>
            <w:vAlign w:val="center"/>
          </w:tcPr>
          <w:p>
            <w:pPr>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附属构筑物区</w:t>
            </w:r>
          </w:p>
        </w:tc>
        <w:tc>
          <w:tcPr>
            <w:tcW w:w="1086" w:type="pct"/>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5</w:t>
            </w:r>
          </w:p>
        </w:tc>
        <w:tc>
          <w:tcPr>
            <w:tcW w:w="1085" w:type="pct"/>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6</w:t>
            </w:r>
          </w:p>
        </w:tc>
        <w:tc>
          <w:tcPr>
            <w:tcW w:w="1083" w:type="pct"/>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46" w:type="pct"/>
            <w:vAlign w:val="center"/>
          </w:tcPr>
          <w:p>
            <w:pPr>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合计</w:t>
            </w:r>
          </w:p>
        </w:tc>
        <w:tc>
          <w:tcPr>
            <w:tcW w:w="1086" w:type="pct"/>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145</w:t>
            </w:r>
          </w:p>
        </w:tc>
        <w:tc>
          <w:tcPr>
            <w:tcW w:w="1085" w:type="pct"/>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191</w:t>
            </w:r>
          </w:p>
        </w:tc>
        <w:tc>
          <w:tcPr>
            <w:tcW w:w="1083" w:type="pct"/>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46</w:t>
            </w:r>
          </w:p>
        </w:tc>
      </w:tr>
    </w:tbl>
    <w:p>
      <w:pPr>
        <w:autoSpaceDE w:val="0"/>
        <w:autoSpaceDN w:val="0"/>
        <w:spacing w:line="240" w:lineRule="auto"/>
        <w:ind w:firstLine="480"/>
        <w:jc w:val="center"/>
        <w:rPr>
          <w:rFonts w:eastAsia="仿宋_GB2312"/>
          <w:b/>
          <w:bCs/>
          <w:lang w:val="zh-CN"/>
        </w:rPr>
      </w:pPr>
    </w:p>
    <w:p>
      <w:pPr>
        <w:autoSpaceDE w:val="0"/>
        <w:autoSpaceDN w:val="0"/>
        <w:spacing w:line="240" w:lineRule="auto"/>
        <w:ind w:firstLine="480"/>
        <w:jc w:val="center"/>
        <w:rPr>
          <w:rFonts w:eastAsia="仿宋_GB2312"/>
          <w:b/>
          <w:bCs/>
          <w:lang w:val="zh-CN"/>
        </w:rPr>
      </w:pPr>
      <w:r>
        <w:rPr>
          <w:rFonts w:eastAsia="仿宋_GB2312"/>
          <w:b/>
          <w:bCs/>
          <w:lang w:val="zh-CN"/>
        </w:rPr>
        <w:t>表</w:t>
      </w:r>
      <w:r>
        <w:rPr>
          <w:rFonts w:hint="eastAsia" w:eastAsia="仿宋_GB2312"/>
          <w:b/>
          <w:bCs/>
          <w:lang w:val="zh-CN"/>
        </w:rPr>
        <w:t xml:space="preserve">4.3-7    </w:t>
      </w:r>
      <w:r>
        <w:rPr>
          <w:rFonts w:eastAsia="仿宋_GB2312"/>
          <w:b/>
          <w:bCs/>
          <w:lang w:val="zh-CN"/>
        </w:rPr>
        <w:t>各防治区</w:t>
      </w:r>
      <w:r>
        <w:rPr>
          <w:rFonts w:hint="eastAsia" w:eastAsia="仿宋_GB2312"/>
          <w:b/>
          <w:bCs/>
          <w:lang w:val="zh-CN"/>
        </w:rPr>
        <w:t>新增</w:t>
      </w:r>
      <w:r>
        <w:rPr>
          <w:rFonts w:eastAsia="仿宋_GB2312"/>
          <w:b/>
          <w:bCs/>
          <w:lang w:val="zh-CN"/>
        </w:rPr>
        <w:t>水土流失量预测</w:t>
      </w:r>
      <w:r>
        <w:rPr>
          <w:rFonts w:hint="eastAsia" w:eastAsia="仿宋_GB2312"/>
          <w:b/>
          <w:bCs/>
          <w:lang w:val="zh-CN"/>
        </w:rPr>
        <w:t>统计</w:t>
      </w:r>
      <w:r>
        <w:rPr>
          <w:rFonts w:eastAsia="仿宋_GB2312"/>
          <w:b/>
          <w:bCs/>
          <w:lang w:val="zh-CN"/>
        </w:rPr>
        <w:t>表</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3377"/>
        <w:gridCol w:w="2253"/>
        <w:gridCol w:w="288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98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预测单元</w:t>
            </w:r>
          </w:p>
        </w:tc>
        <w:tc>
          <w:tcPr>
            <w:tcW w:w="132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施工期</w:t>
            </w:r>
            <w:r>
              <w:rPr>
                <w:rFonts w:eastAsia="仿宋_GB2312"/>
                <w:sz w:val="21"/>
                <w:szCs w:val="21"/>
              </w:rPr>
              <w:t>(t)</w:t>
            </w:r>
          </w:p>
        </w:tc>
        <w:tc>
          <w:tcPr>
            <w:tcW w:w="169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自然恢复期</w:t>
            </w:r>
            <w:r>
              <w:rPr>
                <w:rFonts w:eastAsia="仿宋_GB2312"/>
                <w:sz w:val="21"/>
                <w:szCs w:val="21"/>
              </w:rPr>
              <w:t>(t)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983" w:type="pct"/>
            <w:shd w:val="clear" w:color="auto" w:fill="auto"/>
            <w:noWrap/>
            <w:vAlign w:val="center"/>
          </w:tcPr>
          <w:p>
            <w:pPr>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管道工程区</w:t>
            </w:r>
          </w:p>
        </w:tc>
        <w:tc>
          <w:tcPr>
            <w:tcW w:w="132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7</w:t>
            </w:r>
          </w:p>
        </w:tc>
        <w:tc>
          <w:tcPr>
            <w:tcW w:w="169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38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983" w:type="pct"/>
            <w:shd w:val="clear" w:color="auto" w:fill="auto"/>
            <w:noWrap/>
            <w:vAlign w:val="center"/>
          </w:tcPr>
          <w:p>
            <w:pPr>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附属构筑物区</w:t>
            </w:r>
          </w:p>
        </w:tc>
        <w:tc>
          <w:tcPr>
            <w:tcW w:w="132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w:t>
            </w:r>
          </w:p>
        </w:tc>
        <w:tc>
          <w:tcPr>
            <w:tcW w:w="169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98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合计</w:t>
            </w:r>
          </w:p>
        </w:tc>
        <w:tc>
          <w:tcPr>
            <w:tcW w:w="132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7</w:t>
            </w:r>
          </w:p>
        </w:tc>
        <w:tc>
          <w:tcPr>
            <w:tcW w:w="169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39</w:t>
            </w:r>
          </w:p>
        </w:tc>
      </w:tr>
    </w:tbl>
    <w:p>
      <w:pPr>
        <w:autoSpaceDE w:val="0"/>
        <w:autoSpaceDN w:val="0"/>
        <w:spacing w:line="240" w:lineRule="auto"/>
        <w:ind w:firstLine="480"/>
        <w:jc w:val="center"/>
        <w:rPr>
          <w:rFonts w:eastAsia="仿宋_GB2312"/>
          <w:b/>
          <w:bCs/>
          <w:lang w:val="zh-CN"/>
        </w:rPr>
      </w:pPr>
    </w:p>
    <w:p>
      <w:pPr>
        <w:ind w:firstLine="0" w:firstLineChars="0"/>
        <w:jc w:val="center"/>
        <w:rPr>
          <w:color w:val="000000"/>
        </w:rPr>
      </w:pPr>
      <w:r>
        <w:drawing>
          <wp:inline distT="0" distB="0" distL="0" distR="0">
            <wp:extent cx="5166360" cy="2228850"/>
            <wp:effectExtent l="0" t="0" r="15240" b="1905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spacing w:line="240" w:lineRule="auto"/>
        <w:ind w:firstLine="480"/>
        <w:jc w:val="center"/>
        <w:rPr>
          <w:rFonts w:eastAsia="仿宋_GB2312"/>
          <w:b/>
          <w:color w:val="000000"/>
        </w:rPr>
      </w:pPr>
      <w:r>
        <w:rPr>
          <w:rFonts w:eastAsia="仿宋_GB2312"/>
          <w:b/>
          <w:color w:val="000000"/>
        </w:rPr>
        <w:t>图4.3-1  水土流失总量预测</w:t>
      </w:r>
    </w:p>
    <w:p>
      <w:pPr>
        <w:spacing w:line="240" w:lineRule="auto"/>
        <w:ind w:firstLine="480"/>
        <w:jc w:val="center"/>
        <w:rPr>
          <w:rFonts w:eastAsia="仿宋_GB2312"/>
          <w:b/>
          <w:color w:val="000000"/>
        </w:rPr>
      </w:pPr>
    </w:p>
    <w:p>
      <w:pPr>
        <w:ind w:firstLine="0" w:firstLineChars="0"/>
        <w:jc w:val="center"/>
        <w:rPr>
          <w:rFonts w:eastAsia="仿宋_GB2312"/>
          <w:b/>
          <w:color w:val="000000"/>
        </w:rPr>
      </w:pPr>
      <w:r>
        <w:drawing>
          <wp:inline distT="0" distB="0" distL="0" distR="0">
            <wp:extent cx="5111115" cy="2571750"/>
            <wp:effectExtent l="0" t="0" r="13335"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autoSpaceDE w:val="0"/>
        <w:autoSpaceDN w:val="0"/>
        <w:spacing w:line="240" w:lineRule="auto"/>
        <w:ind w:firstLine="480"/>
        <w:jc w:val="center"/>
        <w:rPr>
          <w:rFonts w:eastAsia="仿宋_GB2312"/>
          <w:b/>
          <w:color w:val="000000"/>
        </w:rPr>
      </w:pPr>
      <w:r>
        <w:rPr>
          <w:rFonts w:eastAsia="仿宋_GB2312"/>
          <w:b/>
          <w:color w:val="000000"/>
        </w:rPr>
        <w:t>图4.3-</w:t>
      </w:r>
      <w:r>
        <w:rPr>
          <w:rFonts w:hint="eastAsia" w:eastAsia="仿宋_GB2312"/>
          <w:b/>
          <w:color w:val="000000"/>
        </w:rPr>
        <w:t>2</w:t>
      </w:r>
      <w:r>
        <w:rPr>
          <w:rFonts w:eastAsia="仿宋_GB2312"/>
          <w:b/>
          <w:bCs/>
          <w:lang w:val="zh-CN"/>
        </w:rPr>
        <w:t>各防治区</w:t>
      </w:r>
      <w:r>
        <w:rPr>
          <w:rFonts w:hint="eastAsia" w:eastAsia="仿宋_GB2312"/>
          <w:b/>
          <w:bCs/>
          <w:lang w:val="zh-CN"/>
        </w:rPr>
        <w:t>新增</w:t>
      </w:r>
      <w:r>
        <w:rPr>
          <w:rFonts w:eastAsia="仿宋_GB2312"/>
          <w:b/>
          <w:bCs/>
          <w:lang w:val="zh-CN"/>
        </w:rPr>
        <w:t>水土流失量预测</w:t>
      </w:r>
    </w:p>
    <w:p>
      <w:pPr>
        <w:spacing w:beforeLines="100"/>
        <w:ind w:firstLine="480"/>
        <w:jc w:val="left"/>
        <w:rPr>
          <w:rFonts w:eastAsia="仿宋_GB2312"/>
        </w:rPr>
      </w:pPr>
      <w:r>
        <w:rPr>
          <w:rFonts w:eastAsia="仿宋_GB2312"/>
        </w:rPr>
        <w:t>根据表4.3-</w:t>
      </w:r>
      <w:r>
        <w:rPr>
          <w:rFonts w:hint="eastAsia" w:eastAsia="仿宋_GB2312"/>
        </w:rPr>
        <w:t>6、表4.3-7</w:t>
      </w:r>
      <w:r>
        <w:rPr>
          <w:rFonts w:eastAsia="仿宋_GB2312"/>
        </w:rPr>
        <w:t>和图4.3-1</w:t>
      </w:r>
      <w:r>
        <w:rPr>
          <w:rFonts w:hint="eastAsia" w:eastAsia="仿宋_GB2312"/>
        </w:rPr>
        <w:t>、图4.3-2</w:t>
      </w:r>
      <w:r>
        <w:rPr>
          <w:rFonts w:eastAsia="仿宋_GB2312"/>
        </w:rPr>
        <w:t>可知，本项目水土流失主要发生区为</w:t>
      </w:r>
      <w:r>
        <w:rPr>
          <w:rFonts w:hint="eastAsia" w:eastAsia="仿宋_GB2312"/>
        </w:rPr>
        <w:t>面积较大的管道工程区</w:t>
      </w:r>
      <w:r>
        <w:rPr>
          <w:rFonts w:eastAsia="仿宋_GB2312"/>
        </w:rPr>
        <w:t>，水土流失强度最大的时间段为</w:t>
      </w:r>
      <w:r>
        <w:rPr>
          <w:rFonts w:hint="eastAsia" w:eastAsia="仿宋_GB2312"/>
        </w:rPr>
        <w:t>施工期</w:t>
      </w:r>
      <w:r>
        <w:rPr>
          <w:rFonts w:eastAsia="仿宋_GB2312"/>
        </w:rPr>
        <w:t>，因而本项目水土流失防治的重点区域为</w:t>
      </w:r>
      <w:r>
        <w:rPr>
          <w:rFonts w:hint="eastAsia" w:eastAsia="仿宋_GB2312"/>
        </w:rPr>
        <w:t>管道工程区</w:t>
      </w:r>
      <w:r>
        <w:rPr>
          <w:rFonts w:eastAsia="仿宋_GB2312"/>
        </w:rPr>
        <w:t>，重点防治时段为</w:t>
      </w:r>
      <w:r>
        <w:rPr>
          <w:rFonts w:hint="eastAsia" w:eastAsia="仿宋_GB2312"/>
        </w:rPr>
        <w:t>施工期</w:t>
      </w:r>
      <w:r>
        <w:rPr>
          <w:rFonts w:eastAsia="仿宋_GB2312"/>
        </w:rPr>
        <w:t>。</w:t>
      </w:r>
    </w:p>
    <w:bookmarkEnd w:id="219"/>
    <w:p>
      <w:pPr>
        <w:pStyle w:val="3"/>
        <w:widowControl/>
        <w:numPr>
          <w:ilvl w:val="1"/>
          <w:numId w:val="1"/>
        </w:numPr>
        <w:tabs>
          <w:tab w:val="clear" w:pos="1002"/>
        </w:tabs>
        <w:topLinePunct w:val="0"/>
        <w:adjustRightInd/>
        <w:snapToGrid/>
        <w:ind w:left="0" w:firstLine="0"/>
        <w:jc w:val="both"/>
        <w:rPr>
          <w:rFonts w:eastAsia="仿宋_GB2312"/>
        </w:rPr>
      </w:pPr>
      <w:bookmarkStart w:id="239" w:name="_Toc458611479"/>
      <w:bookmarkStart w:id="240" w:name="_Toc7801403"/>
      <w:bookmarkStart w:id="241" w:name="_Toc7801470"/>
      <w:bookmarkStart w:id="242" w:name="_Toc7801563"/>
      <w:bookmarkStart w:id="243" w:name="_Toc50221513"/>
      <w:r>
        <w:rPr>
          <w:rFonts w:eastAsia="仿宋_GB2312"/>
        </w:rPr>
        <w:t>水土流失危害</w:t>
      </w:r>
      <w:bookmarkEnd w:id="239"/>
      <w:r>
        <w:rPr>
          <w:rFonts w:eastAsia="仿宋_GB2312"/>
        </w:rPr>
        <w:t>分析</w:t>
      </w:r>
      <w:bookmarkEnd w:id="240"/>
      <w:bookmarkEnd w:id="241"/>
      <w:bookmarkEnd w:id="242"/>
      <w:bookmarkEnd w:id="243"/>
    </w:p>
    <w:p>
      <w:pPr>
        <w:tabs>
          <w:tab w:val="left" w:pos="840"/>
          <w:tab w:val="left" w:pos="1485"/>
        </w:tabs>
        <w:ind w:firstLine="480"/>
        <w:rPr>
          <w:rFonts w:eastAsia="仿宋_GB2312"/>
        </w:rPr>
      </w:pPr>
      <w:r>
        <w:rPr>
          <w:rFonts w:eastAsia="仿宋_GB2312"/>
        </w:rPr>
        <w:t>各建设区场地平整、</w:t>
      </w:r>
      <w:r>
        <w:rPr>
          <w:rFonts w:hint="eastAsia" w:eastAsia="仿宋_GB2312"/>
        </w:rPr>
        <w:t>基础</w:t>
      </w:r>
      <w:r>
        <w:rPr>
          <w:rFonts w:eastAsia="仿宋_GB2312"/>
        </w:rPr>
        <w:t>开挖和临时堆土等，将加剧项目区水土流失，对项目区生态环境造成不良的影响。根据项目区地形地貌和施工建设特点，本项目建设不易引发泥石流、地面塌陷、大型滑坡等严重生态影响。项目建设引起的水土流失可能造成以下几个方面的危害：</w:t>
      </w:r>
    </w:p>
    <w:p>
      <w:pPr>
        <w:tabs>
          <w:tab w:val="left" w:pos="840"/>
          <w:tab w:val="left" w:pos="1485"/>
        </w:tabs>
        <w:ind w:firstLine="480"/>
        <w:rPr>
          <w:rFonts w:eastAsia="仿宋_GB2312"/>
        </w:rPr>
      </w:pPr>
      <w:r>
        <w:rPr>
          <w:rFonts w:eastAsia="仿宋_GB2312"/>
        </w:rPr>
        <w:t>（1）损毁土地和植被、加剧水土流失发展</w:t>
      </w:r>
    </w:p>
    <w:p>
      <w:pPr>
        <w:tabs>
          <w:tab w:val="left" w:pos="840"/>
          <w:tab w:val="left" w:pos="1485"/>
        </w:tabs>
        <w:ind w:firstLine="480"/>
        <w:rPr>
          <w:rFonts w:eastAsia="仿宋_GB2312"/>
        </w:rPr>
      </w:pPr>
      <w:r>
        <w:rPr>
          <w:rFonts w:eastAsia="仿宋_GB2312"/>
        </w:rPr>
        <w:t>项目建设过程中场地平整和</w:t>
      </w:r>
      <w:r>
        <w:rPr>
          <w:rFonts w:hint="eastAsia" w:eastAsia="仿宋_GB2312"/>
        </w:rPr>
        <w:t>基础</w:t>
      </w:r>
      <w:r>
        <w:rPr>
          <w:rFonts w:eastAsia="仿宋_GB2312"/>
        </w:rPr>
        <w:t>开挖产生大量的土石方，同时短期内造成大面积的松散裸露表土，以上裸露堆放的表土一旦发生水土流失，流失的砂土不仅压占周边原始地表，损毁原始地表植被，而且导致原本具有水土保持功能的地表结皮、植被、硬化层被易诱发水土流失的松散表土取代，将加剧水土流失的发生发展。</w:t>
      </w:r>
    </w:p>
    <w:p>
      <w:pPr>
        <w:tabs>
          <w:tab w:val="left" w:pos="840"/>
          <w:tab w:val="left" w:pos="1485"/>
        </w:tabs>
        <w:ind w:firstLine="480"/>
        <w:rPr>
          <w:rFonts w:eastAsia="仿宋_GB2312"/>
        </w:rPr>
      </w:pPr>
      <w:r>
        <w:rPr>
          <w:rFonts w:eastAsia="仿宋_GB2312"/>
        </w:rPr>
        <w:t>（2）降低土地生产力</w:t>
      </w:r>
    </w:p>
    <w:p>
      <w:pPr>
        <w:tabs>
          <w:tab w:val="left" w:pos="840"/>
          <w:tab w:val="left" w:pos="1485"/>
        </w:tabs>
        <w:ind w:firstLine="480"/>
        <w:rPr>
          <w:rFonts w:eastAsia="仿宋_GB2312"/>
        </w:rPr>
      </w:pPr>
      <w:r>
        <w:rPr>
          <w:rFonts w:eastAsia="仿宋_GB2312"/>
        </w:rPr>
        <w:t>如不采取水土保持措施，本项目的建设必然加剧区域水土流失。水土流失将使原始地表区土壤变的更加瘠薄，加剧土壤沙化、石化，而且流失的水土也会造成有机质的流失，将降低土壤肥力，流失的砂土也将使其他区域原始土壤结构被破坏，降低其他区域的土地生产力。</w:t>
      </w:r>
    </w:p>
    <w:p>
      <w:pPr>
        <w:tabs>
          <w:tab w:val="left" w:pos="840"/>
          <w:tab w:val="left" w:pos="1485"/>
        </w:tabs>
        <w:ind w:firstLine="480"/>
        <w:rPr>
          <w:rFonts w:eastAsia="仿宋_GB2312"/>
        </w:rPr>
      </w:pPr>
      <w:r>
        <w:rPr>
          <w:rFonts w:eastAsia="仿宋_GB2312"/>
        </w:rPr>
        <w:t>（3）影响施工安全</w:t>
      </w:r>
    </w:p>
    <w:p>
      <w:pPr>
        <w:tabs>
          <w:tab w:val="left" w:pos="840"/>
          <w:tab w:val="left" w:pos="1485"/>
        </w:tabs>
        <w:ind w:firstLine="480"/>
      </w:pPr>
      <w:r>
        <w:rPr>
          <w:rFonts w:eastAsia="仿宋_GB2312"/>
        </w:rPr>
        <w:t>项目建设诱发的水土流失不仅会带来严重的生态问题，而且会对项目的建设产生不利影响，项目区属于多风区，建设过程中松散的表土在大风时极易扬尘，扬尘不仅直接破坏周边生态环境，而且降低能见度，威胁运输和建设安全。此外水力侵蚀携带和冲刷的泥沙还有可能填埋地面设施，堵塞交通，影响设施和生产安全。</w:t>
      </w:r>
    </w:p>
    <w:p>
      <w:pPr>
        <w:pStyle w:val="3"/>
        <w:widowControl/>
        <w:numPr>
          <w:ilvl w:val="1"/>
          <w:numId w:val="1"/>
        </w:numPr>
        <w:tabs>
          <w:tab w:val="clear" w:pos="1002"/>
        </w:tabs>
        <w:topLinePunct w:val="0"/>
        <w:adjustRightInd/>
        <w:snapToGrid/>
        <w:ind w:left="0" w:firstLine="0"/>
        <w:jc w:val="both"/>
        <w:rPr>
          <w:rFonts w:eastAsia="仿宋_GB2312"/>
        </w:rPr>
      </w:pPr>
      <w:bookmarkStart w:id="244" w:name="_Toc7801471"/>
      <w:bookmarkStart w:id="245" w:name="_Toc7801564"/>
      <w:bookmarkStart w:id="246" w:name="_Toc50221514"/>
      <w:bookmarkStart w:id="247" w:name="_Toc7801404"/>
      <w:r>
        <w:rPr>
          <w:rFonts w:eastAsia="仿宋_GB2312"/>
        </w:rPr>
        <w:t>指导性意见</w:t>
      </w:r>
      <w:bookmarkEnd w:id="244"/>
      <w:bookmarkEnd w:id="245"/>
      <w:bookmarkEnd w:id="246"/>
      <w:bookmarkEnd w:id="247"/>
    </w:p>
    <w:bookmarkEnd w:id="209"/>
    <w:bookmarkEnd w:id="210"/>
    <w:p>
      <w:pPr>
        <w:tabs>
          <w:tab w:val="left" w:pos="840"/>
          <w:tab w:val="left" w:pos="1485"/>
        </w:tabs>
        <w:ind w:firstLine="480"/>
        <w:rPr>
          <w:rFonts w:eastAsia="仿宋_GB2312"/>
        </w:rPr>
      </w:pPr>
      <w:bookmarkStart w:id="248" w:name="_Toc259890548"/>
      <w:bookmarkStart w:id="249" w:name="_Toc249515128"/>
      <w:bookmarkStart w:id="250" w:name="_Toc272768065"/>
      <w:r>
        <w:rPr>
          <w:rFonts w:eastAsia="仿宋_GB2312"/>
        </w:rPr>
        <w:t>（1）综合分析</w:t>
      </w:r>
    </w:p>
    <w:p>
      <w:pPr>
        <w:tabs>
          <w:tab w:val="left" w:pos="840"/>
          <w:tab w:val="left" w:pos="1485"/>
        </w:tabs>
        <w:ind w:firstLine="480"/>
        <w:rPr>
          <w:rFonts w:eastAsia="仿宋_GB2312"/>
        </w:rPr>
      </w:pPr>
      <w:bookmarkStart w:id="251" w:name="_Toc196296842"/>
      <w:r>
        <w:rPr>
          <w:rFonts w:eastAsia="仿宋_GB2312"/>
        </w:rPr>
        <w:t>本项目施工作业场所是新增人为水土流失的主要地段，由于</w:t>
      </w:r>
      <w:r>
        <w:rPr>
          <w:rFonts w:hint="eastAsia" w:eastAsia="仿宋_GB2312"/>
        </w:rPr>
        <w:t>管沟及基础</w:t>
      </w:r>
      <w:r>
        <w:rPr>
          <w:rFonts w:eastAsia="仿宋_GB2312"/>
        </w:rPr>
        <w:t>开挖、临时堆土等可能形成严重的风蚀和水蚀，因此建设期是重点防治时段，主要是防治场地平整过程中裸露区域、施工建设材料堆放场、开挖土方堆放场区水土流失问题。</w:t>
      </w:r>
    </w:p>
    <w:p>
      <w:pPr>
        <w:tabs>
          <w:tab w:val="left" w:pos="840"/>
          <w:tab w:val="left" w:pos="1485"/>
        </w:tabs>
        <w:ind w:firstLine="480"/>
        <w:rPr>
          <w:rFonts w:eastAsia="仿宋_GB2312"/>
        </w:rPr>
      </w:pPr>
      <w:r>
        <w:rPr>
          <w:rFonts w:eastAsia="仿宋_GB2312"/>
        </w:rPr>
        <w:t>除</w:t>
      </w:r>
      <w:r>
        <w:rPr>
          <w:rFonts w:hint="eastAsia" w:eastAsia="仿宋_GB2312"/>
        </w:rPr>
        <w:t>附属构筑物</w:t>
      </w:r>
      <w:r>
        <w:rPr>
          <w:rFonts w:eastAsia="仿宋_GB2312"/>
        </w:rPr>
        <w:t>永久占地外，工程建设扰动的占地</w:t>
      </w:r>
      <w:r>
        <w:rPr>
          <w:rFonts w:hint="eastAsia" w:eastAsia="仿宋_GB2312"/>
        </w:rPr>
        <w:t>通过实施水土防治措施和硬化</w:t>
      </w:r>
      <w:r>
        <w:rPr>
          <w:rFonts w:eastAsia="仿宋_GB2312"/>
        </w:rPr>
        <w:t>后，项目区水土保持功能基本恢复，应加强该类区域水土流失防治，因地制宜，因害设防，制定行之有效的防治方案，遏制新增水土流失的发生与发展。</w:t>
      </w:r>
      <w:bookmarkStart w:id="252" w:name="_Toc196296840"/>
    </w:p>
    <w:p>
      <w:pPr>
        <w:tabs>
          <w:tab w:val="left" w:pos="840"/>
          <w:tab w:val="left" w:pos="1485"/>
        </w:tabs>
        <w:ind w:firstLine="480"/>
        <w:rPr>
          <w:rFonts w:eastAsia="仿宋_GB2312"/>
        </w:rPr>
      </w:pPr>
      <w:r>
        <w:rPr>
          <w:rFonts w:eastAsia="仿宋_GB2312"/>
        </w:rPr>
        <w:t>（2）水土流失防治的指导性意见</w:t>
      </w:r>
      <w:bookmarkEnd w:id="252"/>
    </w:p>
    <w:p>
      <w:pPr>
        <w:tabs>
          <w:tab w:val="left" w:pos="840"/>
          <w:tab w:val="left" w:pos="1485"/>
        </w:tabs>
        <w:ind w:firstLine="480"/>
        <w:rPr>
          <w:rFonts w:eastAsia="仿宋_GB2312"/>
        </w:rPr>
      </w:pPr>
      <w:r>
        <w:rPr>
          <w:rFonts w:eastAsia="仿宋_GB2312"/>
        </w:rPr>
        <w:t>以上预测结果是在不采取防护措施的情况下可能发生的水土流失。产生水土流失的因素较多，地面坡度、地表物质组成与结构及降水强度是造成水力侵蚀强弱的主导因素，地面组成物质与结构和风力的大小是风力侵蚀强弱的主导因素。从以往的经验，防治风蚀最有效的手段是植物措施。在具体实施时，应针对不同工程的施工与建设区地域、地段，不同的施工工艺、施工特点与施工季节，因地制宜，因害设防，制定行之有效的防治方案，遏制新增水土流失的发生与发展。对于其它水土流失相对不突出的侵蚀区域，也应制定针对性的防治措施，以减少施工过程中的水土流失量。</w:t>
      </w:r>
      <w:bookmarkStart w:id="253" w:name="_Toc196296841"/>
    </w:p>
    <w:p>
      <w:pPr>
        <w:tabs>
          <w:tab w:val="left" w:pos="840"/>
          <w:tab w:val="left" w:pos="1485"/>
        </w:tabs>
        <w:ind w:firstLine="480"/>
        <w:rPr>
          <w:rFonts w:eastAsia="仿宋_GB2312"/>
        </w:rPr>
      </w:pPr>
      <w:r>
        <w:rPr>
          <w:rFonts w:eastAsia="仿宋_GB2312"/>
        </w:rPr>
        <w:t>本项目水土流失主要发生在施工期，因而要加强施工期的临时防护，并尽快对可采取水土保持措施的区段采取工程措施进行治理与保护。</w:t>
      </w:r>
    </w:p>
    <w:p>
      <w:pPr>
        <w:tabs>
          <w:tab w:val="left" w:pos="840"/>
          <w:tab w:val="left" w:pos="1485"/>
        </w:tabs>
        <w:ind w:firstLine="480"/>
        <w:rPr>
          <w:rFonts w:eastAsia="仿宋_GB2312"/>
        </w:rPr>
      </w:pPr>
      <w:r>
        <w:rPr>
          <w:rFonts w:eastAsia="仿宋_GB2312"/>
        </w:rPr>
        <w:t>（3）对施工进度安排的意见</w:t>
      </w:r>
      <w:bookmarkEnd w:id="253"/>
    </w:p>
    <w:p>
      <w:pPr>
        <w:tabs>
          <w:tab w:val="left" w:pos="840"/>
          <w:tab w:val="left" w:pos="1485"/>
        </w:tabs>
        <w:ind w:firstLine="480"/>
        <w:rPr>
          <w:rFonts w:eastAsia="仿宋_GB2312"/>
        </w:rPr>
      </w:pPr>
      <w:r>
        <w:rPr>
          <w:rFonts w:eastAsia="仿宋_GB2312"/>
        </w:rPr>
        <w:t>根据预测结果，施工期是新增水土流失较严重的时期，建议在施工中加强主体工程施工进度的紧凑安排，有效缩短强度流失时段。如：在</w:t>
      </w:r>
      <w:r>
        <w:rPr>
          <w:rFonts w:hint="eastAsia" w:eastAsia="仿宋_GB2312"/>
        </w:rPr>
        <w:t>基础</w:t>
      </w:r>
      <w:r>
        <w:rPr>
          <w:rFonts w:eastAsia="仿宋_GB2312"/>
        </w:rPr>
        <w:t>开挖临时堆土场地应加强风蚀的防治措施。</w:t>
      </w:r>
    </w:p>
    <w:bookmarkEnd w:id="251"/>
    <w:p>
      <w:pPr>
        <w:tabs>
          <w:tab w:val="left" w:pos="840"/>
          <w:tab w:val="left" w:pos="1485"/>
        </w:tabs>
        <w:ind w:firstLine="480"/>
        <w:rPr>
          <w:rFonts w:eastAsia="仿宋_GB2312"/>
        </w:rPr>
        <w:sectPr>
          <w:headerReference r:id="rId17" w:type="default"/>
          <w:pgSz w:w="11906" w:h="16838"/>
          <w:pgMar w:top="1440" w:right="1803" w:bottom="1440" w:left="1803" w:header="851" w:footer="992" w:gutter="0"/>
          <w:cols w:space="720" w:num="1"/>
          <w:docGrid w:linePitch="326" w:charSpace="0"/>
        </w:sectPr>
      </w:pPr>
    </w:p>
    <w:p>
      <w:pPr>
        <w:pStyle w:val="50"/>
        <w:widowControl/>
        <w:numPr>
          <w:ilvl w:val="0"/>
          <w:numId w:val="1"/>
        </w:numPr>
        <w:tabs>
          <w:tab w:val="clear" w:pos="432"/>
        </w:tabs>
        <w:spacing w:beforeLines="100" w:afterLines="100"/>
        <w:rPr>
          <w:rFonts w:eastAsia="仿宋_GB2312"/>
          <w:sz w:val="32"/>
          <w:szCs w:val="32"/>
        </w:rPr>
      </w:pPr>
      <w:bookmarkStart w:id="254" w:name="_Toc7801565"/>
      <w:bookmarkStart w:id="255" w:name="_Toc7801472"/>
      <w:bookmarkStart w:id="256" w:name="_Toc7801405"/>
      <w:bookmarkStart w:id="257" w:name="_Toc50221515"/>
      <w:r>
        <w:rPr>
          <w:rFonts w:eastAsia="仿宋_GB2312"/>
          <w:sz w:val="32"/>
          <w:szCs w:val="32"/>
        </w:rPr>
        <w:t>水土</w:t>
      </w:r>
      <w:bookmarkEnd w:id="248"/>
      <w:bookmarkEnd w:id="249"/>
      <w:bookmarkEnd w:id="250"/>
      <w:r>
        <w:rPr>
          <w:rFonts w:eastAsia="仿宋_GB2312"/>
          <w:sz w:val="32"/>
          <w:szCs w:val="32"/>
        </w:rPr>
        <w:t>保持措施</w:t>
      </w:r>
      <w:bookmarkEnd w:id="254"/>
      <w:bookmarkEnd w:id="255"/>
      <w:bookmarkEnd w:id="256"/>
      <w:bookmarkEnd w:id="257"/>
    </w:p>
    <w:p>
      <w:pPr>
        <w:pStyle w:val="3"/>
        <w:widowControl/>
        <w:numPr>
          <w:ilvl w:val="1"/>
          <w:numId w:val="1"/>
        </w:numPr>
        <w:tabs>
          <w:tab w:val="clear" w:pos="1002"/>
        </w:tabs>
        <w:topLinePunct w:val="0"/>
        <w:adjustRightInd/>
        <w:snapToGrid/>
        <w:ind w:left="0" w:firstLine="0"/>
        <w:jc w:val="both"/>
        <w:rPr>
          <w:rFonts w:eastAsia="仿宋_GB2312"/>
        </w:rPr>
      </w:pPr>
      <w:bookmarkStart w:id="258" w:name="_Toc7801406"/>
      <w:bookmarkStart w:id="259" w:name="_Toc7801473"/>
      <w:bookmarkStart w:id="260" w:name="_Toc7801566"/>
      <w:bookmarkStart w:id="261" w:name="_Toc50221516"/>
      <w:bookmarkStart w:id="262" w:name="_Toc249515129"/>
      <w:bookmarkStart w:id="263" w:name="_Toc272768066"/>
      <w:bookmarkStart w:id="264" w:name="_Toc259890549"/>
      <w:r>
        <w:rPr>
          <w:rFonts w:eastAsia="仿宋_GB2312"/>
        </w:rPr>
        <w:t>防治区划分</w:t>
      </w:r>
      <w:bookmarkEnd w:id="258"/>
      <w:bookmarkEnd w:id="259"/>
      <w:bookmarkEnd w:id="260"/>
      <w:bookmarkEnd w:id="261"/>
    </w:p>
    <w:p>
      <w:pPr>
        <w:pStyle w:val="4"/>
        <w:keepLines/>
        <w:widowControl/>
        <w:numPr>
          <w:ilvl w:val="2"/>
          <w:numId w:val="1"/>
        </w:numPr>
        <w:tabs>
          <w:tab w:val="clear" w:pos="432"/>
          <w:tab w:val="clear" w:pos="960"/>
        </w:tabs>
        <w:kinsoku/>
        <w:overflowPunct/>
        <w:topLinePunct w:val="0"/>
        <w:autoSpaceDE/>
        <w:autoSpaceDN/>
        <w:adjustRightInd/>
        <w:snapToGrid/>
        <w:spacing w:beforeLines="100"/>
        <w:ind w:left="0" w:firstLine="0"/>
        <w:jc w:val="both"/>
        <w:rPr>
          <w:rFonts w:eastAsia="仿宋_GB2312"/>
        </w:rPr>
      </w:pPr>
      <w:bookmarkStart w:id="265" w:name="_Toc176262265"/>
      <w:bookmarkStart w:id="266" w:name="_Toc176779585"/>
      <w:bookmarkStart w:id="267" w:name="_Toc291602407"/>
      <w:r>
        <w:rPr>
          <w:rFonts w:eastAsia="仿宋_GB2312"/>
        </w:rPr>
        <w:t>防治分区原则</w:t>
      </w:r>
      <w:bookmarkEnd w:id="265"/>
      <w:bookmarkEnd w:id="266"/>
      <w:bookmarkEnd w:id="267"/>
    </w:p>
    <w:p>
      <w:pPr>
        <w:autoSpaceDE w:val="0"/>
        <w:autoSpaceDN w:val="0"/>
        <w:ind w:firstLine="480"/>
        <w:rPr>
          <w:rFonts w:eastAsia="仿宋_GB2312"/>
          <w:color w:val="000000"/>
          <w:lang w:val="zh-CN"/>
        </w:rPr>
      </w:pPr>
      <w:bookmarkStart w:id="268" w:name="_Toc196296819"/>
      <w:r>
        <w:rPr>
          <w:rFonts w:eastAsia="仿宋_GB2312"/>
          <w:color w:val="000000"/>
        </w:rPr>
        <w:t>水土流失防治区划分主要以工程建设区的工程布局、施工扰动特点、建设时序、自然属性、地貌特征、水土流失影响等依据进行划分。具体划分时参照</w:t>
      </w:r>
      <w:r>
        <w:rPr>
          <w:rFonts w:eastAsia="仿宋_GB2312"/>
          <w:color w:val="000000"/>
          <w:lang w:val="zh-CN"/>
        </w:rPr>
        <w:t>以下原则进行：</w:t>
      </w:r>
      <w:bookmarkStart w:id="269" w:name="_Toc203614068"/>
    </w:p>
    <w:p>
      <w:pPr>
        <w:autoSpaceDE w:val="0"/>
        <w:autoSpaceDN w:val="0"/>
        <w:ind w:firstLine="480"/>
        <w:rPr>
          <w:rFonts w:eastAsia="仿宋_GB2312"/>
          <w:color w:val="000000"/>
        </w:rPr>
      </w:pPr>
      <w:r>
        <w:rPr>
          <w:rFonts w:eastAsia="仿宋_GB2312"/>
          <w:color w:val="000000"/>
          <w:lang w:val="zh-CN"/>
        </w:rPr>
        <w:t>1）</w:t>
      </w:r>
      <w:r>
        <w:rPr>
          <w:rFonts w:eastAsia="仿宋_GB2312"/>
          <w:color w:val="000000"/>
        </w:rPr>
        <w:t>各区之间具有显著差异性</w:t>
      </w:r>
      <w:bookmarkEnd w:id="269"/>
      <w:r>
        <w:rPr>
          <w:rFonts w:eastAsia="仿宋_GB2312"/>
          <w:color w:val="000000"/>
        </w:rPr>
        <w:t>；</w:t>
      </w:r>
    </w:p>
    <w:p>
      <w:pPr>
        <w:autoSpaceDE w:val="0"/>
        <w:autoSpaceDN w:val="0"/>
        <w:ind w:firstLine="480"/>
        <w:rPr>
          <w:rFonts w:eastAsia="仿宋_GB2312"/>
          <w:color w:val="000000"/>
        </w:rPr>
      </w:pPr>
      <w:r>
        <w:rPr>
          <w:rFonts w:eastAsia="仿宋_GB2312"/>
          <w:color w:val="000000"/>
        </w:rPr>
        <w:t>2）相同分区内造成水土流失的主导因子相近或相似；</w:t>
      </w:r>
    </w:p>
    <w:p>
      <w:pPr>
        <w:autoSpaceDE w:val="0"/>
        <w:autoSpaceDN w:val="0"/>
        <w:ind w:firstLine="480"/>
        <w:rPr>
          <w:rFonts w:eastAsia="仿宋_GB2312"/>
          <w:color w:val="000000"/>
        </w:rPr>
      </w:pPr>
      <w:r>
        <w:rPr>
          <w:rFonts w:eastAsia="仿宋_GB2312"/>
          <w:color w:val="000000"/>
        </w:rPr>
        <w:t>3）按地貌类型划分一级区，一级区应具有控制性、整体性、全局性；</w:t>
      </w:r>
    </w:p>
    <w:p>
      <w:pPr>
        <w:autoSpaceDE w:val="0"/>
        <w:autoSpaceDN w:val="0"/>
        <w:ind w:firstLine="480"/>
        <w:rPr>
          <w:rFonts w:eastAsia="仿宋_GB2312"/>
          <w:color w:val="000000"/>
        </w:rPr>
      </w:pPr>
      <w:r>
        <w:rPr>
          <w:rFonts w:eastAsia="仿宋_GB2312"/>
          <w:color w:val="000000"/>
        </w:rPr>
        <w:t>2）结合工程布局和施工特点进行二级分区；</w:t>
      </w:r>
    </w:p>
    <w:p>
      <w:pPr>
        <w:autoSpaceDE w:val="0"/>
        <w:autoSpaceDN w:val="0"/>
        <w:ind w:firstLine="480"/>
        <w:rPr>
          <w:rFonts w:eastAsia="仿宋_GB2312"/>
          <w:color w:val="000000"/>
        </w:rPr>
      </w:pPr>
      <w:r>
        <w:rPr>
          <w:rFonts w:eastAsia="仿宋_GB2312"/>
          <w:color w:val="000000"/>
        </w:rPr>
        <w:t>4）各级分区应层次分明，具有关联性和系统性；</w:t>
      </w:r>
    </w:p>
    <w:p>
      <w:pPr>
        <w:autoSpaceDE w:val="0"/>
        <w:autoSpaceDN w:val="0"/>
        <w:ind w:firstLine="480"/>
        <w:rPr>
          <w:rFonts w:eastAsia="仿宋_GB2312"/>
          <w:color w:val="000000"/>
          <w:lang w:val="zh-CN"/>
        </w:rPr>
      </w:pPr>
      <w:r>
        <w:rPr>
          <w:rFonts w:eastAsia="仿宋_GB2312"/>
          <w:color w:val="000000"/>
        </w:rPr>
        <w:t>5）有利于水土保持预测和对方案实施效果的技术评估。</w:t>
      </w:r>
      <w:bookmarkEnd w:id="268"/>
    </w:p>
    <w:p>
      <w:pPr>
        <w:pStyle w:val="4"/>
        <w:keepLines/>
        <w:widowControl/>
        <w:numPr>
          <w:ilvl w:val="2"/>
          <w:numId w:val="1"/>
        </w:numPr>
        <w:tabs>
          <w:tab w:val="clear" w:pos="432"/>
          <w:tab w:val="clear" w:pos="960"/>
        </w:tabs>
        <w:kinsoku/>
        <w:overflowPunct/>
        <w:topLinePunct w:val="0"/>
        <w:autoSpaceDE/>
        <w:autoSpaceDN/>
        <w:adjustRightInd/>
        <w:snapToGrid/>
        <w:spacing w:beforeLines="100"/>
        <w:ind w:left="0" w:firstLine="0"/>
        <w:jc w:val="both"/>
        <w:rPr>
          <w:rFonts w:eastAsia="仿宋_GB2312"/>
        </w:rPr>
      </w:pPr>
      <w:bookmarkStart w:id="270" w:name="_Toc176262266"/>
      <w:bookmarkStart w:id="271" w:name="_Toc176779586"/>
      <w:bookmarkStart w:id="272" w:name="_Toc291602408"/>
      <w:r>
        <w:rPr>
          <w:rFonts w:eastAsia="仿宋_GB2312"/>
        </w:rPr>
        <w:t>水土流失防治分区</w:t>
      </w:r>
      <w:bookmarkEnd w:id="270"/>
      <w:bookmarkEnd w:id="271"/>
      <w:r>
        <w:rPr>
          <w:rFonts w:eastAsia="仿宋_GB2312"/>
        </w:rPr>
        <w:t>结果</w:t>
      </w:r>
      <w:bookmarkEnd w:id="272"/>
    </w:p>
    <w:p>
      <w:pPr>
        <w:pStyle w:val="13"/>
        <w:ind w:firstLine="480"/>
        <w:rPr>
          <w:rFonts w:eastAsia="仿宋_GB2312"/>
        </w:rPr>
      </w:pPr>
      <w:bookmarkStart w:id="273" w:name="_Toc153967744"/>
      <w:r>
        <w:rPr>
          <w:rFonts w:eastAsia="仿宋_GB2312"/>
        </w:rPr>
        <w:t>根据项目的建设特点及划定的防治责任范围，将本工程项目区按地貌类型进行划分，本工程属于</w:t>
      </w:r>
      <w:r>
        <w:rPr>
          <w:rFonts w:hint="eastAsia" w:eastAsia="仿宋_GB2312"/>
        </w:rPr>
        <w:t>冲洪积</w:t>
      </w:r>
      <w:r>
        <w:rPr>
          <w:rFonts w:eastAsia="仿宋_GB2312"/>
        </w:rPr>
        <w:t>平原区；将项目区按侵蚀类型划分，本工程属于轻度风蚀、微度水蚀。再根据项目建设对水土流失的影响、区域自然条件、工程布局及不同部位水土流失特点等因素，将水土流失防治分区分为</w:t>
      </w:r>
      <w:r>
        <w:rPr>
          <w:rFonts w:hint="eastAsia" w:eastAsia="仿宋_GB2312"/>
          <w:lang w:val="zh-CN"/>
        </w:rPr>
        <w:t>管道工程区</w:t>
      </w:r>
      <w:r>
        <w:rPr>
          <w:rFonts w:eastAsia="仿宋_GB2312"/>
          <w:lang w:val="zh-CN"/>
        </w:rPr>
        <w:t>、</w:t>
      </w:r>
      <w:r>
        <w:rPr>
          <w:rFonts w:hint="eastAsia" w:eastAsia="仿宋_GB2312"/>
          <w:lang w:val="zh-CN"/>
        </w:rPr>
        <w:t>附属构筑物区</w:t>
      </w:r>
      <w:r>
        <w:rPr>
          <w:rFonts w:eastAsia="仿宋_GB2312"/>
        </w:rPr>
        <w:t>等</w:t>
      </w:r>
      <w:r>
        <w:rPr>
          <w:rFonts w:hint="eastAsia" w:eastAsia="仿宋_GB2312"/>
        </w:rPr>
        <w:t>2</w:t>
      </w:r>
      <w:r>
        <w:rPr>
          <w:rFonts w:eastAsia="仿宋_GB2312"/>
        </w:rPr>
        <w:t>个防治分区进行防治</w:t>
      </w:r>
      <w:r>
        <w:rPr>
          <w:rFonts w:eastAsia="仿宋_GB2312"/>
          <w:lang w:val="zh-CN"/>
        </w:rPr>
        <w:t>。</w:t>
      </w:r>
    </w:p>
    <w:p>
      <w:pPr>
        <w:pStyle w:val="13"/>
        <w:ind w:firstLine="480"/>
        <w:rPr>
          <w:rFonts w:eastAsia="仿宋_GB2312"/>
        </w:rPr>
      </w:pPr>
      <w:r>
        <w:rPr>
          <w:rFonts w:eastAsia="仿宋_GB2312"/>
        </w:rPr>
        <w:t>水土流失防治分区，见表5.1-1。</w:t>
      </w:r>
      <w:bookmarkEnd w:id="273"/>
    </w:p>
    <w:p>
      <w:pPr>
        <w:spacing w:line="240" w:lineRule="auto"/>
        <w:ind w:firstLine="480"/>
        <w:jc w:val="center"/>
        <w:rPr>
          <w:rFonts w:eastAsia="仿宋_GB2312"/>
          <w:b/>
          <w:bCs/>
        </w:rPr>
      </w:pPr>
      <w:r>
        <w:rPr>
          <w:rFonts w:eastAsia="仿宋_GB2312"/>
          <w:b/>
        </w:rPr>
        <w:t xml:space="preserve">表5.1-1   </w:t>
      </w:r>
      <w:r>
        <w:rPr>
          <w:rFonts w:eastAsia="仿宋_GB2312"/>
          <w:b/>
          <w:bCs/>
        </w:rPr>
        <w:t>水土流失防治分区表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0"/>
        <w:gridCol w:w="1226"/>
        <w:gridCol w:w="2214"/>
        <w:gridCol w:w="1567"/>
        <w:gridCol w:w="1306"/>
        <w:gridCol w:w="11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66" w:type="pct"/>
            <w:gridSpan w:val="2"/>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一级分区</w:t>
            </w:r>
          </w:p>
        </w:tc>
        <w:tc>
          <w:tcPr>
            <w:tcW w:w="1300" w:type="pct"/>
            <w:vMerge w:val="restart"/>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二级分区</w:t>
            </w:r>
          </w:p>
        </w:tc>
        <w:tc>
          <w:tcPr>
            <w:tcW w:w="920" w:type="pct"/>
            <w:vMerge w:val="restart"/>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面积(</w:t>
            </w:r>
            <w:r>
              <w:rPr>
                <w:rFonts w:hint="eastAsia" w:eastAsia="仿宋_GB2312"/>
                <w:snapToGrid w:val="0"/>
                <w:sz w:val="21"/>
                <w:szCs w:val="21"/>
              </w:rPr>
              <w:t>h</w:t>
            </w:r>
            <w:r>
              <w:rPr>
                <w:rFonts w:eastAsia="仿宋_GB2312"/>
                <w:snapToGrid w:val="0"/>
                <w:sz w:val="21"/>
                <w:szCs w:val="21"/>
              </w:rPr>
              <w:t>m</w:t>
            </w:r>
            <w:r>
              <w:rPr>
                <w:rFonts w:eastAsia="宋体"/>
                <w:snapToGrid w:val="0"/>
                <w:sz w:val="21"/>
                <w:szCs w:val="21"/>
              </w:rPr>
              <w:t>²</w:t>
            </w:r>
            <w:r>
              <w:rPr>
                <w:rFonts w:eastAsia="仿宋_GB2312"/>
                <w:snapToGrid w:val="0"/>
                <w:sz w:val="21"/>
                <w:szCs w:val="21"/>
              </w:rPr>
              <w:t>)</w:t>
            </w:r>
          </w:p>
        </w:tc>
        <w:tc>
          <w:tcPr>
            <w:tcW w:w="767" w:type="pct"/>
            <w:vMerge w:val="restart"/>
            <w:vAlign w:val="center"/>
          </w:tcPr>
          <w:p>
            <w:pPr>
              <w:pStyle w:val="73"/>
              <w:widowControl w:val="0"/>
              <w:topLinePunct/>
              <w:adjustRightInd w:val="0"/>
              <w:snapToGrid w:val="0"/>
              <w:spacing w:line="240" w:lineRule="auto"/>
              <w:jc w:val="center"/>
              <w:textAlignment w:val="center"/>
              <w:rPr>
                <w:color w:val="auto"/>
              </w:rPr>
            </w:pPr>
            <w:r>
              <w:rPr>
                <w:rFonts w:hint="eastAsia"/>
                <w:color w:val="auto"/>
              </w:rPr>
              <w:t>边界条件</w:t>
            </w:r>
          </w:p>
        </w:tc>
        <w:tc>
          <w:tcPr>
            <w:tcW w:w="647" w:type="pct"/>
            <w:vMerge w:val="restart"/>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行政区划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pct"/>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地形地貌</w:t>
            </w:r>
          </w:p>
        </w:tc>
        <w:tc>
          <w:tcPr>
            <w:tcW w:w="720" w:type="pct"/>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侵蚀类型</w:t>
            </w:r>
          </w:p>
        </w:tc>
        <w:tc>
          <w:tcPr>
            <w:tcW w:w="1300" w:type="pct"/>
            <w:vMerge w:val="continue"/>
            <w:vAlign w:val="center"/>
          </w:tcPr>
          <w:p>
            <w:pPr>
              <w:widowControl/>
              <w:spacing w:line="0" w:lineRule="atLeast"/>
              <w:ind w:firstLine="420"/>
              <w:jc w:val="center"/>
              <w:rPr>
                <w:rFonts w:eastAsia="仿宋_GB2312"/>
                <w:snapToGrid w:val="0"/>
                <w:sz w:val="21"/>
                <w:szCs w:val="21"/>
              </w:rPr>
            </w:pPr>
          </w:p>
        </w:tc>
        <w:tc>
          <w:tcPr>
            <w:tcW w:w="920" w:type="pct"/>
            <w:vMerge w:val="continue"/>
            <w:vAlign w:val="center"/>
          </w:tcPr>
          <w:p>
            <w:pPr>
              <w:widowControl/>
              <w:spacing w:line="0" w:lineRule="atLeast"/>
              <w:ind w:firstLine="420"/>
              <w:jc w:val="center"/>
              <w:rPr>
                <w:rFonts w:eastAsia="仿宋_GB2312"/>
                <w:snapToGrid w:val="0"/>
                <w:sz w:val="21"/>
                <w:szCs w:val="21"/>
              </w:rPr>
            </w:pPr>
          </w:p>
        </w:tc>
        <w:tc>
          <w:tcPr>
            <w:tcW w:w="767" w:type="pct"/>
            <w:vMerge w:val="continue"/>
            <w:vAlign w:val="center"/>
          </w:tcPr>
          <w:p>
            <w:pPr>
              <w:pStyle w:val="73"/>
              <w:widowControl w:val="0"/>
              <w:topLinePunct/>
              <w:adjustRightInd w:val="0"/>
              <w:snapToGrid w:val="0"/>
              <w:spacing w:line="240" w:lineRule="auto"/>
              <w:jc w:val="center"/>
              <w:textAlignment w:val="center"/>
              <w:rPr>
                <w:color w:val="auto"/>
              </w:rPr>
            </w:pPr>
          </w:p>
        </w:tc>
        <w:tc>
          <w:tcPr>
            <w:tcW w:w="647" w:type="pct"/>
            <w:vMerge w:val="continue"/>
            <w:vAlign w:val="center"/>
          </w:tcPr>
          <w:p>
            <w:pPr>
              <w:widowControl/>
              <w:spacing w:line="0" w:lineRule="atLeast"/>
              <w:ind w:firstLine="420"/>
              <w:jc w:val="center"/>
              <w:rPr>
                <w:rFonts w:eastAsia="仿宋_GB2312"/>
                <w:snapToGrid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pct"/>
            <w:vMerge w:val="restart"/>
            <w:vAlign w:val="center"/>
          </w:tcPr>
          <w:p>
            <w:pPr>
              <w:widowControl/>
              <w:spacing w:line="0" w:lineRule="atLeast"/>
              <w:ind w:firstLine="0" w:firstLineChars="0"/>
              <w:jc w:val="center"/>
              <w:rPr>
                <w:rFonts w:eastAsia="仿宋_GB2312"/>
                <w:snapToGrid w:val="0"/>
                <w:sz w:val="21"/>
                <w:szCs w:val="21"/>
              </w:rPr>
            </w:pPr>
            <w:r>
              <w:rPr>
                <w:rFonts w:hint="eastAsia" w:eastAsia="仿宋_GB2312"/>
                <w:snapToGrid w:val="0"/>
                <w:sz w:val="21"/>
                <w:szCs w:val="21"/>
              </w:rPr>
              <w:t>冲洪积平原区</w:t>
            </w:r>
          </w:p>
        </w:tc>
        <w:tc>
          <w:tcPr>
            <w:tcW w:w="720" w:type="pct"/>
            <w:vMerge w:val="restart"/>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轻度风蚀</w:t>
            </w:r>
            <w:r>
              <w:rPr>
                <w:rFonts w:hint="eastAsia" w:eastAsia="仿宋_GB2312"/>
                <w:snapToGrid w:val="0"/>
                <w:sz w:val="21"/>
                <w:szCs w:val="21"/>
              </w:rPr>
              <w:t>、微度水蚀</w:t>
            </w:r>
          </w:p>
        </w:tc>
        <w:tc>
          <w:tcPr>
            <w:tcW w:w="1300" w:type="pct"/>
            <w:vAlign w:val="center"/>
          </w:tcPr>
          <w:p>
            <w:pPr>
              <w:widowControl/>
              <w:spacing w:line="0" w:lineRule="atLeast"/>
              <w:ind w:firstLine="0" w:firstLineChars="0"/>
              <w:jc w:val="center"/>
              <w:rPr>
                <w:rFonts w:eastAsia="仿宋_GB2312"/>
                <w:snapToGrid w:val="0"/>
                <w:sz w:val="21"/>
                <w:szCs w:val="21"/>
              </w:rPr>
            </w:pPr>
            <w:r>
              <w:rPr>
                <w:rFonts w:hint="eastAsia" w:eastAsia="仿宋_GB2312"/>
                <w:snapToGrid w:val="0"/>
                <w:sz w:val="21"/>
                <w:szCs w:val="21"/>
              </w:rPr>
              <w:t>管道工程区</w:t>
            </w:r>
          </w:p>
        </w:tc>
        <w:tc>
          <w:tcPr>
            <w:tcW w:w="920" w:type="pct"/>
            <w:vAlign w:val="center"/>
          </w:tcPr>
          <w:p>
            <w:pPr>
              <w:widowControl/>
              <w:spacing w:line="0" w:lineRule="atLeast"/>
              <w:ind w:firstLine="0" w:firstLineChars="0"/>
              <w:jc w:val="center"/>
              <w:rPr>
                <w:rFonts w:eastAsia="仿宋_GB2312"/>
                <w:snapToGrid w:val="0"/>
                <w:sz w:val="21"/>
                <w:szCs w:val="21"/>
              </w:rPr>
            </w:pPr>
            <w:r>
              <w:rPr>
                <w:rFonts w:hint="eastAsia" w:eastAsia="仿宋_GB2312"/>
                <w:snapToGrid w:val="0"/>
                <w:sz w:val="21"/>
                <w:szCs w:val="21"/>
              </w:rPr>
              <w:t>2.71</w:t>
            </w:r>
          </w:p>
        </w:tc>
        <w:tc>
          <w:tcPr>
            <w:tcW w:w="767" w:type="pct"/>
            <w:vAlign w:val="center"/>
          </w:tcPr>
          <w:p>
            <w:pPr>
              <w:pStyle w:val="73"/>
              <w:widowControl w:val="0"/>
              <w:topLinePunct/>
              <w:adjustRightInd w:val="0"/>
              <w:snapToGrid w:val="0"/>
              <w:spacing w:line="240" w:lineRule="auto"/>
              <w:jc w:val="center"/>
              <w:textAlignment w:val="center"/>
              <w:rPr>
                <w:color w:val="auto"/>
              </w:rPr>
            </w:pPr>
            <w:r>
              <w:rPr>
                <w:rFonts w:hint="eastAsia"/>
                <w:color w:val="auto"/>
              </w:rPr>
              <w:t>管道作业带范围</w:t>
            </w:r>
          </w:p>
        </w:tc>
        <w:tc>
          <w:tcPr>
            <w:tcW w:w="647" w:type="pct"/>
            <w:vMerge w:val="restart"/>
            <w:vAlign w:val="center"/>
          </w:tcPr>
          <w:p>
            <w:pPr>
              <w:widowControl/>
              <w:spacing w:line="0" w:lineRule="atLeast"/>
              <w:ind w:firstLine="0" w:firstLineChars="0"/>
              <w:jc w:val="center"/>
              <w:rPr>
                <w:rFonts w:eastAsia="仿宋_GB2312"/>
                <w:snapToGrid w:val="0"/>
                <w:sz w:val="21"/>
                <w:szCs w:val="21"/>
              </w:rPr>
            </w:pPr>
            <w:r>
              <w:rPr>
                <w:rFonts w:hint="eastAsia" w:eastAsia="仿宋_GB2312"/>
                <w:snapToGrid w:val="0"/>
                <w:sz w:val="21"/>
                <w:szCs w:val="21"/>
              </w:rPr>
              <w:t>第十四师224团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pct"/>
            <w:vMerge w:val="continue"/>
            <w:vAlign w:val="center"/>
          </w:tcPr>
          <w:p>
            <w:pPr>
              <w:widowControl/>
              <w:spacing w:line="0" w:lineRule="atLeast"/>
              <w:ind w:firstLine="0" w:firstLineChars="0"/>
              <w:jc w:val="center"/>
              <w:rPr>
                <w:rFonts w:eastAsia="仿宋_GB2312"/>
                <w:snapToGrid w:val="0"/>
                <w:sz w:val="21"/>
                <w:szCs w:val="21"/>
              </w:rPr>
            </w:pPr>
          </w:p>
        </w:tc>
        <w:tc>
          <w:tcPr>
            <w:tcW w:w="720" w:type="pct"/>
            <w:vMerge w:val="continue"/>
            <w:vAlign w:val="center"/>
          </w:tcPr>
          <w:p>
            <w:pPr>
              <w:widowControl/>
              <w:spacing w:line="0" w:lineRule="atLeast"/>
              <w:ind w:firstLine="0" w:firstLineChars="0"/>
              <w:jc w:val="center"/>
              <w:rPr>
                <w:rFonts w:eastAsia="仿宋_GB2312"/>
                <w:snapToGrid w:val="0"/>
                <w:sz w:val="21"/>
                <w:szCs w:val="21"/>
              </w:rPr>
            </w:pPr>
          </w:p>
        </w:tc>
        <w:tc>
          <w:tcPr>
            <w:tcW w:w="1300" w:type="pct"/>
            <w:vAlign w:val="center"/>
          </w:tcPr>
          <w:p>
            <w:pPr>
              <w:widowControl/>
              <w:spacing w:line="0" w:lineRule="atLeast"/>
              <w:ind w:firstLine="0" w:firstLineChars="0"/>
              <w:jc w:val="center"/>
              <w:rPr>
                <w:rFonts w:eastAsia="仿宋_GB2312"/>
                <w:snapToGrid w:val="0"/>
                <w:sz w:val="21"/>
                <w:szCs w:val="21"/>
              </w:rPr>
            </w:pPr>
            <w:r>
              <w:rPr>
                <w:rFonts w:hint="eastAsia" w:eastAsia="仿宋_GB2312"/>
                <w:snapToGrid w:val="0"/>
                <w:sz w:val="21"/>
                <w:szCs w:val="21"/>
              </w:rPr>
              <w:t>附属构筑物区</w:t>
            </w:r>
          </w:p>
        </w:tc>
        <w:tc>
          <w:tcPr>
            <w:tcW w:w="920" w:type="pct"/>
            <w:vAlign w:val="center"/>
          </w:tcPr>
          <w:p>
            <w:pPr>
              <w:widowControl/>
              <w:spacing w:line="0" w:lineRule="atLeast"/>
              <w:ind w:firstLine="0" w:firstLineChars="0"/>
              <w:jc w:val="center"/>
              <w:rPr>
                <w:rFonts w:eastAsia="仿宋_GB2312"/>
                <w:snapToGrid w:val="0"/>
                <w:sz w:val="21"/>
                <w:szCs w:val="21"/>
              </w:rPr>
            </w:pPr>
            <w:r>
              <w:rPr>
                <w:rFonts w:hint="eastAsia" w:eastAsia="仿宋_GB2312"/>
                <w:snapToGrid w:val="0"/>
                <w:sz w:val="21"/>
                <w:szCs w:val="21"/>
              </w:rPr>
              <w:t>0.17</w:t>
            </w:r>
          </w:p>
        </w:tc>
        <w:tc>
          <w:tcPr>
            <w:tcW w:w="767" w:type="pct"/>
            <w:vAlign w:val="center"/>
          </w:tcPr>
          <w:p>
            <w:pPr>
              <w:pStyle w:val="73"/>
              <w:widowControl w:val="0"/>
              <w:topLinePunct/>
              <w:adjustRightInd w:val="0"/>
              <w:snapToGrid w:val="0"/>
              <w:spacing w:line="240" w:lineRule="auto"/>
              <w:jc w:val="center"/>
              <w:textAlignment w:val="center"/>
              <w:rPr>
                <w:color w:val="auto"/>
              </w:rPr>
            </w:pPr>
            <w:r>
              <w:rPr>
                <w:rFonts w:hint="eastAsia"/>
                <w:color w:val="auto"/>
              </w:rPr>
              <w:t>实际占地</w:t>
            </w:r>
          </w:p>
        </w:tc>
        <w:tc>
          <w:tcPr>
            <w:tcW w:w="647" w:type="pct"/>
            <w:vMerge w:val="continue"/>
            <w:vAlign w:val="center"/>
          </w:tcPr>
          <w:p>
            <w:pPr>
              <w:widowControl/>
              <w:spacing w:line="0" w:lineRule="atLeast"/>
              <w:ind w:firstLine="420"/>
              <w:jc w:val="center"/>
              <w:rPr>
                <w:rFonts w:eastAsia="仿宋_GB2312"/>
                <w:snapToGrid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pct"/>
            <w:vMerge w:val="continue"/>
            <w:vAlign w:val="center"/>
          </w:tcPr>
          <w:p>
            <w:pPr>
              <w:widowControl/>
              <w:spacing w:line="0" w:lineRule="atLeast"/>
              <w:ind w:firstLine="420"/>
              <w:jc w:val="center"/>
              <w:rPr>
                <w:rFonts w:eastAsia="仿宋_GB2312"/>
                <w:snapToGrid w:val="0"/>
                <w:sz w:val="21"/>
                <w:szCs w:val="21"/>
              </w:rPr>
            </w:pPr>
          </w:p>
        </w:tc>
        <w:tc>
          <w:tcPr>
            <w:tcW w:w="720" w:type="pct"/>
            <w:vMerge w:val="continue"/>
            <w:vAlign w:val="center"/>
          </w:tcPr>
          <w:p>
            <w:pPr>
              <w:widowControl/>
              <w:spacing w:line="0" w:lineRule="atLeast"/>
              <w:ind w:firstLine="420"/>
              <w:jc w:val="center"/>
              <w:rPr>
                <w:rFonts w:eastAsia="仿宋_GB2312"/>
                <w:snapToGrid w:val="0"/>
                <w:sz w:val="21"/>
                <w:szCs w:val="21"/>
              </w:rPr>
            </w:pPr>
          </w:p>
        </w:tc>
        <w:tc>
          <w:tcPr>
            <w:tcW w:w="1300" w:type="pct"/>
            <w:vAlign w:val="center"/>
          </w:tcPr>
          <w:p>
            <w:pPr>
              <w:autoSpaceDE w:val="0"/>
              <w:autoSpaceDN w:val="0"/>
              <w:spacing w:line="0" w:lineRule="atLeast"/>
              <w:ind w:right="-20" w:firstLine="0" w:firstLineChars="0"/>
              <w:jc w:val="center"/>
              <w:rPr>
                <w:rFonts w:eastAsia="仿宋_GB2312"/>
                <w:snapToGrid w:val="0"/>
                <w:sz w:val="21"/>
                <w:szCs w:val="21"/>
              </w:rPr>
            </w:pPr>
            <w:r>
              <w:rPr>
                <w:rFonts w:eastAsia="仿宋_GB2312"/>
                <w:snapToGrid w:val="0"/>
                <w:sz w:val="21"/>
                <w:szCs w:val="21"/>
              </w:rPr>
              <w:t>合计</w:t>
            </w:r>
          </w:p>
        </w:tc>
        <w:tc>
          <w:tcPr>
            <w:tcW w:w="920" w:type="pct"/>
            <w:vAlign w:val="center"/>
          </w:tcPr>
          <w:p>
            <w:pPr>
              <w:widowControl/>
              <w:spacing w:line="0" w:lineRule="atLeast"/>
              <w:ind w:firstLine="0" w:firstLineChars="0"/>
              <w:jc w:val="center"/>
              <w:rPr>
                <w:rFonts w:eastAsia="仿宋_GB2312"/>
                <w:snapToGrid w:val="0"/>
                <w:sz w:val="21"/>
                <w:szCs w:val="21"/>
              </w:rPr>
            </w:pPr>
            <w:r>
              <w:rPr>
                <w:rFonts w:hint="eastAsia" w:eastAsia="仿宋_GB2312"/>
                <w:snapToGrid w:val="0"/>
                <w:sz w:val="21"/>
                <w:szCs w:val="21"/>
              </w:rPr>
              <w:t>2.88</w:t>
            </w:r>
          </w:p>
        </w:tc>
        <w:tc>
          <w:tcPr>
            <w:tcW w:w="767" w:type="pct"/>
            <w:vAlign w:val="center"/>
          </w:tcPr>
          <w:p>
            <w:pPr>
              <w:spacing w:line="240" w:lineRule="auto"/>
              <w:ind w:firstLine="0" w:firstLineChars="0"/>
              <w:jc w:val="center"/>
              <w:rPr>
                <w:rFonts w:eastAsia="仿宋_GB2312"/>
                <w:sz w:val="21"/>
                <w:szCs w:val="21"/>
              </w:rPr>
            </w:pPr>
          </w:p>
        </w:tc>
        <w:tc>
          <w:tcPr>
            <w:tcW w:w="647" w:type="pct"/>
            <w:vAlign w:val="center"/>
          </w:tcPr>
          <w:p>
            <w:pPr>
              <w:spacing w:line="240" w:lineRule="auto"/>
              <w:ind w:firstLine="0" w:firstLineChars="0"/>
              <w:jc w:val="center"/>
              <w:rPr>
                <w:rFonts w:eastAsia="仿宋_GB2312"/>
                <w:sz w:val="21"/>
                <w:szCs w:val="21"/>
              </w:rPr>
            </w:pPr>
          </w:p>
        </w:tc>
      </w:tr>
    </w:tbl>
    <w:p>
      <w:pPr>
        <w:spacing w:line="240" w:lineRule="auto"/>
        <w:ind w:firstLine="480"/>
        <w:jc w:val="center"/>
        <w:rPr>
          <w:rFonts w:eastAsia="仿宋_GB2312"/>
          <w:b/>
          <w:bCs/>
        </w:rPr>
      </w:pPr>
    </w:p>
    <w:bookmarkEnd w:id="262"/>
    <w:bookmarkEnd w:id="263"/>
    <w:bookmarkEnd w:id="264"/>
    <w:p>
      <w:pPr>
        <w:pStyle w:val="3"/>
        <w:widowControl/>
        <w:numPr>
          <w:ilvl w:val="1"/>
          <w:numId w:val="1"/>
        </w:numPr>
        <w:tabs>
          <w:tab w:val="clear" w:pos="1002"/>
        </w:tabs>
        <w:topLinePunct w:val="0"/>
        <w:adjustRightInd/>
        <w:snapToGrid/>
        <w:spacing w:beforeLines="100"/>
        <w:ind w:left="0" w:firstLine="0"/>
        <w:jc w:val="both"/>
        <w:rPr>
          <w:rFonts w:eastAsia="仿宋_GB2312"/>
        </w:rPr>
      </w:pPr>
      <w:bookmarkStart w:id="274" w:name="_Toc50221517"/>
      <w:bookmarkStart w:id="275" w:name="_Toc7801407"/>
      <w:bookmarkStart w:id="276" w:name="_Toc7801567"/>
      <w:bookmarkStart w:id="277" w:name="_Toc7801474"/>
      <w:r>
        <w:rPr>
          <w:rFonts w:eastAsia="仿宋_GB2312"/>
        </w:rPr>
        <w:t>措施总体布局</w:t>
      </w:r>
      <w:bookmarkEnd w:id="274"/>
      <w:bookmarkEnd w:id="275"/>
      <w:bookmarkEnd w:id="276"/>
      <w:bookmarkEnd w:id="277"/>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防治措施布设原则</w:t>
      </w:r>
    </w:p>
    <w:p>
      <w:pPr>
        <w:ind w:firstLine="480"/>
        <w:rPr>
          <w:rFonts w:eastAsia="仿宋_GB2312"/>
        </w:rPr>
      </w:pPr>
      <w:r>
        <w:rPr>
          <w:rFonts w:eastAsia="仿宋_GB2312"/>
        </w:rPr>
        <w:t>水土流失防治措施布设一般应遵循以下原则：</w:t>
      </w:r>
    </w:p>
    <w:p>
      <w:pPr>
        <w:ind w:firstLine="480"/>
        <w:rPr>
          <w:rFonts w:eastAsia="仿宋_GB2312"/>
        </w:rPr>
      </w:pPr>
      <w:r>
        <w:rPr>
          <w:rFonts w:eastAsia="仿宋_GB2312"/>
        </w:rPr>
        <w:t>1、结合工程实际和项目区水土流失现状，因地制宜、因害设防、防治结合、全面布局、科学配置，工程措施、植物措施、临时措施统筹兼顾，形成综合防治体系。</w:t>
      </w:r>
    </w:p>
    <w:p>
      <w:pPr>
        <w:ind w:firstLine="480"/>
        <w:rPr>
          <w:rFonts w:eastAsia="仿宋_GB2312"/>
        </w:rPr>
      </w:pPr>
      <w:r>
        <w:rPr>
          <w:rFonts w:eastAsia="仿宋_GB2312"/>
        </w:rPr>
        <w:t>2、减少对原地表和植被的破坏，合理调配土石方，减少弃土弃渣量。</w:t>
      </w:r>
    </w:p>
    <w:p>
      <w:pPr>
        <w:ind w:firstLine="480"/>
        <w:rPr>
          <w:rFonts w:eastAsia="仿宋_GB2312"/>
        </w:rPr>
      </w:pPr>
      <w:r>
        <w:rPr>
          <w:rFonts w:eastAsia="仿宋_GB2312"/>
        </w:rPr>
        <w:t>3、工程措施要“预防为主、防治结合、先拦后弃”，并尽量选用当地材料，做到技术上可靠、经济上合理。</w:t>
      </w:r>
    </w:p>
    <w:p>
      <w:pPr>
        <w:ind w:firstLine="480"/>
        <w:rPr>
          <w:rFonts w:eastAsia="仿宋_GB2312"/>
        </w:rPr>
      </w:pPr>
      <w:r>
        <w:rPr>
          <w:rFonts w:eastAsia="仿宋_GB2312"/>
        </w:rPr>
        <w:t>4、永久防护和临时防护相结合的原则，临时性防护措施，应考虑分区施工条件，合理布置拦挡、遮盖措施，减少施工过程中造成的人为扰动及产生的废弃土（石、渣）。</w:t>
      </w:r>
    </w:p>
    <w:p>
      <w:pPr>
        <w:ind w:firstLine="480"/>
        <w:rPr>
          <w:rFonts w:eastAsia="仿宋_GB2312"/>
        </w:rPr>
      </w:pPr>
      <w:r>
        <w:rPr>
          <w:rFonts w:eastAsia="仿宋_GB2312"/>
        </w:rPr>
        <w:t>5、防治措施布设要与主体工程密切配合、相互协调，形成整体。</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植物措施可行性分析</w:t>
      </w:r>
    </w:p>
    <w:p>
      <w:pPr>
        <w:ind w:firstLine="480"/>
        <w:rPr>
          <w:rFonts w:eastAsia="仿宋_GB2312"/>
        </w:rPr>
      </w:pPr>
      <w:r>
        <w:rPr>
          <w:rFonts w:eastAsia="仿宋_GB2312"/>
        </w:rPr>
        <w:t>植物措施立地条件是气候、地形、土壤和植被等环境因子组成的综合体，通过现场调查，项目建设区地貌单元为冲</w:t>
      </w:r>
      <w:r>
        <w:rPr>
          <w:rFonts w:hint="eastAsia" w:eastAsia="仿宋_GB2312"/>
        </w:rPr>
        <w:t>洪</w:t>
      </w:r>
      <w:r>
        <w:rPr>
          <w:rFonts w:eastAsia="仿宋_GB2312"/>
        </w:rPr>
        <w:t>积平原区，地势</w:t>
      </w:r>
      <w:r>
        <w:rPr>
          <w:rFonts w:hint="eastAsia" w:eastAsia="仿宋_GB2312"/>
        </w:rPr>
        <w:t>南高北低</w:t>
      </w:r>
      <w:r>
        <w:rPr>
          <w:rFonts w:eastAsia="仿宋_GB2312"/>
        </w:rPr>
        <w:t>，</w:t>
      </w:r>
      <w:r>
        <w:rPr>
          <w:rFonts w:hint="eastAsia" w:eastAsia="仿宋_GB2312"/>
        </w:rPr>
        <w:t>区域地形起伏较小</w:t>
      </w:r>
      <w:r>
        <w:rPr>
          <w:rFonts w:eastAsia="仿宋_GB2312"/>
        </w:rPr>
        <w:t>。气候类型属</w:t>
      </w:r>
      <w:r>
        <w:rPr>
          <w:rFonts w:hint="eastAsia" w:eastAsia="仿宋_GB2312"/>
        </w:rPr>
        <w:t>极度干旱的暖温带大陆气候，降水稀少、蒸发强烈、干燥多风、光热资源充足是本流域最主要的气候特征</w:t>
      </w:r>
      <w:r>
        <w:rPr>
          <w:rFonts w:eastAsia="仿宋_GB2312"/>
        </w:rPr>
        <w:t>。多年平均气温</w:t>
      </w:r>
      <w:r>
        <w:rPr>
          <w:rFonts w:hint="eastAsia" w:eastAsia="仿宋_GB2312"/>
        </w:rPr>
        <w:t>12.2℃</w:t>
      </w:r>
      <w:r>
        <w:rPr>
          <w:rFonts w:eastAsia="仿宋_GB2312"/>
        </w:rPr>
        <w:t>，最高气温</w:t>
      </w:r>
      <w:r>
        <w:rPr>
          <w:rFonts w:hint="eastAsia" w:eastAsia="仿宋_GB2312"/>
        </w:rPr>
        <w:t>40.6℃</w:t>
      </w:r>
      <w:r>
        <w:rPr>
          <w:rFonts w:eastAsia="仿宋_GB2312"/>
        </w:rPr>
        <w:t>，最低气温-</w:t>
      </w:r>
      <w:r>
        <w:rPr>
          <w:rFonts w:hint="eastAsia" w:eastAsia="仿宋_GB2312"/>
        </w:rPr>
        <w:t>21.6℃，</w:t>
      </w:r>
      <w:r>
        <w:rPr>
          <w:rFonts w:eastAsia="仿宋_GB2312"/>
        </w:rPr>
        <w:t>多年平均降水量</w:t>
      </w:r>
      <w:r>
        <w:rPr>
          <w:rFonts w:hint="eastAsia" w:eastAsia="仿宋_GB2312"/>
        </w:rPr>
        <w:t>33.4</w:t>
      </w:r>
      <w:r>
        <w:rPr>
          <w:rFonts w:eastAsia="仿宋_GB2312"/>
        </w:rPr>
        <w:t>mm，多年平均蒸发量</w:t>
      </w:r>
      <w:r>
        <w:rPr>
          <w:rFonts w:hint="eastAsia" w:eastAsia="仿宋_GB2312"/>
        </w:rPr>
        <w:t>2602</w:t>
      </w:r>
      <w:r>
        <w:rPr>
          <w:rFonts w:eastAsia="仿宋_GB2312"/>
        </w:rPr>
        <w:t>mm</w:t>
      </w:r>
      <w:r>
        <w:rPr>
          <w:rFonts w:hint="eastAsia" w:eastAsia="仿宋_GB2312"/>
        </w:rPr>
        <w:t>，</w:t>
      </w:r>
      <w:r>
        <w:rPr>
          <w:rFonts w:eastAsia="仿宋_GB2312"/>
        </w:rPr>
        <w:t>年平均风速</w:t>
      </w:r>
      <w:r>
        <w:rPr>
          <w:rFonts w:hint="eastAsia" w:eastAsia="仿宋_GB2312"/>
        </w:rPr>
        <w:t>2.1</w:t>
      </w:r>
      <w:r>
        <w:rPr>
          <w:rFonts w:eastAsia="仿宋_GB2312"/>
        </w:rPr>
        <w:t>m/s。</w:t>
      </w:r>
      <w:r>
        <w:rPr>
          <w:rFonts w:hint="eastAsia" w:eastAsia="仿宋_GB2312"/>
        </w:rPr>
        <w:t>项目区土壤类型主要为</w:t>
      </w:r>
      <w:r>
        <w:rPr>
          <w:rFonts w:eastAsia="仿宋_GB2312"/>
        </w:rPr>
        <w:t>棕漠土</w:t>
      </w:r>
      <w:r>
        <w:rPr>
          <w:rFonts w:hint="eastAsia" w:eastAsia="仿宋_GB2312"/>
        </w:rPr>
        <w:t>。</w:t>
      </w:r>
    </w:p>
    <w:p>
      <w:pPr>
        <w:ind w:firstLine="480"/>
        <w:rPr>
          <w:rFonts w:eastAsia="仿宋_GB2312"/>
        </w:rPr>
      </w:pPr>
      <w:r>
        <w:rPr>
          <w:rFonts w:hint="eastAsia" w:eastAsia="仿宋_GB2312"/>
        </w:rPr>
        <w:t>由于本项目占用的是建设用地，施工作业区大部分为硬化道路，加之缺少灌溉水源，因此本项目不采取植物措施，但施工结束后需对施工区域进行土地平整。</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临时防护措施比选</w:t>
      </w:r>
    </w:p>
    <w:p>
      <w:pPr>
        <w:ind w:firstLine="480"/>
        <w:rPr>
          <w:rFonts w:eastAsia="仿宋_GB2312"/>
        </w:rPr>
      </w:pPr>
      <w:r>
        <w:rPr>
          <w:rFonts w:eastAsia="仿宋_GB2312"/>
          <w:lang w:val="zh-CN"/>
        </w:rPr>
        <w:t>根</w:t>
      </w:r>
      <w:r>
        <w:rPr>
          <w:rFonts w:eastAsia="仿宋_GB2312"/>
        </w:rPr>
        <w:t>据主体施工进度，工程建设区有主体基础开挖土的临时堆放，主体工程未对其采取任何防护措施，而在本项目区环境条件下，地表组成结构被改变后可能产生的主要是风力侵蚀和水力侵蚀，因此本方案针对堆土提出</w:t>
      </w:r>
      <w:r>
        <w:rPr>
          <w:rFonts w:hint="eastAsia" w:eastAsia="仿宋_GB2312"/>
        </w:rPr>
        <w:t>4</w:t>
      </w:r>
      <w:r>
        <w:rPr>
          <w:rFonts w:eastAsia="仿宋_GB2312"/>
        </w:rPr>
        <w:t>种防护措施供筛选比较。这</w:t>
      </w:r>
      <w:r>
        <w:rPr>
          <w:rFonts w:hint="eastAsia" w:eastAsia="仿宋_GB2312"/>
        </w:rPr>
        <w:t>4</w:t>
      </w:r>
      <w:r>
        <w:rPr>
          <w:rFonts w:eastAsia="仿宋_GB2312"/>
        </w:rPr>
        <w:t>种防护措施为洒水、编织袋装土防护、防尘网、固化剂。各防护措施比选内容见表5.2-</w:t>
      </w:r>
      <w:r>
        <w:rPr>
          <w:rFonts w:hint="eastAsia" w:eastAsia="仿宋_GB2312"/>
        </w:rPr>
        <w:t>1</w:t>
      </w:r>
      <w:r>
        <w:rPr>
          <w:rFonts w:eastAsia="仿宋_GB2312"/>
        </w:rPr>
        <w:t>。</w:t>
      </w:r>
    </w:p>
    <w:p>
      <w:pPr>
        <w:spacing w:line="240" w:lineRule="auto"/>
        <w:ind w:firstLine="480"/>
        <w:jc w:val="center"/>
        <w:rPr>
          <w:rFonts w:eastAsia="仿宋_GB2312"/>
          <w:b/>
          <w:kern w:val="44"/>
        </w:rPr>
      </w:pPr>
    </w:p>
    <w:p>
      <w:pPr>
        <w:spacing w:line="240" w:lineRule="auto"/>
        <w:ind w:firstLine="480"/>
        <w:jc w:val="center"/>
        <w:rPr>
          <w:rFonts w:eastAsia="仿宋_GB2312"/>
          <w:b/>
          <w:bCs/>
        </w:rPr>
      </w:pPr>
      <w:r>
        <w:rPr>
          <w:rFonts w:hint="eastAsia" w:eastAsia="仿宋_GB2312"/>
          <w:b/>
          <w:kern w:val="44"/>
        </w:rPr>
        <w:t xml:space="preserve">5.2-1    </w:t>
      </w:r>
      <w:r>
        <w:rPr>
          <w:rFonts w:eastAsia="仿宋_GB2312"/>
          <w:b/>
          <w:kern w:val="44"/>
        </w:rPr>
        <w:t>临时防护措施比较表</w:t>
      </w:r>
      <w:r>
        <w:rPr>
          <w:rFonts w:eastAsia="仿宋_GB2312"/>
          <w:b/>
          <w:bCs/>
        </w:rPr>
        <w:t>表</w:t>
      </w:r>
    </w:p>
    <w:tbl>
      <w:tblPr>
        <w:tblStyle w:val="4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35"/>
        <w:gridCol w:w="1441"/>
        <w:gridCol w:w="4158"/>
        <w:gridCol w:w="16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0" w:type="auto"/>
            <w:vMerge w:val="restart"/>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防护措施类型</w:t>
            </w:r>
          </w:p>
        </w:tc>
        <w:tc>
          <w:tcPr>
            <w:tcW w:w="0" w:type="auto"/>
            <w:gridSpan w:val="3"/>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比较内容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0" w:type="auto"/>
            <w:vMerge w:val="continue"/>
            <w:vAlign w:val="center"/>
          </w:tcPr>
          <w:p>
            <w:pPr>
              <w:widowControl/>
              <w:spacing w:line="0" w:lineRule="atLeast"/>
              <w:ind w:firstLine="0" w:firstLineChars="0"/>
              <w:jc w:val="center"/>
              <w:rPr>
                <w:rFonts w:eastAsia="仿宋_GB2312"/>
                <w:snapToGrid w:val="0"/>
                <w:sz w:val="21"/>
                <w:szCs w:val="21"/>
              </w:rPr>
            </w:pP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措施效果</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施工条件</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投资（元/防护1m²弃渣面）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widowControl/>
              <w:spacing w:line="0" w:lineRule="atLeast"/>
              <w:ind w:firstLine="0" w:firstLineChars="0"/>
              <w:jc w:val="center"/>
              <w:rPr>
                <w:rFonts w:eastAsia="仿宋_GB2312"/>
                <w:snapToGrid w:val="0"/>
                <w:sz w:val="21"/>
                <w:szCs w:val="21"/>
              </w:rPr>
            </w:pPr>
            <w:r>
              <w:rPr>
                <w:rFonts w:hint="eastAsia" w:eastAsia="仿宋_GB2312"/>
                <w:snapToGrid w:val="0"/>
                <w:sz w:val="21"/>
                <w:szCs w:val="21"/>
              </w:rPr>
              <w:t>1</w:t>
            </w:r>
            <w:r>
              <w:rPr>
                <w:rFonts w:eastAsia="仿宋_GB2312"/>
                <w:snapToGrid w:val="0"/>
                <w:sz w:val="21"/>
                <w:szCs w:val="21"/>
              </w:rPr>
              <w:t>、洒水</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见效一般、相对不稳定</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弃渣洒水后宜结皮，有洒水车通行条件，需重复实施。</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31.29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widowControl/>
              <w:spacing w:line="0" w:lineRule="atLeast"/>
              <w:ind w:firstLine="0" w:firstLineChars="0"/>
              <w:jc w:val="center"/>
              <w:rPr>
                <w:rFonts w:eastAsia="仿宋_GB2312"/>
                <w:snapToGrid w:val="0"/>
                <w:sz w:val="21"/>
                <w:szCs w:val="21"/>
              </w:rPr>
            </w:pPr>
            <w:r>
              <w:rPr>
                <w:rFonts w:hint="eastAsia" w:eastAsia="仿宋_GB2312"/>
                <w:snapToGrid w:val="0"/>
                <w:sz w:val="21"/>
                <w:szCs w:val="21"/>
              </w:rPr>
              <w:t>2</w:t>
            </w:r>
            <w:r>
              <w:rPr>
                <w:rFonts w:eastAsia="仿宋_GB2312"/>
                <w:snapToGrid w:val="0"/>
                <w:sz w:val="21"/>
                <w:szCs w:val="21"/>
              </w:rPr>
              <w:t>、编织袋装土防护</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见效快、相对稳定</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具有拦挡功能，需要足够的人工，施工相对复杂。</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12.12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widowControl/>
              <w:spacing w:line="0" w:lineRule="atLeast"/>
              <w:ind w:firstLine="0" w:firstLineChars="0"/>
              <w:jc w:val="center"/>
              <w:rPr>
                <w:rFonts w:eastAsia="仿宋_GB2312"/>
                <w:snapToGrid w:val="0"/>
                <w:sz w:val="21"/>
                <w:szCs w:val="21"/>
              </w:rPr>
            </w:pPr>
            <w:r>
              <w:rPr>
                <w:rFonts w:hint="eastAsia" w:eastAsia="仿宋_GB2312"/>
                <w:snapToGrid w:val="0"/>
                <w:sz w:val="21"/>
                <w:szCs w:val="21"/>
              </w:rPr>
              <w:t>3</w:t>
            </w:r>
            <w:r>
              <w:rPr>
                <w:rFonts w:eastAsia="仿宋_GB2312"/>
                <w:snapToGrid w:val="0"/>
                <w:sz w:val="21"/>
                <w:szCs w:val="21"/>
              </w:rPr>
              <w:t>、防尘网</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见效快、稳定</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施工相对简单，完工后需要回收再利用。本工程项目区大风频发，易将防尘网刮离。</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32.8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widowControl/>
              <w:spacing w:line="0" w:lineRule="atLeast"/>
              <w:ind w:firstLine="0" w:firstLineChars="0"/>
              <w:jc w:val="center"/>
              <w:rPr>
                <w:rFonts w:eastAsia="仿宋_GB2312"/>
                <w:snapToGrid w:val="0"/>
                <w:sz w:val="21"/>
                <w:szCs w:val="21"/>
              </w:rPr>
            </w:pPr>
            <w:r>
              <w:rPr>
                <w:rFonts w:hint="eastAsia" w:eastAsia="仿宋_GB2312"/>
                <w:snapToGrid w:val="0"/>
                <w:sz w:val="21"/>
                <w:szCs w:val="21"/>
              </w:rPr>
              <w:t>4</w:t>
            </w:r>
            <w:r>
              <w:rPr>
                <w:rFonts w:eastAsia="仿宋_GB2312"/>
                <w:snapToGrid w:val="0"/>
                <w:sz w:val="21"/>
                <w:szCs w:val="21"/>
              </w:rPr>
              <w:t>、固化剂</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见效快、很稳定</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需要水源保证和洒水车通行条件，本项目区易冻结，不能发挥防护效果。</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51.1</w:t>
            </w:r>
          </w:p>
        </w:tc>
      </w:tr>
    </w:tbl>
    <w:p>
      <w:pPr>
        <w:pStyle w:val="13"/>
        <w:spacing w:beforeLines="100"/>
        <w:ind w:firstLine="480"/>
        <w:rPr>
          <w:rFonts w:eastAsia="仿宋_GB2312"/>
        </w:rPr>
      </w:pPr>
      <w:r>
        <w:rPr>
          <w:rFonts w:eastAsia="仿宋_GB2312"/>
        </w:rPr>
        <w:t>洒水措施可以快速抑制扬尘，并使项目区临时堆渣表面逐渐形成“人工结皮”，对抑制风蚀有一定作用，但维持时间不长，需重复实施，若表层被破坏，还需再次实施洒水措施，如果水源距离较远，运费较贵。</w:t>
      </w:r>
    </w:p>
    <w:p>
      <w:pPr>
        <w:pStyle w:val="13"/>
        <w:ind w:firstLine="480"/>
        <w:rPr>
          <w:rFonts w:eastAsia="仿宋_GB2312"/>
        </w:rPr>
      </w:pPr>
      <w:r>
        <w:rPr>
          <w:rFonts w:eastAsia="仿宋_GB2312"/>
        </w:rPr>
        <w:t>编织袋装土防护可以抑制风蚀，也可做临时导流，对水分和有机质可以起到一定的保护作用，适合点状工程防护，但对于线性工程而言施工难度大，可操作性不强。</w:t>
      </w:r>
    </w:p>
    <w:p>
      <w:pPr>
        <w:pStyle w:val="13"/>
        <w:ind w:firstLine="480"/>
        <w:rPr>
          <w:rFonts w:eastAsia="仿宋_GB2312"/>
        </w:rPr>
      </w:pPr>
      <w:r>
        <w:rPr>
          <w:rFonts w:eastAsia="仿宋_GB2312"/>
        </w:rPr>
        <w:t>防尘网措施在工程中使用较为广泛，防护效果好，施工相对简单，且可回收再利用，不适宜大面积的临时防护，单价高，防护费用大。</w:t>
      </w:r>
    </w:p>
    <w:p>
      <w:pPr>
        <w:ind w:firstLine="480"/>
        <w:rPr>
          <w:rFonts w:eastAsia="仿宋_GB2312"/>
        </w:rPr>
      </w:pPr>
      <w:r>
        <w:rPr>
          <w:rFonts w:eastAsia="仿宋_GB2312"/>
        </w:rPr>
        <w:t>固化剂措施在堆渣防护效果上最有效，能在堆渣表面形成一稳定层，对减轻风蚀和水蚀都有很好的作用，但价格偏高，且在本工程的气象条件下易冻结，防护效果无法发挥。</w:t>
      </w:r>
    </w:p>
    <w:p>
      <w:pPr>
        <w:ind w:firstLine="480"/>
        <w:rPr>
          <w:rFonts w:eastAsia="仿宋_GB2312"/>
        </w:rPr>
      </w:pPr>
      <w:r>
        <w:rPr>
          <w:rFonts w:eastAsia="仿宋_GB2312"/>
        </w:rPr>
        <w:t>根据本项目的实际情况和以上</w:t>
      </w:r>
      <w:r>
        <w:rPr>
          <w:rFonts w:hint="eastAsia" w:eastAsia="仿宋_GB2312"/>
        </w:rPr>
        <w:t>4</w:t>
      </w:r>
      <w:r>
        <w:rPr>
          <w:rFonts w:eastAsia="仿宋_GB2312"/>
        </w:rPr>
        <w:t>种措施的比较，本方案确定：对于本工程项目区临时</w:t>
      </w:r>
      <w:r>
        <w:rPr>
          <w:rFonts w:hint="eastAsia" w:eastAsia="仿宋_GB2312"/>
        </w:rPr>
        <w:t>堆土</w:t>
      </w:r>
      <w:r>
        <w:rPr>
          <w:rFonts w:eastAsia="仿宋_GB2312"/>
        </w:rPr>
        <w:t>的临时防护措施可采取防尘网苫盖</w:t>
      </w:r>
      <w:r>
        <w:rPr>
          <w:rFonts w:hint="eastAsia" w:eastAsia="仿宋_GB2312"/>
        </w:rPr>
        <w:t>措施</w:t>
      </w:r>
      <w:r>
        <w:rPr>
          <w:rFonts w:eastAsia="仿宋_GB2312"/>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防治措施布设设计</w:t>
      </w:r>
    </w:p>
    <w:p>
      <w:pPr>
        <w:autoSpaceDE w:val="0"/>
        <w:autoSpaceDN w:val="0"/>
        <w:ind w:firstLine="480"/>
        <w:rPr>
          <w:rFonts w:eastAsia="仿宋_GB2312"/>
        </w:rPr>
      </w:pPr>
      <w:r>
        <w:rPr>
          <w:rFonts w:eastAsia="仿宋_GB2312"/>
        </w:rPr>
        <w:t>根据项目建设区建设内容、施工现状、区域规划和自然条件等，对本项目各建设区水土流失防治措施分述如下：</w:t>
      </w:r>
    </w:p>
    <w:p>
      <w:pPr>
        <w:autoSpaceDE w:val="0"/>
        <w:autoSpaceDN w:val="0"/>
        <w:ind w:firstLine="480"/>
        <w:rPr>
          <w:rFonts w:eastAsia="仿宋_GB2312"/>
        </w:rPr>
      </w:pPr>
      <w:r>
        <w:rPr>
          <w:rFonts w:hint="eastAsia" w:eastAsia="仿宋_GB2312"/>
        </w:rPr>
        <w:t>1、管道工程区</w:t>
      </w:r>
    </w:p>
    <w:p>
      <w:pPr>
        <w:ind w:firstLine="480"/>
        <w:rPr>
          <w:rFonts w:eastAsia="仿宋_GB2312"/>
        </w:rPr>
      </w:pPr>
      <w:r>
        <w:rPr>
          <w:rFonts w:eastAsia="仿宋_GB2312"/>
        </w:rPr>
        <w:t>主体设计</w:t>
      </w:r>
      <w:r>
        <w:rPr>
          <w:rFonts w:hint="eastAsia" w:eastAsia="仿宋_GB2312"/>
        </w:rPr>
        <w:t>施工</w:t>
      </w:r>
      <w:r>
        <w:rPr>
          <w:rFonts w:eastAsia="仿宋_GB2312"/>
        </w:rPr>
        <w:t>结束之后对施工场地进行</w:t>
      </w:r>
      <w:r>
        <w:rPr>
          <w:rFonts w:hint="eastAsia" w:eastAsia="仿宋_GB2312"/>
        </w:rPr>
        <w:t>土地</w:t>
      </w:r>
      <w:r>
        <w:rPr>
          <w:rFonts w:eastAsia="仿宋_GB2312"/>
        </w:rPr>
        <w:t>平整。</w:t>
      </w:r>
      <w:r>
        <w:rPr>
          <w:rFonts w:hint="eastAsia" w:eastAsia="仿宋_GB2312"/>
        </w:rPr>
        <w:t>方案补充施工期间</w:t>
      </w:r>
      <w:r>
        <w:rPr>
          <w:rFonts w:eastAsia="仿宋_GB2312"/>
        </w:rPr>
        <w:t>在施工</w:t>
      </w:r>
      <w:r>
        <w:rPr>
          <w:rFonts w:hint="eastAsia" w:eastAsia="仿宋_GB2312"/>
        </w:rPr>
        <w:t>作业带两侧</w:t>
      </w:r>
      <w:r>
        <w:rPr>
          <w:rFonts w:eastAsia="仿宋_GB2312"/>
        </w:rPr>
        <w:t>设置</w:t>
      </w:r>
      <w:r>
        <w:rPr>
          <w:rFonts w:hint="eastAsia" w:eastAsia="仿宋_GB2312"/>
        </w:rPr>
        <w:t>彩条旗限界措施；对基础开挖土方临时堆放在管沟一侧并实施</w:t>
      </w:r>
      <w:r>
        <w:rPr>
          <w:rFonts w:eastAsia="仿宋_GB2312"/>
        </w:rPr>
        <w:t>防尘网苫盖措施</w:t>
      </w:r>
      <w:r>
        <w:rPr>
          <w:rFonts w:hint="eastAsia" w:eastAsia="仿宋_GB2312"/>
        </w:rPr>
        <w:t>；</w:t>
      </w:r>
      <w:r>
        <w:rPr>
          <w:rFonts w:eastAsia="仿宋_GB2312"/>
        </w:rPr>
        <w:t>工程建设过程中</w:t>
      </w:r>
      <w:r>
        <w:rPr>
          <w:rFonts w:hint="eastAsia" w:eastAsia="仿宋_GB2312"/>
        </w:rPr>
        <w:t>定期对场地实施</w:t>
      </w:r>
      <w:r>
        <w:rPr>
          <w:rFonts w:eastAsia="仿宋_GB2312"/>
        </w:rPr>
        <w:t>洒水措施</w:t>
      </w:r>
      <w:r>
        <w:rPr>
          <w:rFonts w:hint="eastAsia" w:eastAsia="仿宋_GB2312"/>
        </w:rPr>
        <w:t>。</w:t>
      </w:r>
    </w:p>
    <w:p>
      <w:pPr>
        <w:tabs>
          <w:tab w:val="left" w:pos="840"/>
          <w:tab w:val="left" w:pos="1485"/>
        </w:tabs>
        <w:ind w:firstLine="480"/>
        <w:rPr>
          <w:rFonts w:eastAsia="仿宋_GB2312"/>
        </w:rPr>
      </w:pPr>
      <w:r>
        <w:rPr>
          <w:rFonts w:hint="eastAsia" w:eastAsia="仿宋_GB2312"/>
        </w:rPr>
        <w:t>2、附属构筑物区</w:t>
      </w:r>
    </w:p>
    <w:p>
      <w:pPr>
        <w:ind w:firstLine="480"/>
        <w:rPr>
          <w:rFonts w:eastAsia="仿宋_GB2312"/>
        </w:rPr>
      </w:pPr>
      <w:r>
        <w:rPr>
          <w:rFonts w:eastAsia="仿宋_GB2312"/>
        </w:rPr>
        <w:t>主体设计</w:t>
      </w:r>
      <w:r>
        <w:rPr>
          <w:rFonts w:hint="eastAsia" w:eastAsia="仿宋_GB2312"/>
        </w:rPr>
        <w:t>施工</w:t>
      </w:r>
      <w:r>
        <w:rPr>
          <w:rFonts w:eastAsia="仿宋_GB2312"/>
        </w:rPr>
        <w:t>结束之后对施工场地进行</w:t>
      </w:r>
      <w:r>
        <w:rPr>
          <w:rFonts w:hint="eastAsia" w:eastAsia="仿宋_GB2312"/>
        </w:rPr>
        <w:t>土地</w:t>
      </w:r>
      <w:r>
        <w:rPr>
          <w:rFonts w:eastAsia="仿宋_GB2312"/>
        </w:rPr>
        <w:t>平整。</w:t>
      </w:r>
      <w:r>
        <w:rPr>
          <w:rFonts w:hint="eastAsia" w:eastAsia="仿宋_GB2312"/>
        </w:rPr>
        <w:t>方案补充施工期间对基础开挖土方临时堆放在基础四周并实施</w:t>
      </w:r>
      <w:r>
        <w:rPr>
          <w:rFonts w:eastAsia="仿宋_GB2312"/>
        </w:rPr>
        <w:t>防尘网苫盖措施</w:t>
      </w:r>
      <w:r>
        <w:rPr>
          <w:rFonts w:hint="eastAsia" w:eastAsia="仿宋_GB2312"/>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水土流失防治措施体系</w:t>
      </w:r>
    </w:p>
    <w:p>
      <w:pPr>
        <w:ind w:firstLine="480"/>
        <w:rPr>
          <w:rFonts w:eastAsia="仿宋_GB2312"/>
        </w:rPr>
      </w:pPr>
      <w:r>
        <w:rPr>
          <w:rFonts w:eastAsia="仿宋_GB2312"/>
        </w:rPr>
        <w:t>在防治分区基础上，针对建设施工活动等引发水土流失的特点，结合防治措施布局，因地制宜的制定项目建设区水土流失防治措施体系。</w:t>
      </w:r>
    </w:p>
    <w:p>
      <w:pPr>
        <w:ind w:firstLine="480"/>
        <w:rPr>
          <w:rFonts w:eastAsia="仿宋_GB2312"/>
        </w:rPr>
      </w:pPr>
      <w:r>
        <w:rPr>
          <w:rFonts w:eastAsia="仿宋_GB2312"/>
        </w:rPr>
        <w:t>水土流失防治措施体系图见图5.2-1。</w:t>
      </w:r>
    </w:p>
    <w:p>
      <w:pPr>
        <w:autoSpaceDE w:val="0"/>
        <w:autoSpaceDN w:val="0"/>
        <w:ind w:firstLine="0" w:firstLineChars="0"/>
        <w:jc w:val="center"/>
        <w:rPr>
          <w:rFonts w:eastAsia="仿宋_GB2312"/>
          <w:b/>
          <w:color w:val="FF0000"/>
        </w:rPr>
      </w:pPr>
      <w:r>
        <w:object>
          <v:shape id="_x0000_i1028" o:spt="75" type="#_x0000_t75" style="height:192.75pt;width:426pt;" o:ole="t" filled="f" o:preferrelative="t" stroked="f" coordsize="21600,21600">
            <v:path/>
            <v:fill on="f" focussize="0,0"/>
            <v:stroke on="f" joinstyle="miter"/>
            <v:imagedata r:id="rId46" o:title=""/>
            <o:lock v:ext="edit" aspectratio="t"/>
            <w10:wrap type="none"/>
            <w10:anchorlock/>
          </v:shape>
          <o:OLEObject Type="Embed" ProgID="Visio.Drawing.11" ShapeID="_x0000_i1028" DrawAspect="Content" ObjectID="_1468075728" r:id="rId45">
            <o:LockedField>false</o:LockedField>
          </o:OLEObject>
        </w:object>
      </w:r>
      <w:r>
        <w:rPr>
          <w:rFonts w:eastAsia="仿宋_GB2312"/>
          <w:b/>
          <w:color w:val="FF0000"/>
        </w:rPr>
        <w:t>图5.2-1  水土流失防治措施体系框图</w:t>
      </w:r>
    </w:p>
    <w:p>
      <w:pPr>
        <w:pStyle w:val="3"/>
        <w:widowControl/>
        <w:numPr>
          <w:ilvl w:val="1"/>
          <w:numId w:val="1"/>
        </w:numPr>
        <w:tabs>
          <w:tab w:val="clear" w:pos="1002"/>
        </w:tabs>
        <w:topLinePunct w:val="0"/>
        <w:adjustRightInd/>
        <w:snapToGrid/>
        <w:ind w:left="0" w:firstLine="0"/>
        <w:jc w:val="both"/>
        <w:rPr>
          <w:rFonts w:eastAsia="仿宋_GB2312"/>
        </w:rPr>
      </w:pPr>
      <w:bookmarkStart w:id="278" w:name="_Toc7801475"/>
      <w:bookmarkStart w:id="279" w:name="_Toc7801408"/>
      <w:bookmarkStart w:id="280" w:name="_Toc7801568"/>
      <w:bookmarkStart w:id="281" w:name="_Toc50221518"/>
      <w:r>
        <w:rPr>
          <w:rFonts w:eastAsia="仿宋_GB2312"/>
        </w:rPr>
        <w:t>分区措施布设</w:t>
      </w:r>
      <w:bookmarkEnd w:id="278"/>
      <w:bookmarkEnd w:id="279"/>
      <w:bookmarkEnd w:id="280"/>
      <w:bookmarkEnd w:id="281"/>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bCs w:val="0"/>
        </w:rPr>
      </w:pPr>
      <w:bookmarkStart w:id="282" w:name="_Toc262296306"/>
      <w:r>
        <w:rPr>
          <w:rFonts w:hint="eastAsia" w:eastAsia="仿宋_GB2312"/>
        </w:rPr>
        <w:t>管道工程区</w:t>
      </w:r>
      <w:r>
        <w:rPr>
          <w:rFonts w:eastAsia="仿宋_GB2312"/>
          <w:bCs w:val="0"/>
        </w:rPr>
        <w:t>防治措施</w:t>
      </w:r>
    </w:p>
    <w:p>
      <w:pPr>
        <w:pStyle w:val="196"/>
        <w:tabs>
          <w:tab w:val="left" w:pos="540"/>
        </w:tabs>
        <w:rPr>
          <w:rFonts w:ascii="Times New Roman" w:hAnsi="Times New Roman" w:eastAsia="仿宋_GB2312" w:cs="Times New Roman"/>
          <w:b/>
          <w:color w:val="auto"/>
        </w:rPr>
      </w:pPr>
      <w:r>
        <w:rPr>
          <w:rFonts w:ascii="Times New Roman" w:hAnsi="Times New Roman" w:eastAsia="仿宋_GB2312" w:cs="Times New Roman"/>
          <w:b/>
          <w:color w:val="auto"/>
        </w:rPr>
        <w:t>（1）工程措施</w:t>
      </w:r>
    </w:p>
    <w:p>
      <w:pPr>
        <w:pStyle w:val="13"/>
        <w:ind w:firstLine="480"/>
        <w:rPr>
          <w:rFonts w:eastAsia="仿宋_GB2312"/>
        </w:rPr>
      </w:pPr>
      <w:r>
        <w:rPr>
          <w:rFonts w:eastAsia="仿宋_GB2312"/>
        </w:rPr>
        <w:t>1）土地平整</w:t>
      </w:r>
    </w:p>
    <w:p>
      <w:pPr>
        <w:pStyle w:val="13"/>
        <w:ind w:firstLine="480"/>
        <w:rPr>
          <w:rFonts w:eastAsia="仿宋_GB2312"/>
        </w:rPr>
      </w:pPr>
      <w:r>
        <w:rPr>
          <w:rFonts w:hint="eastAsia" w:eastAsia="仿宋_GB2312"/>
        </w:rPr>
        <w:t>主体工程设计</w:t>
      </w:r>
      <w:r>
        <w:rPr>
          <w:rFonts w:eastAsia="仿宋_GB2312"/>
        </w:rPr>
        <w:t>施工结束后，对施工作业区域采取</w:t>
      </w:r>
      <w:r>
        <w:rPr>
          <w:rFonts w:hint="eastAsia" w:eastAsia="仿宋_GB2312"/>
        </w:rPr>
        <w:t>土地平整</w:t>
      </w:r>
      <w:r>
        <w:rPr>
          <w:rFonts w:eastAsia="仿宋_GB2312"/>
        </w:rPr>
        <w:t>措施，土地平整能够一定程度上减轻裸露地表的水土流失程度，提高土层抗风蚀、水蚀能力，具有一定的水土保持效果，总计平整面积</w:t>
      </w:r>
      <w:r>
        <w:rPr>
          <w:rFonts w:hint="eastAsia" w:eastAsia="仿宋_GB2312"/>
        </w:rPr>
        <w:t>为1.81h</w:t>
      </w:r>
      <w:r>
        <w:rPr>
          <w:rFonts w:eastAsia="仿宋_GB2312"/>
        </w:rPr>
        <w:t>m²。</w:t>
      </w:r>
    </w:p>
    <w:p>
      <w:pPr>
        <w:pStyle w:val="196"/>
        <w:tabs>
          <w:tab w:val="left" w:pos="540"/>
        </w:tabs>
        <w:ind w:left="482" w:firstLine="0" w:firstLineChars="0"/>
        <w:rPr>
          <w:rFonts w:ascii="Times New Roman" w:hAnsi="Times New Roman" w:eastAsia="仿宋_GB2312" w:cs="Times New Roman"/>
          <w:b/>
          <w:color w:val="auto"/>
        </w:rPr>
      </w:pPr>
      <w:r>
        <w:rPr>
          <w:rFonts w:ascii="Times New Roman" w:hAnsi="Times New Roman" w:eastAsia="仿宋_GB2312" w:cs="Times New Roman"/>
          <w:b/>
          <w:color w:val="auto"/>
        </w:rPr>
        <w:t>（</w:t>
      </w:r>
      <w:r>
        <w:rPr>
          <w:rFonts w:hint="eastAsia" w:ascii="Times New Roman" w:hAnsi="Times New Roman" w:eastAsia="仿宋_GB2312" w:cs="Times New Roman"/>
          <w:b/>
          <w:color w:val="auto"/>
        </w:rPr>
        <w:t>2</w:t>
      </w:r>
      <w:r>
        <w:rPr>
          <w:rFonts w:ascii="Times New Roman" w:hAnsi="Times New Roman" w:eastAsia="仿宋_GB2312" w:cs="Times New Roman"/>
          <w:b/>
          <w:color w:val="auto"/>
        </w:rPr>
        <w:t>）临时措施</w:t>
      </w:r>
    </w:p>
    <w:p>
      <w:pPr>
        <w:pStyle w:val="13"/>
        <w:ind w:firstLine="480"/>
        <w:rPr>
          <w:rFonts w:eastAsia="仿宋_GB2312"/>
        </w:rPr>
      </w:pPr>
      <w:r>
        <w:rPr>
          <w:rFonts w:hint="eastAsia" w:eastAsia="仿宋_GB2312"/>
        </w:rPr>
        <w:t>1</w:t>
      </w:r>
      <w:r>
        <w:rPr>
          <w:rFonts w:eastAsia="仿宋_GB2312"/>
        </w:rPr>
        <w:t>）防尘网苫盖</w:t>
      </w:r>
    </w:p>
    <w:p>
      <w:pPr>
        <w:pStyle w:val="13"/>
        <w:ind w:firstLine="480"/>
        <w:rPr>
          <w:rFonts w:eastAsia="仿宋_GB2312"/>
        </w:rPr>
      </w:pPr>
      <w:r>
        <w:rPr>
          <w:rFonts w:hint="eastAsia" w:eastAsia="仿宋_GB2312"/>
        </w:rPr>
        <w:t>项目建设过程，</w:t>
      </w:r>
      <w:r>
        <w:rPr>
          <w:rFonts w:eastAsia="仿宋_GB2312"/>
        </w:rPr>
        <w:t>管沟开挖</w:t>
      </w:r>
      <w:r>
        <w:rPr>
          <w:rFonts w:hint="eastAsia" w:eastAsia="仿宋_GB2312"/>
        </w:rPr>
        <w:t>的土方</w:t>
      </w:r>
      <w:r>
        <w:rPr>
          <w:rFonts w:eastAsia="仿宋_GB2312"/>
        </w:rPr>
        <w:t>，堆置在施工作业带一侧</w:t>
      </w:r>
      <w:r>
        <w:rPr>
          <w:rFonts w:hint="eastAsia" w:eastAsia="仿宋_GB2312"/>
        </w:rPr>
        <w:t>，为减少堆置期间水土流失，方案设计</w:t>
      </w:r>
      <w:r>
        <w:rPr>
          <w:rFonts w:eastAsia="仿宋_GB2312"/>
        </w:rPr>
        <w:t>对临时堆土采取防尘网苫盖措施，根据施工场地面积</w:t>
      </w:r>
      <w:r>
        <w:rPr>
          <w:rFonts w:hint="eastAsia" w:eastAsia="仿宋_GB2312"/>
        </w:rPr>
        <w:t>和施工工序</w:t>
      </w:r>
      <w:r>
        <w:rPr>
          <w:rFonts w:eastAsia="仿宋_GB2312"/>
        </w:rPr>
        <w:t>，</w:t>
      </w:r>
      <w:r>
        <w:rPr>
          <w:rFonts w:hint="eastAsia" w:eastAsia="仿宋_GB2312"/>
        </w:rPr>
        <w:t>需要防尘网4629</w:t>
      </w:r>
      <w:r>
        <w:rPr>
          <w:rFonts w:eastAsia="仿宋_GB2312"/>
        </w:rPr>
        <w:t>m²</w:t>
      </w:r>
      <w:r>
        <w:rPr>
          <w:rFonts w:hint="eastAsia" w:eastAsia="仿宋_GB2312"/>
        </w:rPr>
        <w:t>，可重复使用。</w:t>
      </w:r>
    </w:p>
    <w:p>
      <w:pPr>
        <w:autoSpaceDE w:val="0"/>
        <w:autoSpaceDN w:val="0"/>
        <w:ind w:firstLine="480"/>
        <w:rPr>
          <w:rFonts w:eastAsia="仿宋_GB2312"/>
          <w:color w:val="000000"/>
        </w:rPr>
      </w:pPr>
      <w:r>
        <w:rPr>
          <w:rFonts w:hint="eastAsia" w:eastAsia="仿宋_GB2312"/>
          <w:color w:val="000000"/>
        </w:rPr>
        <w:t>2</w:t>
      </w:r>
      <w:r>
        <w:rPr>
          <w:rFonts w:eastAsia="仿宋_GB2312"/>
          <w:color w:val="000000"/>
        </w:rPr>
        <w:t>）彩条旗</w:t>
      </w:r>
      <w:r>
        <w:rPr>
          <w:rFonts w:hint="eastAsia" w:eastAsia="仿宋_GB2312"/>
          <w:color w:val="000000"/>
        </w:rPr>
        <w:t>限界</w:t>
      </w:r>
    </w:p>
    <w:p>
      <w:pPr>
        <w:pStyle w:val="13"/>
        <w:ind w:firstLine="480"/>
        <w:rPr>
          <w:rFonts w:eastAsia="仿宋_GB2312"/>
          <w:color w:val="000000"/>
        </w:rPr>
      </w:pPr>
      <w:r>
        <w:rPr>
          <w:rFonts w:hint="eastAsia" w:eastAsia="仿宋_GB2312"/>
          <w:color w:val="000000"/>
        </w:rPr>
        <w:t>方案设计在</w:t>
      </w:r>
      <w:r>
        <w:rPr>
          <w:rFonts w:eastAsia="仿宋_GB2312"/>
          <w:color w:val="000000"/>
        </w:rPr>
        <w:t>施工期间为严格控制和管理施工机械及人员的活动范围，减轻对</w:t>
      </w:r>
      <w:r>
        <w:rPr>
          <w:rFonts w:hint="eastAsia" w:eastAsia="仿宋_GB2312"/>
          <w:color w:val="000000"/>
        </w:rPr>
        <w:t>本区</w:t>
      </w:r>
      <w:r>
        <w:rPr>
          <w:rFonts w:eastAsia="仿宋_GB2312"/>
          <w:color w:val="000000"/>
        </w:rPr>
        <w:t>征地范围外</w:t>
      </w:r>
      <w:r>
        <w:rPr>
          <w:rFonts w:hint="eastAsia" w:eastAsia="仿宋_GB2312"/>
          <w:color w:val="000000"/>
        </w:rPr>
        <w:t>土地</w:t>
      </w:r>
      <w:r>
        <w:rPr>
          <w:rFonts w:eastAsia="仿宋_GB2312"/>
          <w:color w:val="000000"/>
        </w:rPr>
        <w:t>的碾压扰动，在</w:t>
      </w:r>
      <w:r>
        <w:rPr>
          <w:rFonts w:hint="eastAsia" w:eastAsia="仿宋_GB2312"/>
          <w:color w:val="000000"/>
        </w:rPr>
        <w:t>施工作业带两侧实施</w:t>
      </w:r>
      <w:r>
        <w:rPr>
          <w:rFonts w:eastAsia="仿宋_GB2312"/>
          <w:color w:val="000000"/>
        </w:rPr>
        <w:t>彩条旗</w:t>
      </w:r>
      <w:r>
        <w:rPr>
          <w:rFonts w:hint="eastAsia" w:eastAsia="仿宋_GB2312"/>
          <w:color w:val="000000"/>
        </w:rPr>
        <w:t>限界措施，</w:t>
      </w:r>
      <w:r>
        <w:rPr>
          <w:rFonts w:eastAsia="仿宋_GB2312"/>
          <w:color w:val="000000"/>
        </w:rPr>
        <w:t>以示明施工范围。采用1m长的木条插入地下30cm固定，每两根木条间隔10m，木条之间拉一道彩旗</w:t>
      </w:r>
      <w:r>
        <w:rPr>
          <w:rFonts w:hint="eastAsia" w:eastAsia="仿宋_GB2312"/>
          <w:color w:val="000000"/>
        </w:rPr>
        <w:t>，</w:t>
      </w:r>
      <w:r>
        <w:rPr>
          <w:rFonts w:eastAsia="仿宋_GB2312"/>
          <w:color w:val="000000"/>
        </w:rPr>
        <w:t>共</w:t>
      </w:r>
      <w:r>
        <w:rPr>
          <w:rFonts w:hint="eastAsia" w:eastAsia="仿宋_GB2312"/>
          <w:color w:val="000000"/>
        </w:rPr>
        <w:t>用</w:t>
      </w:r>
      <w:r>
        <w:rPr>
          <w:rFonts w:eastAsia="仿宋_GB2312"/>
          <w:color w:val="000000"/>
        </w:rPr>
        <w:t>彩条旗</w:t>
      </w:r>
      <w:r>
        <w:rPr>
          <w:rFonts w:hint="eastAsia" w:eastAsia="仿宋_GB2312"/>
          <w:color w:val="000000"/>
        </w:rPr>
        <w:t>9258</w:t>
      </w:r>
      <w:r>
        <w:rPr>
          <w:rFonts w:eastAsia="仿宋_GB2312"/>
          <w:color w:val="000000"/>
        </w:rPr>
        <w:t>m。</w:t>
      </w:r>
    </w:p>
    <w:p>
      <w:pPr>
        <w:pStyle w:val="13"/>
        <w:ind w:firstLine="480"/>
        <w:rPr>
          <w:rFonts w:eastAsia="仿宋_GB2312"/>
        </w:rPr>
      </w:pPr>
      <w:r>
        <w:rPr>
          <w:rFonts w:hint="eastAsia" w:eastAsia="仿宋_GB2312"/>
        </w:rPr>
        <w:t>3</w:t>
      </w:r>
      <w:r>
        <w:rPr>
          <w:rFonts w:eastAsia="仿宋_GB2312"/>
        </w:rPr>
        <w:t>）洒水</w:t>
      </w:r>
    </w:p>
    <w:p>
      <w:pPr>
        <w:pStyle w:val="13"/>
        <w:ind w:firstLine="480"/>
        <w:rPr>
          <w:rFonts w:eastAsia="仿宋_GB2312"/>
        </w:rPr>
      </w:pPr>
      <w:r>
        <w:rPr>
          <w:rFonts w:hint="eastAsia" w:eastAsia="仿宋_GB2312"/>
        </w:rPr>
        <w:t>方案设计在</w:t>
      </w:r>
      <w:r>
        <w:rPr>
          <w:rFonts w:eastAsia="仿宋_GB2312"/>
        </w:rPr>
        <w:t>工程建设过程中在有风天气和干燥天气</w:t>
      </w:r>
      <w:r>
        <w:rPr>
          <w:rFonts w:hint="eastAsia" w:eastAsia="仿宋_GB2312"/>
        </w:rPr>
        <w:t>实施</w:t>
      </w:r>
      <w:r>
        <w:rPr>
          <w:rFonts w:eastAsia="仿宋_GB2312"/>
        </w:rPr>
        <w:t>洒水措施，抑制扬尘，以防止</w:t>
      </w:r>
      <w:r>
        <w:rPr>
          <w:rFonts w:hint="eastAsia" w:eastAsia="仿宋_GB2312"/>
        </w:rPr>
        <w:t>地表扰动</w:t>
      </w:r>
      <w:r>
        <w:rPr>
          <w:rFonts w:eastAsia="仿宋_GB2312"/>
        </w:rPr>
        <w:t>产生的水土流失。洒水水源为</w:t>
      </w:r>
      <w:r>
        <w:rPr>
          <w:rFonts w:hint="eastAsia" w:eastAsia="仿宋_GB2312"/>
        </w:rPr>
        <w:t>附近河道取水</w:t>
      </w:r>
      <w:r>
        <w:rPr>
          <w:rFonts w:eastAsia="仿宋_GB2312"/>
        </w:rPr>
        <w:t>，用8m³洒水车洒水，每天洒水量</w:t>
      </w:r>
      <w:r>
        <w:rPr>
          <w:rFonts w:hint="eastAsia" w:eastAsia="仿宋_GB2312"/>
        </w:rPr>
        <w:t>500m</w:t>
      </w:r>
      <w:r>
        <w:rPr>
          <w:rFonts w:eastAsia="仿宋_GB2312"/>
        </w:rPr>
        <w:t>L/m²，施工期洒水天数按</w:t>
      </w:r>
      <w:r>
        <w:rPr>
          <w:rFonts w:hint="eastAsia" w:eastAsia="仿宋_GB2312"/>
        </w:rPr>
        <w:t>10</w:t>
      </w:r>
      <w:r>
        <w:rPr>
          <w:rFonts w:eastAsia="仿宋_GB2312"/>
        </w:rPr>
        <w:t>天设计，</w:t>
      </w:r>
      <w:r>
        <w:rPr>
          <w:rFonts w:hint="eastAsia" w:eastAsia="仿宋_GB2312"/>
        </w:rPr>
        <w:t>经统计计算共需实施</w:t>
      </w:r>
      <w:r>
        <w:rPr>
          <w:rFonts w:eastAsia="仿宋_GB2312"/>
        </w:rPr>
        <w:t>洒水量为</w:t>
      </w:r>
      <w:r>
        <w:rPr>
          <w:rFonts w:hint="eastAsia" w:eastAsia="仿宋_GB2312"/>
        </w:rPr>
        <w:t>46</w:t>
      </w:r>
      <w:r>
        <w:rPr>
          <w:rFonts w:eastAsia="仿宋_GB2312"/>
        </w:rPr>
        <w:t>m³。</w:t>
      </w:r>
    </w:p>
    <w:p>
      <w:pPr>
        <w:pStyle w:val="13"/>
        <w:ind w:firstLine="480"/>
        <w:rPr>
          <w:rFonts w:eastAsia="仿宋_GB2312"/>
          <w:color w:val="FF0000"/>
        </w:rPr>
      </w:pPr>
      <w:r>
        <w:rPr>
          <w:rFonts w:hint="eastAsia" w:eastAsia="仿宋_GB2312"/>
          <w:color w:val="FF0000"/>
        </w:rPr>
        <w:t>4）</w:t>
      </w:r>
      <w:r>
        <w:rPr>
          <w:rFonts w:eastAsia="仿宋_GB2312"/>
          <w:color w:val="FF0000"/>
        </w:rPr>
        <w:t>水土保持宣传牌</w:t>
      </w:r>
    </w:p>
    <w:p>
      <w:pPr>
        <w:ind w:firstLine="480"/>
        <w:rPr>
          <w:rFonts w:eastAsia="仿宋_GB2312"/>
          <w:color w:val="FF0000"/>
        </w:rPr>
      </w:pPr>
      <w:r>
        <w:rPr>
          <w:rFonts w:eastAsia="仿宋_GB2312"/>
          <w:color w:val="FF0000"/>
        </w:rPr>
        <w:t>在出入口设置宣传牌，共布设水土保持宣传牌1块。宣传牌设计采用钢结构，宣传牌规格长2.0m，宽为1.5m，总高度2.5m，支架地面高度为1m，扎地深度为0.5m，宣传内容为“水土保持，关系到每个家庭，每个人”，背面书写工程名称、建设单位、建设日期，监督电话等内容。</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hint="eastAsia" w:eastAsia="仿宋_GB2312"/>
        </w:rPr>
        <w:t>附属构筑物区</w:t>
      </w:r>
      <w:r>
        <w:rPr>
          <w:rFonts w:eastAsia="仿宋_GB2312"/>
        </w:rPr>
        <w:t>防治措施</w:t>
      </w:r>
    </w:p>
    <w:p>
      <w:pPr>
        <w:pStyle w:val="196"/>
        <w:tabs>
          <w:tab w:val="left" w:pos="540"/>
        </w:tabs>
        <w:rPr>
          <w:rFonts w:ascii="Times New Roman" w:hAnsi="Times New Roman" w:eastAsia="仿宋_GB2312" w:cs="Times New Roman"/>
          <w:b/>
          <w:color w:val="auto"/>
        </w:rPr>
      </w:pPr>
      <w:r>
        <w:rPr>
          <w:rFonts w:ascii="Times New Roman" w:hAnsi="Times New Roman" w:eastAsia="仿宋_GB2312" w:cs="Times New Roman"/>
          <w:b/>
          <w:color w:val="auto"/>
        </w:rPr>
        <w:t>（1）工程措施</w:t>
      </w:r>
    </w:p>
    <w:p>
      <w:pPr>
        <w:pStyle w:val="13"/>
        <w:ind w:firstLine="480"/>
        <w:rPr>
          <w:rFonts w:eastAsia="仿宋_GB2312"/>
        </w:rPr>
      </w:pPr>
      <w:r>
        <w:rPr>
          <w:rFonts w:eastAsia="仿宋_GB2312"/>
        </w:rPr>
        <w:t>1）土地平整</w:t>
      </w:r>
    </w:p>
    <w:p>
      <w:pPr>
        <w:pStyle w:val="13"/>
        <w:ind w:firstLine="480"/>
        <w:rPr>
          <w:rFonts w:eastAsia="仿宋_GB2312"/>
        </w:rPr>
      </w:pPr>
      <w:r>
        <w:rPr>
          <w:rFonts w:hint="eastAsia" w:eastAsia="仿宋_GB2312"/>
        </w:rPr>
        <w:t>主体工程设计</w:t>
      </w:r>
      <w:r>
        <w:rPr>
          <w:rFonts w:eastAsia="仿宋_GB2312"/>
        </w:rPr>
        <w:t>施工结束后，对</w:t>
      </w:r>
      <w:r>
        <w:rPr>
          <w:rFonts w:hint="eastAsia" w:eastAsia="仿宋_GB2312"/>
        </w:rPr>
        <w:t>裸露</w:t>
      </w:r>
      <w:r>
        <w:rPr>
          <w:rFonts w:eastAsia="仿宋_GB2312"/>
        </w:rPr>
        <w:t>区域采取</w:t>
      </w:r>
      <w:r>
        <w:rPr>
          <w:rFonts w:hint="eastAsia" w:eastAsia="仿宋_GB2312"/>
        </w:rPr>
        <w:t>土地平整</w:t>
      </w:r>
      <w:r>
        <w:rPr>
          <w:rFonts w:eastAsia="仿宋_GB2312"/>
        </w:rPr>
        <w:t>措施，土地平整能够一定程度上减轻裸露地表的水土流失程度，提高土层抗风蚀、水蚀能力，具有一定的水土保持效果，总计平整面积</w:t>
      </w:r>
      <w:r>
        <w:rPr>
          <w:rFonts w:hint="eastAsia" w:eastAsia="仿宋_GB2312"/>
        </w:rPr>
        <w:t>为0.14h</w:t>
      </w:r>
      <w:r>
        <w:rPr>
          <w:rFonts w:eastAsia="仿宋_GB2312"/>
        </w:rPr>
        <w:t>m²。</w:t>
      </w:r>
    </w:p>
    <w:p>
      <w:pPr>
        <w:pStyle w:val="196"/>
        <w:tabs>
          <w:tab w:val="left" w:pos="540"/>
        </w:tabs>
        <w:ind w:left="482" w:firstLine="0" w:firstLineChars="0"/>
        <w:rPr>
          <w:rFonts w:ascii="Times New Roman" w:hAnsi="Times New Roman" w:eastAsia="仿宋_GB2312" w:cs="Times New Roman"/>
          <w:b/>
          <w:color w:val="auto"/>
        </w:rPr>
      </w:pPr>
      <w:r>
        <w:rPr>
          <w:rFonts w:ascii="Times New Roman" w:hAnsi="Times New Roman" w:eastAsia="仿宋_GB2312" w:cs="Times New Roman"/>
          <w:b/>
          <w:color w:val="auto"/>
        </w:rPr>
        <w:t>（</w:t>
      </w:r>
      <w:r>
        <w:rPr>
          <w:rFonts w:hint="eastAsia" w:ascii="Times New Roman" w:hAnsi="Times New Roman" w:eastAsia="仿宋_GB2312" w:cs="Times New Roman"/>
          <w:b/>
          <w:color w:val="auto"/>
        </w:rPr>
        <w:t>2</w:t>
      </w:r>
      <w:r>
        <w:rPr>
          <w:rFonts w:ascii="Times New Roman" w:hAnsi="Times New Roman" w:eastAsia="仿宋_GB2312" w:cs="Times New Roman"/>
          <w:b/>
          <w:color w:val="auto"/>
        </w:rPr>
        <w:t>）临时措施</w:t>
      </w:r>
    </w:p>
    <w:p>
      <w:pPr>
        <w:pStyle w:val="13"/>
        <w:ind w:firstLine="480"/>
        <w:rPr>
          <w:rFonts w:eastAsia="仿宋_GB2312"/>
        </w:rPr>
      </w:pPr>
      <w:r>
        <w:rPr>
          <w:rFonts w:hint="eastAsia" w:eastAsia="仿宋_GB2312"/>
        </w:rPr>
        <w:t>1</w:t>
      </w:r>
      <w:r>
        <w:rPr>
          <w:rFonts w:eastAsia="仿宋_GB2312"/>
        </w:rPr>
        <w:t>）防尘网苫盖</w:t>
      </w:r>
    </w:p>
    <w:p>
      <w:pPr>
        <w:pStyle w:val="13"/>
        <w:ind w:firstLine="480"/>
        <w:rPr>
          <w:rFonts w:eastAsia="仿宋_GB2312"/>
        </w:rPr>
      </w:pPr>
      <w:r>
        <w:rPr>
          <w:rFonts w:hint="eastAsia" w:eastAsia="仿宋_GB2312"/>
        </w:rPr>
        <w:t>项目建设过程，阀井基础</w:t>
      </w:r>
      <w:r>
        <w:rPr>
          <w:rFonts w:eastAsia="仿宋_GB2312"/>
        </w:rPr>
        <w:t>开挖</w:t>
      </w:r>
      <w:r>
        <w:rPr>
          <w:rFonts w:hint="eastAsia" w:eastAsia="仿宋_GB2312"/>
        </w:rPr>
        <w:t>的土方临时</w:t>
      </w:r>
      <w:r>
        <w:rPr>
          <w:rFonts w:eastAsia="仿宋_GB2312"/>
        </w:rPr>
        <w:t>堆置在</w:t>
      </w:r>
      <w:r>
        <w:rPr>
          <w:rFonts w:hint="eastAsia" w:eastAsia="仿宋_GB2312"/>
        </w:rPr>
        <w:t>基础四周，为减少堆置期间水土流失，方案设计</w:t>
      </w:r>
      <w:r>
        <w:rPr>
          <w:rFonts w:eastAsia="仿宋_GB2312"/>
        </w:rPr>
        <w:t>对临时堆土采取防尘网苫盖措施，根据施工场地面积</w:t>
      </w:r>
      <w:r>
        <w:rPr>
          <w:rFonts w:hint="eastAsia" w:eastAsia="仿宋_GB2312"/>
        </w:rPr>
        <w:t>和施工工序</w:t>
      </w:r>
      <w:r>
        <w:rPr>
          <w:rFonts w:eastAsia="仿宋_GB2312"/>
        </w:rPr>
        <w:t>，</w:t>
      </w:r>
      <w:r>
        <w:rPr>
          <w:rFonts w:hint="eastAsia" w:eastAsia="仿宋_GB2312"/>
        </w:rPr>
        <w:t>需要防尘网406</w:t>
      </w:r>
      <w:r>
        <w:rPr>
          <w:rFonts w:eastAsia="仿宋_GB2312"/>
        </w:rPr>
        <w:t>m²</w:t>
      </w:r>
      <w:r>
        <w:rPr>
          <w:rFonts w:hint="eastAsia" w:eastAsia="仿宋_GB2312"/>
        </w:rPr>
        <w:t>，可重复使用。</w:t>
      </w:r>
    </w:p>
    <w:bookmarkEnd w:id="282"/>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水土保持防治措施工程量</w:t>
      </w:r>
    </w:p>
    <w:p>
      <w:pPr>
        <w:ind w:firstLine="480"/>
        <w:rPr>
          <w:rFonts w:eastAsia="仿宋_GB2312"/>
        </w:rPr>
      </w:pPr>
      <w:r>
        <w:rPr>
          <w:rFonts w:eastAsia="仿宋_GB2312"/>
        </w:rPr>
        <w:t>水土保持方案防治措施工程量包括工程措施和临时措施。根据水土保持防治措施总体布局，结合主体工程已具有的水土保持功能，本方案采取了有针对性的水土流失防治措施，各工程区防治措施工程量统计见表5.3-1。</w:t>
      </w:r>
    </w:p>
    <w:p>
      <w:pPr>
        <w:spacing w:line="240" w:lineRule="auto"/>
        <w:ind w:firstLine="0" w:firstLineChars="0"/>
        <w:jc w:val="center"/>
        <w:rPr>
          <w:rFonts w:eastAsia="仿宋_GB2312"/>
          <w:b/>
          <w:bCs/>
        </w:rPr>
        <w:sectPr>
          <w:headerReference r:id="rId18" w:type="default"/>
          <w:pgSz w:w="11906" w:h="16838"/>
          <w:pgMar w:top="1440" w:right="1803" w:bottom="1440" w:left="1803" w:header="851" w:footer="992" w:gutter="0"/>
          <w:cols w:space="720" w:num="1"/>
          <w:docGrid w:linePitch="326" w:charSpace="0"/>
        </w:sectPr>
      </w:pPr>
    </w:p>
    <w:p>
      <w:pPr>
        <w:spacing w:line="240" w:lineRule="auto"/>
        <w:ind w:firstLine="0" w:firstLineChars="0"/>
        <w:jc w:val="center"/>
        <w:rPr>
          <w:rFonts w:eastAsia="仿宋_GB2312"/>
          <w:b/>
          <w:bCs/>
        </w:rPr>
      </w:pPr>
      <w:r>
        <w:rPr>
          <w:rFonts w:eastAsia="仿宋_GB2312"/>
          <w:b/>
          <w:bCs/>
        </w:rPr>
        <w:t>表5.3-1  各工程区防治措施工程量统计表</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686"/>
        <w:gridCol w:w="1235"/>
        <w:gridCol w:w="1671"/>
        <w:gridCol w:w="1037"/>
        <w:gridCol w:w="1637"/>
        <w:gridCol w:w="125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9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项目分区</w:t>
            </w:r>
          </w:p>
        </w:tc>
        <w:tc>
          <w:tcPr>
            <w:tcW w:w="72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措施类型</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措施名称</w:t>
            </w:r>
          </w:p>
        </w:tc>
        <w:tc>
          <w:tcPr>
            <w:tcW w:w="60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单位</w:t>
            </w:r>
          </w:p>
        </w:tc>
        <w:tc>
          <w:tcPr>
            <w:tcW w:w="96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工程量</w:t>
            </w:r>
          </w:p>
        </w:tc>
        <w:tc>
          <w:tcPr>
            <w:tcW w:w="73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90"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管道工程区</w:t>
            </w:r>
          </w:p>
        </w:tc>
        <w:tc>
          <w:tcPr>
            <w:tcW w:w="72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工程措施</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土地平整</w:t>
            </w:r>
          </w:p>
        </w:tc>
        <w:tc>
          <w:tcPr>
            <w:tcW w:w="60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hm</w:t>
            </w:r>
            <w:r>
              <w:rPr>
                <w:rFonts w:eastAsia="宋体"/>
                <w:color w:val="000000"/>
                <w:sz w:val="21"/>
                <w:szCs w:val="21"/>
              </w:rPr>
              <w:t>²</w:t>
            </w:r>
          </w:p>
        </w:tc>
        <w:tc>
          <w:tcPr>
            <w:tcW w:w="96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1.81</w:t>
            </w:r>
          </w:p>
        </w:tc>
        <w:tc>
          <w:tcPr>
            <w:tcW w:w="73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主体已列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90"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25"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临时措施</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防尘网苫盖</w:t>
            </w:r>
          </w:p>
        </w:tc>
        <w:tc>
          <w:tcPr>
            <w:tcW w:w="60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r>
              <w:rPr>
                <w:rFonts w:eastAsia="宋体"/>
                <w:color w:val="000000"/>
                <w:sz w:val="21"/>
                <w:szCs w:val="21"/>
              </w:rPr>
              <w:t>²</w:t>
            </w:r>
          </w:p>
        </w:tc>
        <w:tc>
          <w:tcPr>
            <w:tcW w:w="96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4629</w:t>
            </w:r>
          </w:p>
        </w:tc>
        <w:tc>
          <w:tcPr>
            <w:tcW w:w="73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方案新增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90"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25"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洒水</w:t>
            </w:r>
          </w:p>
        </w:tc>
        <w:tc>
          <w:tcPr>
            <w:tcW w:w="60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r>
              <w:rPr>
                <w:rFonts w:eastAsia="宋体"/>
                <w:color w:val="000000"/>
                <w:sz w:val="21"/>
                <w:szCs w:val="21"/>
              </w:rPr>
              <w:t>³</w:t>
            </w:r>
          </w:p>
        </w:tc>
        <w:tc>
          <w:tcPr>
            <w:tcW w:w="96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46</w:t>
            </w:r>
          </w:p>
        </w:tc>
        <w:tc>
          <w:tcPr>
            <w:tcW w:w="73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方案新增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90"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25"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彩条旗限界</w:t>
            </w:r>
          </w:p>
        </w:tc>
        <w:tc>
          <w:tcPr>
            <w:tcW w:w="60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p>
        </w:tc>
        <w:tc>
          <w:tcPr>
            <w:tcW w:w="96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9258</w:t>
            </w:r>
          </w:p>
        </w:tc>
        <w:tc>
          <w:tcPr>
            <w:tcW w:w="73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方案新增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90"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25"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宣传牌</w:t>
            </w:r>
          </w:p>
        </w:tc>
        <w:tc>
          <w:tcPr>
            <w:tcW w:w="609"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块</w:t>
            </w:r>
          </w:p>
        </w:tc>
        <w:tc>
          <w:tcPr>
            <w:tcW w:w="961"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hint="eastAsia" w:eastAsia="仿宋_GB2312"/>
                <w:color w:val="FF0000"/>
                <w:sz w:val="21"/>
                <w:szCs w:val="21"/>
              </w:rPr>
              <w:t>1</w:t>
            </w:r>
          </w:p>
        </w:tc>
        <w:tc>
          <w:tcPr>
            <w:tcW w:w="734"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方案新增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90"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附属构筑物区</w:t>
            </w:r>
          </w:p>
        </w:tc>
        <w:tc>
          <w:tcPr>
            <w:tcW w:w="72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工程措施</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土地平整</w:t>
            </w:r>
          </w:p>
        </w:tc>
        <w:tc>
          <w:tcPr>
            <w:tcW w:w="60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hm</w:t>
            </w:r>
            <w:r>
              <w:rPr>
                <w:rFonts w:eastAsia="宋体"/>
                <w:color w:val="000000"/>
                <w:sz w:val="21"/>
                <w:szCs w:val="21"/>
              </w:rPr>
              <w:t>²</w:t>
            </w:r>
          </w:p>
        </w:tc>
        <w:tc>
          <w:tcPr>
            <w:tcW w:w="96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0.14</w:t>
            </w:r>
          </w:p>
        </w:tc>
        <w:tc>
          <w:tcPr>
            <w:tcW w:w="73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主体已列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90"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2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临时措施</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防尘网苫盖</w:t>
            </w:r>
          </w:p>
        </w:tc>
        <w:tc>
          <w:tcPr>
            <w:tcW w:w="60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r>
              <w:rPr>
                <w:rFonts w:eastAsia="宋体"/>
                <w:color w:val="000000"/>
                <w:sz w:val="21"/>
                <w:szCs w:val="21"/>
              </w:rPr>
              <w:t>²</w:t>
            </w:r>
          </w:p>
        </w:tc>
        <w:tc>
          <w:tcPr>
            <w:tcW w:w="96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406</w:t>
            </w:r>
          </w:p>
        </w:tc>
        <w:tc>
          <w:tcPr>
            <w:tcW w:w="73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方案新增</w:t>
            </w:r>
          </w:p>
        </w:tc>
      </w:tr>
    </w:tbl>
    <w:p>
      <w:pPr>
        <w:pStyle w:val="3"/>
        <w:widowControl/>
        <w:numPr>
          <w:ilvl w:val="1"/>
          <w:numId w:val="1"/>
        </w:numPr>
        <w:tabs>
          <w:tab w:val="clear" w:pos="1002"/>
        </w:tabs>
        <w:topLinePunct w:val="0"/>
        <w:adjustRightInd/>
        <w:snapToGrid/>
        <w:spacing w:beforeLines="100"/>
        <w:ind w:left="0" w:firstLine="0"/>
        <w:jc w:val="both"/>
        <w:rPr>
          <w:rFonts w:eastAsia="仿宋_GB2312"/>
        </w:rPr>
      </w:pPr>
      <w:bookmarkStart w:id="283" w:name="_Toc50221519"/>
      <w:bookmarkStart w:id="284" w:name="_Toc7801476"/>
      <w:bookmarkStart w:id="285" w:name="_Toc7801409"/>
      <w:bookmarkStart w:id="286" w:name="_Toc7801569"/>
      <w:r>
        <w:rPr>
          <w:rFonts w:eastAsia="仿宋_GB2312"/>
        </w:rPr>
        <w:t>施工要求</w:t>
      </w:r>
      <w:bookmarkEnd w:id="283"/>
      <w:bookmarkEnd w:id="284"/>
      <w:bookmarkEnd w:id="285"/>
      <w:bookmarkEnd w:id="286"/>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bCs w:val="0"/>
        </w:rPr>
      </w:pPr>
      <w:bookmarkStart w:id="287" w:name="_Toc291602450"/>
      <w:r>
        <w:rPr>
          <w:rFonts w:eastAsia="仿宋_GB2312"/>
          <w:bCs w:val="0"/>
        </w:rPr>
        <w:t>施工组织原则</w:t>
      </w:r>
      <w:bookmarkEnd w:id="287"/>
    </w:p>
    <w:p>
      <w:pPr>
        <w:ind w:firstLine="480"/>
        <w:rPr>
          <w:rFonts w:eastAsia="仿宋_GB2312"/>
        </w:rPr>
      </w:pPr>
      <w:r>
        <w:rPr>
          <w:rFonts w:eastAsia="仿宋_GB2312"/>
        </w:rPr>
        <w:t>（1）与主体工程相配合、协调，在不影响主体工程施工的前提下，尽可能利用主体工程创造的水、电、交通等施工条件，减少施工辅助设施工程量。</w:t>
      </w:r>
    </w:p>
    <w:p>
      <w:pPr>
        <w:ind w:firstLine="480"/>
        <w:rPr>
          <w:rFonts w:eastAsia="仿宋_GB2312"/>
        </w:rPr>
      </w:pPr>
      <w:r>
        <w:rPr>
          <w:rFonts w:eastAsia="仿宋_GB2312"/>
        </w:rPr>
        <w:t>（2）按照“三同时”的原则，水土保持措施实施进度与主体工程建设进度适应，及时防治新增水土流失。</w:t>
      </w:r>
    </w:p>
    <w:p>
      <w:pPr>
        <w:ind w:firstLine="480"/>
        <w:rPr>
          <w:rFonts w:eastAsia="仿宋_GB2312"/>
        </w:rPr>
      </w:pPr>
      <w:r>
        <w:rPr>
          <w:rFonts w:eastAsia="仿宋_GB2312"/>
        </w:rPr>
        <w:t>（3）施工进度安排坚持“保护优先、先挡后弃、及时跟进”的原则，临时堆土要先进行拦挡，然后再堆存，临时建设工程施工完毕后，按原占地类型及时进行恢复，植物措施在整地的基础上尽快实施。</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bCs w:val="0"/>
        </w:rPr>
      </w:pPr>
      <w:bookmarkStart w:id="288" w:name="_Toc291602451"/>
      <w:bookmarkStart w:id="289" w:name="_Toc210522121"/>
      <w:bookmarkStart w:id="290" w:name="_Toc210527418"/>
      <w:r>
        <w:rPr>
          <w:rFonts w:eastAsia="仿宋_GB2312"/>
          <w:bCs w:val="0"/>
        </w:rPr>
        <w:t>施工组织</w:t>
      </w:r>
      <w:bookmarkEnd w:id="288"/>
      <w:bookmarkEnd w:id="289"/>
      <w:bookmarkEnd w:id="290"/>
    </w:p>
    <w:p>
      <w:pPr>
        <w:ind w:firstLine="480"/>
        <w:rPr>
          <w:rFonts w:eastAsia="仿宋_GB2312"/>
          <w:color w:val="000000"/>
        </w:rPr>
      </w:pPr>
      <w:r>
        <w:rPr>
          <w:rFonts w:eastAsia="仿宋_GB2312"/>
          <w:color w:val="000000"/>
        </w:rPr>
        <w:t>1、建立组织机构</w:t>
      </w:r>
    </w:p>
    <w:p>
      <w:pPr>
        <w:ind w:firstLine="480"/>
        <w:rPr>
          <w:rFonts w:eastAsia="仿宋_GB2312"/>
          <w:color w:val="000000"/>
        </w:rPr>
      </w:pPr>
      <w:r>
        <w:rPr>
          <w:rFonts w:eastAsia="仿宋_GB2312"/>
          <w:color w:val="000000"/>
        </w:rPr>
        <w:t>为全面完成本工程的各项水土保持措施，将组建施工项目部，实行项目承包制，由专职人员统一领导实施，并由具有水土保持监理资质单位指派具有水保监理岗位证书监理人员对工程质量、技术、进度、资金等全面负责。</w:t>
      </w:r>
    </w:p>
    <w:p>
      <w:pPr>
        <w:ind w:firstLine="480"/>
        <w:rPr>
          <w:rFonts w:eastAsia="仿宋_GB2312"/>
          <w:color w:val="000000"/>
        </w:rPr>
      </w:pPr>
      <w:r>
        <w:rPr>
          <w:rFonts w:eastAsia="仿宋_GB2312"/>
          <w:color w:val="000000"/>
        </w:rPr>
        <w:t>2、劳动组织</w:t>
      </w:r>
    </w:p>
    <w:p>
      <w:pPr>
        <w:ind w:firstLine="480"/>
        <w:rPr>
          <w:rFonts w:eastAsia="仿宋_GB2312"/>
          <w:color w:val="000000"/>
        </w:rPr>
      </w:pPr>
      <w:r>
        <w:rPr>
          <w:rFonts w:eastAsia="仿宋_GB2312"/>
          <w:color w:val="000000"/>
        </w:rPr>
        <w:t>项目部对劳动施工队实行计划包工制，签订劳动合同，明确各自的“责、权、利”，确保劳务合同的履行，并制约施工人员严格在方案规定的范围内活动。</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bookmarkStart w:id="291" w:name="_Toc291602452"/>
      <w:r>
        <w:rPr>
          <w:rFonts w:eastAsia="仿宋_GB2312"/>
        </w:rPr>
        <w:t>施工条件</w:t>
      </w:r>
      <w:bookmarkEnd w:id="291"/>
    </w:p>
    <w:p>
      <w:pPr>
        <w:ind w:firstLine="480"/>
        <w:rPr>
          <w:rFonts w:eastAsia="仿宋_GB2312"/>
          <w:color w:val="000000"/>
        </w:rPr>
      </w:pPr>
      <w:r>
        <w:rPr>
          <w:rFonts w:eastAsia="仿宋_GB2312"/>
          <w:color w:val="000000"/>
        </w:rPr>
        <w:t>1、技术条件</w:t>
      </w:r>
    </w:p>
    <w:p>
      <w:pPr>
        <w:ind w:firstLine="480"/>
        <w:rPr>
          <w:rFonts w:eastAsia="仿宋_GB2312"/>
          <w:color w:val="000000"/>
        </w:rPr>
      </w:pPr>
      <w:r>
        <w:rPr>
          <w:rFonts w:eastAsia="仿宋_GB2312"/>
          <w:color w:val="000000"/>
        </w:rPr>
        <w:t>项目部组织技术人员和施工承包单位熟悉方案规定的水土流失防治措施、实施地点、技术要求及标准。</w:t>
      </w:r>
    </w:p>
    <w:p>
      <w:pPr>
        <w:ind w:firstLine="480"/>
        <w:rPr>
          <w:rFonts w:eastAsia="仿宋_GB2312"/>
          <w:color w:val="000000"/>
        </w:rPr>
      </w:pPr>
      <w:r>
        <w:rPr>
          <w:rFonts w:eastAsia="仿宋_GB2312"/>
          <w:color w:val="000000"/>
        </w:rPr>
        <w:t>2、监理单位</w:t>
      </w:r>
    </w:p>
    <w:p>
      <w:pPr>
        <w:ind w:firstLine="480"/>
        <w:rPr>
          <w:rFonts w:eastAsia="仿宋_GB2312"/>
          <w:color w:val="000000"/>
        </w:rPr>
      </w:pPr>
      <w:r>
        <w:rPr>
          <w:rFonts w:eastAsia="仿宋_GB2312"/>
          <w:color w:val="000000"/>
        </w:rPr>
        <w:t>根据方案的技术要求编报水土保持技术大纲，实施“三控制”（质量、进度、资金）、“两管理”（信息与合同）、“一协调”的要求，确定验收时的监理质量。</w:t>
      </w:r>
    </w:p>
    <w:p>
      <w:pPr>
        <w:ind w:firstLine="480"/>
        <w:rPr>
          <w:rFonts w:eastAsia="仿宋_GB2312"/>
          <w:color w:val="000000"/>
        </w:rPr>
      </w:pPr>
      <w:r>
        <w:rPr>
          <w:rFonts w:eastAsia="仿宋_GB2312"/>
          <w:color w:val="000000"/>
        </w:rPr>
        <w:t>3、施工组织进场准备</w:t>
      </w:r>
    </w:p>
    <w:p>
      <w:pPr>
        <w:ind w:firstLine="480"/>
        <w:rPr>
          <w:rFonts w:eastAsia="仿宋_GB2312"/>
          <w:color w:val="000000"/>
        </w:rPr>
      </w:pPr>
      <w:r>
        <w:rPr>
          <w:rFonts w:eastAsia="仿宋_GB2312"/>
          <w:color w:val="000000"/>
        </w:rPr>
        <w:t>施工时应根据各防治区域具体的工程措施合理安排各施工工序，减少或避免各工序间的相互干扰。施工区域的防护措施是主体工程的一部分，其施工应充分利用主体工程提供的施工条件与主体工程一并进行。</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bCs w:val="0"/>
        </w:rPr>
      </w:pPr>
      <w:r>
        <w:rPr>
          <w:rFonts w:hint="eastAsia" w:eastAsia="仿宋_GB2312"/>
          <w:bCs w:val="0"/>
        </w:rPr>
        <w:t>交通运输</w:t>
      </w:r>
    </w:p>
    <w:p>
      <w:pPr>
        <w:ind w:firstLine="480"/>
        <w:rPr>
          <w:rFonts w:eastAsia="仿宋_GB2312"/>
        </w:rPr>
      </w:pPr>
      <w:r>
        <w:rPr>
          <w:rFonts w:hint="eastAsia" w:eastAsia="仿宋_GB2312"/>
        </w:rPr>
        <w:t>本项目的水土保持工程与主体工程在统一征地区范围内施工，可利用项目所在当地的国（省）道、县乡道路等各级路网，以上道路完全能够满足水土保持工程施工时的材料运输、施工车辆及机械设备通行需要。</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bCs w:val="0"/>
        </w:rPr>
      </w:pPr>
      <w:bookmarkStart w:id="292" w:name="_Toc291602453"/>
      <w:bookmarkStart w:id="293" w:name="_Toc210522123"/>
      <w:bookmarkStart w:id="294" w:name="_Toc210527420"/>
      <w:r>
        <w:rPr>
          <w:rFonts w:eastAsia="仿宋_GB2312"/>
          <w:bCs w:val="0"/>
        </w:rPr>
        <w:t>施工质量要求</w:t>
      </w:r>
      <w:bookmarkEnd w:id="292"/>
      <w:bookmarkEnd w:id="293"/>
      <w:bookmarkEnd w:id="294"/>
    </w:p>
    <w:p>
      <w:pPr>
        <w:ind w:firstLine="480"/>
        <w:rPr>
          <w:rFonts w:eastAsia="仿宋_GB2312"/>
          <w:color w:val="000000"/>
        </w:rPr>
      </w:pPr>
      <w:r>
        <w:rPr>
          <w:rFonts w:eastAsia="仿宋_GB2312"/>
          <w:color w:val="000000"/>
        </w:rPr>
        <w:t>水土保持工程实施后，各项治理措施必须符合规定的质量要求，并经规定的质量测定方法确定后，才能作为治理成果进行数量统计。</w:t>
      </w:r>
    </w:p>
    <w:p>
      <w:pPr>
        <w:ind w:firstLine="480"/>
        <w:rPr>
          <w:rFonts w:eastAsia="仿宋_GB2312"/>
          <w:color w:val="000000"/>
        </w:rPr>
      </w:pPr>
      <w:r>
        <w:rPr>
          <w:rFonts w:eastAsia="仿宋_GB2312"/>
          <w:color w:val="000000"/>
        </w:rPr>
        <w:t>根据《水土保持综合治理验收规范》（GB/T15773-2008）及《水利部关于加强事中事后监督规范生产建设项目水土保持设施自主验收的通知》（水利部2017年第365号文）等的相关规定，水土保持各项治理措施的基本要求是总体布局合理，各项措施位置符合规划要求。规格、尺寸、质量、使用材料、施工方法符合施工和设计标准，经暴雨考验后基本完好。</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bookmarkStart w:id="295" w:name="_Toc291602454"/>
      <w:r>
        <w:rPr>
          <w:rFonts w:eastAsia="仿宋_GB2312"/>
        </w:rPr>
        <w:t>施工材料来源</w:t>
      </w:r>
      <w:bookmarkEnd w:id="295"/>
    </w:p>
    <w:p>
      <w:pPr>
        <w:ind w:firstLine="480"/>
        <w:rPr>
          <w:rFonts w:eastAsia="仿宋_GB2312"/>
        </w:rPr>
      </w:pPr>
      <w:r>
        <w:rPr>
          <w:rFonts w:eastAsia="仿宋_GB2312"/>
        </w:rPr>
        <w:t>项目建设所用砂</w:t>
      </w:r>
      <w:r>
        <w:rPr>
          <w:rFonts w:hint="eastAsia" w:eastAsia="仿宋_GB2312"/>
        </w:rPr>
        <w:t>石料、</w:t>
      </w:r>
      <w:r>
        <w:rPr>
          <w:rFonts w:eastAsia="仿宋_GB2312"/>
        </w:rPr>
        <w:t>钢材、水泥</w:t>
      </w:r>
      <w:r>
        <w:rPr>
          <w:rFonts w:hint="eastAsia" w:eastAsia="仿宋_GB2312"/>
        </w:rPr>
        <w:t>、木材</w:t>
      </w:r>
      <w:r>
        <w:rPr>
          <w:rFonts w:eastAsia="仿宋_GB2312"/>
        </w:rPr>
        <w:t>等</w:t>
      </w:r>
      <w:r>
        <w:rPr>
          <w:rFonts w:hint="eastAsia" w:eastAsia="仿宋_GB2312"/>
        </w:rPr>
        <w:t>施工材料均</w:t>
      </w:r>
      <w:r>
        <w:rPr>
          <w:rFonts w:eastAsia="仿宋_GB2312"/>
        </w:rPr>
        <w:t>从</w:t>
      </w:r>
      <w:r>
        <w:rPr>
          <w:rFonts w:hint="eastAsia" w:eastAsia="仿宋_GB2312"/>
        </w:rPr>
        <w:t>和田市正规合法商企集中采购</w:t>
      </w:r>
      <w:r>
        <w:rPr>
          <w:rFonts w:eastAsia="仿宋_GB2312"/>
        </w:rPr>
        <w:t>，</w:t>
      </w:r>
      <w:r>
        <w:rPr>
          <w:rFonts w:hint="eastAsia" w:eastAsia="仿宋_GB2312"/>
        </w:rPr>
        <w:t>项目所需施工材料的运距均在35km以内</w:t>
      </w:r>
      <w:r>
        <w:rPr>
          <w:rFonts w:eastAsia="仿宋_GB2312"/>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水土保持措施施工方法</w:t>
      </w:r>
    </w:p>
    <w:p>
      <w:pPr>
        <w:ind w:firstLine="480"/>
        <w:rPr>
          <w:rFonts w:eastAsia="仿宋_GB2312"/>
        </w:rPr>
      </w:pPr>
      <w:r>
        <w:rPr>
          <w:rFonts w:eastAsia="仿宋_GB2312"/>
        </w:rPr>
        <w:t>（1）工程措施</w:t>
      </w:r>
    </w:p>
    <w:p>
      <w:pPr>
        <w:autoSpaceDE w:val="0"/>
        <w:autoSpaceDN w:val="0"/>
        <w:ind w:firstLine="480"/>
        <w:jc w:val="left"/>
        <w:rPr>
          <w:rFonts w:eastAsia="仿宋_GB2312"/>
        </w:rPr>
      </w:pPr>
      <w:r>
        <w:rPr>
          <w:rFonts w:eastAsia="仿宋_GB2312"/>
        </w:rPr>
        <w:fldChar w:fldCharType="begin"/>
      </w:r>
      <w:r>
        <w:rPr>
          <w:rFonts w:eastAsia="仿宋_GB2312"/>
        </w:rPr>
        <w:instrText xml:space="preserve"> = 1 \* GB3 </w:instrText>
      </w:r>
      <w:r>
        <w:rPr>
          <w:rFonts w:eastAsia="仿宋_GB2312"/>
        </w:rPr>
        <w:fldChar w:fldCharType="separate"/>
      </w:r>
      <w:r>
        <w:rPr>
          <w:rFonts w:eastAsia="仿宋_GB2312"/>
        </w:rPr>
        <w:t>①</w:t>
      </w:r>
      <w:r>
        <w:rPr>
          <w:rFonts w:eastAsia="仿宋_GB2312"/>
        </w:rPr>
        <w:fldChar w:fldCharType="end"/>
      </w:r>
      <w:r>
        <w:rPr>
          <w:rFonts w:eastAsia="仿宋_GB2312"/>
        </w:rPr>
        <w:t>土地平整</w:t>
      </w:r>
    </w:p>
    <w:p>
      <w:pPr>
        <w:autoSpaceDE w:val="0"/>
        <w:autoSpaceDN w:val="0"/>
        <w:ind w:firstLine="480"/>
        <w:jc w:val="left"/>
        <w:rPr>
          <w:rFonts w:eastAsia="仿宋_GB2312"/>
        </w:rPr>
      </w:pPr>
      <w:r>
        <w:rPr>
          <w:rFonts w:eastAsia="仿宋_GB2312"/>
        </w:rPr>
        <w:t>土地平整采用74kW推土机推平，平均推距40m，部分需倒运的采用2m³装载机挖装10t自卸车运输，边角地或施工机械无法施工的区域采取人工平整，土地平整后地面高差小于30cm。</w:t>
      </w:r>
    </w:p>
    <w:p>
      <w:pPr>
        <w:ind w:firstLine="480"/>
        <w:rPr>
          <w:rFonts w:eastAsia="仿宋_GB2312"/>
        </w:rPr>
      </w:pPr>
      <w:r>
        <w:rPr>
          <w:rFonts w:hint="eastAsia" w:eastAsia="仿宋_GB2312"/>
        </w:rPr>
        <w:t>（2）</w:t>
      </w:r>
      <w:r>
        <w:rPr>
          <w:rFonts w:eastAsia="仿宋_GB2312"/>
        </w:rPr>
        <w:t>临时措施</w:t>
      </w:r>
    </w:p>
    <w:p>
      <w:pPr>
        <w:autoSpaceDE w:val="0"/>
        <w:autoSpaceDN w:val="0"/>
        <w:ind w:firstLine="480"/>
        <w:jc w:val="left"/>
        <w:rPr>
          <w:rFonts w:eastAsia="仿宋_GB2312"/>
        </w:rPr>
      </w:pPr>
      <w:r>
        <w:rPr>
          <w:rFonts w:eastAsia="仿宋_GB2312"/>
        </w:rPr>
        <w:t>水土流失防治体系新增临时措施包括：防尘网苫盖、洒水</w:t>
      </w:r>
      <w:r>
        <w:rPr>
          <w:rFonts w:hint="eastAsia" w:eastAsia="仿宋_GB2312"/>
        </w:rPr>
        <w:t>、彩条旗限界</w:t>
      </w:r>
      <w:r>
        <w:rPr>
          <w:rFonts w:eastAsia="仿宋_GB2312"/>
        </w:rPr>
        <w:t>等，上述措施设计内容如下。</w:t>
      </w:r>
    </w:p>
    <w:p>
      <w:pPr>
        <w:autoSpaceDE w:val="0"/>
        <w:autoSpaceDN w:val="0"/>
        <w:ind w:firstLine="480"/>
        <w:jc w:val="left"/>
        <w:rPr>
          <w:rFonts w:eastAsia="仿宋_GB2312"/>
        </w:rPr>
      </w:pPr>
      <w:r>
        <w:rPr>
          <w:rFonts w:eastAsia="仿宋_GB2312"/>
        </w:rPr>
        <w:fldChar w:fldCharType="begin"/>
      </w:r>
      <w:r>
        <w:rPr>
          <w:rFonts w:eastAsia="仿宋_GB2312"/>
        </w:rPr>
        <w:instrText xml:space="preserve"> = 1 \* GB3 </w:instrText>
      </w:r>
      <w:r>
        <w:rPr>
          <w:rFonts w:eastAsia="仿宋_GB2312"/>
        </w:rPr>
        <w:fldChar w:fldCharType="separate"/>
      </w:r>
      <w:r>
        <w:rPr>
          <w:rFonts w:eastAsia="仿宋_GB2312"/>
        </w:rPr>
        <w:t>①</w:t>
      </w:r>
      <w:r>
        <w:rPr>
          <w:rFonts w:eastAsia="仿宋_GB2312"/>
        </w:rPr>
        <w:fldChar w:fldCharType="end"/>
      </w:r>
      <w:r>
        <w:rPr>
          <w:rFonts w:eastAsia="仿宋_GB2312"/>
        </w:rPr>
        <w:t>防尘网苫盖</w:t>
      </w:r>
    </w:p>
    <w:p>
      <w:pPr>
        <w:autoSpaceDE w:val="0"/>
        <w:autoSpaceDN w:val="0"/>
        <w:ind w:firstLine="480"/>
        <w:rPr>
          <w:rFonts w:eastAsia="仿宋_GB2312"/>
        </w:rPr>
      </w:pPr>
      <w:r>
        <w:rPr>
          <w:rFonts w:eastAsia="仿宋_GB2312"/>
        </w:rPr>
        <w:t>临时堆放的基础开挖土方，为了避免裸露，采用防尘网苫盖进行防护。人工将防尘网边缘用细铁丝缝合连接在一起，满足所需防尘网规格后运输到施工现场。将缝合好的防护网进行摊铺苫盖。防尘网拆除时，将防尘网分片折网，叠好后回收待用。</w:t>
      </w:r>
    </w:p>
    <w:p>
      <w:pPr>
        <w:autoSpaceDE w:val="0"/>
        <w:autoSpaceDN w:val="0"/>
        <w:ind w:firstLine="480"/>
        <w:jc w:val="left"/>
        <w:rPr>
          <w:rFonts w:eastAsia="仿宋_GB2312"/>
        </w:rPr>
      </w:pPr>
      <w:r>
        <w:rPr>
          <w:rFonts w:hint="eastAsia" w:ascii="宋体" w:hAnsi="宋体" w:eastAsia="宋体" w:cs="宋体"/>
        </w:rPr>
        <w:t>②</w:t>
      </w:r>
      <w:r>
        <w:rPr>
          <w:rFonts w:eastAsia="仿宋_GB2312"/>
        </w:rPr>
        <w:t>彩条旗</w:t>
      </w:r>
      <w:r>
        <w:rPr>
          <w:rFonts w:hint="eastAsia" w:eastAsia="仿宋_GB2312"/>
        </w:rPr>
        <w:t>限界</w:t>
      </w:r>
    </w:p>
    <w:p>
      <w:pPr>
        <w:ind w:firstLine="480"/>
        <w:rPr>
          <w:rFonts w:eastAsia="仿宋_GB2312"/>
        </w:rPr>
      </w:pPr>
      <w:r>
        <w:rPr>
          <w:rFonts w:eastAsia="仿宋_GB2312"/>
        </w:rPr>
        <w:t>在市场上采购满足设计要求的彩条旗及</w:t>
      </w:r>
      <w:r>
        <w:rPr>
          <w:rFonts w:hint="eastAsia" w:eastAsia="仿宋_GB2312"/>
        </w:rPr>
        <w:t>木条</w:t>
      </w:r>
      <w:r>
        <w:rPr>
          <w:rFonts w:eastAsia="仿宋_GB2312"/>
        </w:rPr>
        <w:t>后运输至施工</w:t>
      </w:r>
      <w:r>
        <w:rPr>
          <w:rFonts w:hint="eastAsia" w:eastAsia="仿宋_GB2312"/>
        </w:rPr>
        <w:t>现场</w:t>
      </w:r>
      <w:r>
        <w:rPr>
          <w:rFonts w:eastAsia="仿宋_GB2312"/>
        </w:rPr>
        <w:t>，人工采用皮尺进行测量后，</w:t>
      </w:r>
      <w:r>
        <w:rPr>
          <w:rFonts w:hint="eastAsia" w:eastAsia="仿宋_GB2312"/>
        </w:rPr>
        <w:t>施工边界</w:t>
      </w:r>
      <w:r>
        <w:rPr>
          <w:rFonts w:eastAsia="仿宋_GB2312"/>
        </w:rPr>
        <w:t>每</w:t>
      </w:r>
      <w:r>
        <w:rPr>
          <w:rFonts w:hint="eastAsia" w:eastAsia="仿宋_GB2312"/>
        </w:rPr>
        <w:t>10</w:t>
      </w:r>
      <w:r>
        <w:rPr>
          <w:rFonts w:eastAsia="仿宋_GB2312"/>
        </w:rPr>
        <w:t>m安装一根</w:t>
      </w:r>
      <w:r>
        <w:rPr>
          <w:rFonts w:hint="eastAsia" w:eastAsia="仿宋_GB2312"/>
        </w:rPr>
        <w:t>木条</w:t>
      </w:r>
      <w:r>
        <w:rPr>
          <w:rFonts w:eastAsia="仿宋_GB2312"/>
        </w:rPr>
        <w:t>，人工采用铁锤等工具将</w:t>
      </w:r>
      <w:r>
        <w:rPr>
          <w:rFonts w:hint="eastAsia" w:eastAsia="仿宋_GB2312"/>
        </w:rPr>
        <w:t>木条</w:t>
      </w:r>
      <w:r>
        <w:rPr>
          <w:rFonts w:eastAsia="仿宋_GB2312"/>
        </w:rPr>
        <w:t>钉入地下。固定好</w:t>
      </w:r>
      <w:r>
        <w:rPr>
          <w:rFonts w:hint="eastAsia" w:eastAsia="仿宋_GB2312"/>
        </w:rPr>
        <w:t>木条</w:t>
      </w:r>
      <w:r>
        <w:rPr>
          <w:rFonts w:eastAsia="仿宋_GB2312"/>
        </w:rPr>
        <w:t>后，将彩条旗绑定在</w:t>
      </w:r>
      <w:r>
        <w:rPr>
          <w:rFonts w:hint="eastAsia" w:eastAsia="仿宋_GB2312"/>
        </w:rPr>
        <w:t>木条</w:t>
      </w:r>
      <w:r>
        <w:rPr>
          <w:rFonts w:eastAsia="仿宋_GB2312"/>
        </w:rPr>
        <w:t>上。拆除时，先拆除彩条旗，然后拆除固定</w:t>
      </w:r>
      <w:r>
        <w:rPr>
          <w:rFonts w:hint="eastAsia" w:eastAsia="仿宋_GB2312"/>
        </w:rPr>
        <w:t>木条</w:t>
      </w:r>
      <w:r>
        <w:rPr>
          <w:rFonts w:eastAsia="仿宋_GB2312"/>
        </w:rPr>
        <w:t>。</w:t>
      </w:r>
    </w:p>
    <w:p>
      <w:pPr>
        <w:autoSpaceDE w:val="0"/>
        <w:autoSpaceDN w:val="0"/>
        <w:ind w:firstLine="480"/>
        <w:jc w:val="left"/>
        <w:rPr>
          <w:rFonts w:eastAsia="仿宋_GB2312"/>
        </w:rPr>
      </w:pPr>
      <w:r>
        <w:rPr>
          <w:rFonts w:hint="eastAsia" w:eastAsia="仿宋_GB2312"/>
        </w:rPr>
        <w:t>③</w:t>
      </w:r>
      <w:r>
        <w:rPr>
          <w:rFonts w:eastAsia="仿宋_GB2312"/>
        </w:rPr>
        <w:t>洒水</w:t>
      </w:r>
    </w:p>
    <w:p>
      <w:pPr>
        <w:autoSpaceDE w:val="0"/>
        <w:autoSpaceDN w:val="0"/>
        <w:ind w:firstLine="480"/>
        <w:jc w:val="left"/>
        <w:rPr>
          <w:rFonts w:eastAsia="仿宋_GB2312"/>
        </w:rPr>
      </w:pPr>
      <w:r>
        <w:rPr>
          <w:rFonts w:hint="eastAsia" w:eastAsia="仿宋_GB2312"/>
        </w:rPr>
        <w:t>为减少项目区内施工场地扬尘、在工程施工过程中，对施工区域进行临时洒水防护措施，采用</w:t>
      </w:r>
      <w:r>
        <w:rPr>
          <w:rFonts w:eastAsia="仿宋_GB2312"/>
        </w:rPr>
        <w:t>8m³</w:t>
      </w:r>
      <w:r>
        <w:rPr>
          <w:rFonts w:hint="eastAsia" w:eastAsia="仿宋_GB2312"/>
        </w:rPr>
        <w:t>洒水车洒水。</w:t>
      </w:r>
      <w:r>
        <w:rPr>
          <w:rFonts w:hint="eastAsia" w:eastAsia="仿宋_GB2312"/>
          <w:color w:val="FF0000"/>
        </w:rPr>
        <w:t>洒水水源为团场市政供水管网取水。</w:t>
      </w:r>
    </w:p>
    <w:p>
      <w:pPr>
        <w:ind w:firstLine="480"/>
        <w:rPr>
          <w:rFonts w:eastAsia="仿宋_GB2312"/>
          <w:color w:val="FF0000"/>
        </w:rPr>
      </w:pPr>
      <w:r>
        <w:rPr>
          <w:rFonts w:hint="eastAsia" w:ascii="宋体" w:hAnsi="宋体" w:eastAsia="宋体" w:cs="宋体"/>
          <w:color w:val="FF0000"/>
        </w:rPr>
        <w:t>④</w:t>
      </w:r>
      <w:r>
        <w:rPr>
          <w:rFonts w:eastAsia="仿宋_GB2312"/>
          <w:color w:val="FF0000"/>
        </w:rPr>
        <w:t>设置宣传</w:t>
      </w:r>
      <w:r>
        <w:rPr>
          <w:rFonts w:hint="eastAsia" w:eastAsia="仿宋_GB2312"/>
          <w:color w:val="FF0000"/>
        </w:rPr>
        <w:t>牌</w:t>
      </w:r>
    </w:p>
    <w:p>
      <w:pPr>
        <w:ind w:firstLine="480"/>
        <w:rPr>
          <w:rFonts w:eastAsia="仿宋_GB2312"/>
          <w:color w:val="FF0000"/>
        </w:rPr>
      </w:pPr>
      <w:r>
        <w:rPr>
          <w:rFonts w:eastAsia="仿宋_GB2312"/>
          <w:color w:val="FF0000"/>
        </w:rPr>
        <w:t>项目区制作宣传</w:t>
      </w:r>
      <w:r>
        <w:rPr>
          <w:rFonts w:hint="eastAsia" w:eastAsia="仿宋_GB2312"/>
          <w:color w:val="FF0000"/>
        </w:rPr>
        <w:t>牌</w:t>
      </w:r>
      <w:r>
        <w:rPr>
          <w:rFonts w:eastAsia="仿宋_GB2312"/>
          <w:color w:val="FF0000"/>
        </w:rPr>
        <w:t>，水土保持宣传</w:t>
      </w:r>
      <w:r>
        <w:rPr>
          <w:rFonts w:hint="eastAsia" w:eastAsia="仿宋_GB2312"/>
          <w:color w:val="FF0000"/>
        </w:rPr>
        <w:t>牌</w:t>
      </w:r>
      <w:r>
        <w:rPr>
          <w:rFonts w:eastAsia="仿宋_GB2312"/>
          <w:color w:val="FF0000"/>
        </w:rPr>
        <w:t>上注明项目名称、建设单位、现场联系人及联系电话、水土保持方案批复文号、水土保持监督执法单位及监督电话。严禁对施工场地外地表进行破坏。</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水土保持措施进度安排</w:t>
      </w:r>
    </w:p>
    <w:p>
      <w:pPr>
        <w:ind w:firstLine="480"/>
        <w:rPr>
          <w:rFonts w:eastAsia="仿宋_GB2312"/>
          <w:color w:val="000000"/>
        </w:rPr>
      </w:pPr>
      <w:r>
        <w:rPr>
          <w:rFonts w:eastAsia="仿宋_GB2312"/>
          <w:color w:val="000000"/>
        </w:rPr>
        <w:t>根据“三同时”制度要求，水土保持工程实施进度应与主体工程同步，各项水土保持措施的实施要与主体工程的施工进度相协调。实施过程中结合主体工程及其施工特点、本地区的气候特点及植物的生物学、生态学特性，利用主体工程的施工条件布设水土保持措施，本着合理使用资金、劳力、材料和机械设备，保证水土保持工程的施工进度和工程质量。</w:t>
      </w:r>
    </w:p>
    <w:p>
      <w:pPr>
        <w:ind w:firstLine="480"/>
        <w:rPr>
          <w:rFonts w:eastAsia="仿宋_GB2312"/>
        </w:rPr>
      </w:pPr>
      <w:r>
        <w:rPr>
          <w:rFonts w:eastAsia="仿宋_GB2312"/>
        </w:rPr>
        <w:t>参照主体工程的施工进度和时序，本次水土保持工程措施计划与主体工程相配合，同时开工，工程措施、临时措施与主体工程同时完工。水土保持措施实施进度安排见表5.4-1。</w:t>
      </w:r>
    </w:p>
    <w:p>
      <w:pPr>
        <w:pStyle w:val="197"/>
        <w:ind w:firstLine="482"/>
        <w:jc w:val="center"/>
        <w:rPr>
          <w:rFonts w:ascii="Times New Roman" w:hAnsi="Times New Roman" w:eastAsia="仿宋_GB2312"/>
          <w:b/>
          <w:color w:val="000000"/>
          <w:szCs w:val="24"/>
        </w:rPr>
        <w:sectPr>
          <w:pgSz w:w="11906" w:h="16838"/>
          <w:pgMar w:top="1440" w:right="1803" w:bottom="1440" w:left="1803" w:header="851" w:footer="992" w:gutter="0"/>
          <w:cols w:space="720" w:num="1"/>
          <w:docGrid w:linePitch="326" w:charSpace="0"/>
        </w:sectPr>
      </w:pPr>
    </w:p>
    <w:p>
      <w:pPr>
        <w:pStyle w:val="197"/>
        <w:ind w:firstLine="482"/>
        <w:jc w:val="center"/>
        <w:rPr>
          <w:rFonts w:ascii="Times New Roman" w:hAnsi="Times New Roman" w:eastAsia="仿宋_GB2312"/>
          <w:b/>
          <w:color w:val="000000"/>
          <w:szCs w:val="24"/>
        </w:rPr>
      </w:pPr>
      <w:r>
        <w:rPr>
          <w:rFonts w:ascii="Times New Roman" w:hAnsi="Times New Roman" w:eastAsia="仿宋_GB2312"/>
          <w:b/>
          <w:color w:val="000000"/>
          <w:szCs w:val="24"/>
        </w:rPr>
        <w:t>表5.4-1   水土保持措施实施进度表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61"/>
        <w:gridCol w:w="1759"/>
        <w:gridCol w:w="2998"/>
        <w:gridCol w:w="29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80" w:type="pct"/>
            <w:gridSpan w:val="2"/>
            <w:vMerge w:val="restart"/>
            <w:vAlign w:val="center"/>
          </w:tcPr>
          <w:p>
            <w:pPr>
              <w:widowControl/>
              <w:spacing w:line="0" w:lineRule="atLeast"/>
              <w:ind w:firstLine="0" w:firstLineChars="0"/>
              <w:jc w:val="center"/>
              <w:rPr>
                <w:rFonts w:eastAsia="仿宋_GB2312"/>
                <w:sz w:val="21"/>
                <w:szCs w:val="21"/>
              </w:rPr>
            </w:pPr>
            <w:r>
              <w:rPr>
                <w:rFonts w:eastAsia="仿宋_GB2312"/>
                <w:sz w:val="21"/>
                <w:szCs w:val="21"/>
              </w:rPr>
              <w:t>工程名称</w:t>
            </w:r>
          </w:p>
        </w:tc>
        <w:tc>
          <w:tcPr>
            <w:tcW w:w="3520" w:type="pct"/>
            <w:gridSpan w:val="2"/>
            <w:vAlign w:val="center"/>
          </w:tcPr>
          <w:p>
            <w:pPr>
              <w:spacing w:line="0" w:lineRule="atLeast"/>
              <w:ind w:firstLine="0" w:firstLineChars="0"/>
              <w:jc w:val="center"/>
              <w:rPr>
                <w:rFonts w:eastAsia="仿宋_GB2312"/>
                <w:sz w:val="21"/>
                <w:szCs w:val="21"/>
              </w:rPr>
            </w:pPr>
            <w:r>
              <w:rPr>
                <w:rFonts w:eastAsia="仿宋_GB2312"/>
                <w:sz w:val="21"/>
                <w:szCs w:val="21"/>
              </w:rPr>
              <w:t>20</w:t>
            </w:r>
            <w:r>
              <w:rPr>
                <w:rFonts w:hint="eastAsia" w:eastAsia="仿宋_GB2312"/>
                <w:sz w:val="21"/>
                <w:szCs w:val="21"/>
              </w:rPr>
              <w:t>20</w:t>
            </w:r>
            <w:r>
              <w:rPr>
                <w:rFonts w:eastAsia="仿宋_GB2312"/>
                <w:sz w:val="21"/>
                <w:szCs w:val="21"/>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80" w:type="pct"/>
            <w:gridSpan w:val="2"/>
            <w:vMerge w:val="continue"/>
            <w:vAlign w:val="center"/>
          </w:tcPr>
          <w:p>
            <w:pPr>
              <w:spacing w:line="0" w:lineRule="atLeast"/>
              <w:ind w:firstLine="420"/>
              <w:jc w:val="center"/>
              <w:rPr>
                <w:rFonts w:eastAsia="仿宋_GB2312"/>
                <w:sz w:val="21"/>
                <w:szCs w:val="21"/>
              </w:rPr>
            </w:pPr>
          </w:p>
        </w:tc>
        <w:tc>
          <w:tcPr>
            <w:tcW w:w="1760"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11</w:t>
            </w:r>
          </w:p>
        </w:tc>
        <w:tc>
          <w:tcPr>
            <w:tcW w:w="1760"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7" w:type="pct"/>
            <w:vMerge w:val="restart"/>
            <w:vAlign w:val="center"/>
          </w:tcPr>
          <w:p>
            <w:pPr>
              <w:spacing w:line="0" w:lineRule="atLeast"/>
              <w:ind w:firstLine="0" w:firstLineChars="0"/>
              <w:jc w:val="center"/>
              <w:rPr>
                <w:rFonts w:eastAsia="仿宋_GB2312"/>
                <w:sz w:val="21"/>
                <w:szCs w:val="21"/>
              </w:rPr>
            </w:pPr>
            <w:r>
              <w:rPr>
                <w:rFonts w:hint="eastAsia" w:eastAsia="仿宋_GB2312"/>
                <w:sz w:val="21"/>
                <w:szCs w:val="21"/>
              </w:rPr>
              <w:t>管道工程区</w:t>
            </w:r>
          </w:p>
        </w:tc>
        <w:tc>
          <w:tcPr>
            <w:tcW w:w="1033" w:type="pct"/>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施工准备期</w:t>
            </w:r>
          </w:p>
        </w:tc>
        <w:tc>
          <w:tcPr>
            <w:tcW w:w="1760" w:type="pct"/>
            <w:vAlign w:val="center"/>
          </w:tcPr>
          <w:p>
            <w:pPr>
              <w:spacing w:line="0" w:lineRule="atLeast"/>
              <w:ind w:firstLine="420"/>
              <w:jc w:val="center"/>
              <w:rPr>
                <w:rFonts w:eastAsia="仿宋_GB2312"/>
                <w:sz w:val="21"/>
                <w:szCs w:val="21"/>
                <w:highlight w:val="yellow"/>
              </w:rPr>
            </w:pPr>
            <w:r>
              <w:rPr>
                <w:rFonts w:eastAsia="仿宋_GB2312"/>
                <w:sz w:val="21"/>
                <w:szCs w:val="21"/>
                <w:highlight w:val="yellow"/>
              </w:rPr>
              <w:pict>
                <v:line id="直接连接符 230" o:spid="_x0000_s1038" o:spt="20" style="position:absolute;left:0pt;margin-left:-0.35pt;margin-top:5.4pt;height:0pt;width:18.75pt;z-index:254262272;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kQb2wEAAHgDAAAOAAAAZHJzL2Uyb0RvYy54bWysU82O0zAQviPxDpbvNGlXoFXUdA+tlssC&#10;lXZ5gKntJBaOx7LdJn0JXgCJG5w4cudtWB6DsfvDsntD5DDyeGY+z/fNZH419obtlA8abc2nk5Iz&#10;ZQVKbduav7+7fnHJWYhgJRi0quZ7FfjV4vmz+eAqNcMOjVSeEYgN1eBq3sXoqqIIolM9hAk6ZSnY&#10;oO8hkuvbQnoYCL03xawsXxUDeuk8ChUC3a4OQb7I+E2jRHzXNEFFZmpOvcVsfbabZIvFHKrWg+u0&#10;OLYB/9BFD9rSo2eoFURgW6+fQPVaeAzYxInAvsCm0UJlDsRmWj5ic9uBU5kLiRPcWabw/2DF293a&#10;My1rPrsgfSz0NKT7T99/fvzy68dnsvffvrIUIqEGFyrKX9q1T1TFaG/dDYoPgVlcdmBblRu+2zvC&#10;mKaK4q+S5ARHz22GNygpB7YRs2pj4/sESXqwMQ9nfx6OGiMTdDm7uJzOXnImTqECqlOd8yG+Vtiz&#10;dKi50TbJBhXsbkJMfUB1SknXFq+1MXn0xrKh5gRdlrkioNEyRVNe8O1maTzbQdqe/GVWFHmYlqBX&#10;ELpDnqTTYa08bq08vG7sUYzE/6DkBuV+7U8i0Xhzm8dVTPvz0M/Vf36YxW8AAAD//wMAUEsDBBQA&#10;BgAIAAAAIQBhPgLl2wAAAAYBAAAPAAAAZHJzL2Rvd25yZXYueG1sTI9PS8NAEMXvgt9hmYK3drcV&#10;qsRsSil4EgrGP8XbNjsmodmZkN22sZ/eEQ96Gt68x5vf5KsxdOqEQ2yZLMxnBhRSxb6l2sLry+P0&#10;HlRMjrzrmNDCF0ZYFddXucs8n+kZT2WqlZRQzJyFJqU+0zpWDQYXZ9wjiffJQ3BJ5FBrP7izlIdO&#10;L4xZ6uBakguN63HTYHUoj8HCe7vY0ttlZ7aXAzPvhvJp/rGx9mYyrh9AJRzTXxh+8AUdCmHa85F8&#10;VJ2F6Z0EZW3kAbFvlzL3v1oXuf6PX3wDAAD//wMAUEsBAi0AFAAGAAgAAAAhALaDOJL+AAAA4QEA&#10;ABMAAAAAAAAAAAAAAAAAAAAAAFtDb250ZW50X1R5cGVzXS54bWxQSwECLQAUAAYACAAAACEAOP0h&#10;/9YAAACUAQAACwAAAAAAAAAAAAAAAAAvAQAAX3JlbHMvLnJlbHNQSwECLQAUAAYACAAAACEA4/ZE&#10;G9sBAAB4AwAADgAAAAAAAAAAAAAAAAAuAgAAZHJzL2Uyb0RvYy54bWxQSwECLQAUAAYACAAAACEA&#10;YT4C5dsAAAAGAQAADwAAAAAAAAAAAAAAAAA1BAAAZHJzL2Rvd25yZXYueG1sUEsFBgAAAAAEAAQA&#10;8wAAAD0FAAAAAA==&#10;">
                  <v:path arrowok="t"/>
                  <v:fill focussize="0,0"/>
                  <v:stroke weight="3pt" dashstyle="dash"/>
                  <v:imagedata o:title=""/>
                  <o:lock v:ext="edit"/>
                </v:line>
              </w:pict>
            </w:r>
          </w:p>
        </w:tc>
        <w:tc>
          <w:tcPr>
            <w:tcW w:w="1760" w:type="pct"/>
            <w:vAlign w:val="center"/>
          </w:tcPr>
          <w:p>
            <w:pPr>
              <w:spacing w:line="0" w:lineRule="atLeast"/>
              <w:ind w:firstLine="420"/>
              <w:jc w:val="center"/>
              <w:rPr>
                <w:rFonts w:eastAsia="仿宋_GB2312"/>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7" w:type="pct"/>
            <w:vMerge w:val="continue"/>
            <w:vAlign w:val="center"/>
          </w:tcPr>
          <w:p>
            <w:pPr>
              <w:widowControl/>
              <w:spacing w:line="0" w:lineRule="atLeast"/>
              <w:ind w:firstLine="0" w:firstLineChars="0"/>
              <w:jc w:val="center"/>
              <w:rPr>
                <w:rFonts w:eastAsia="仿宋_GB2312"/>
                <w:sz w:val="21"/>
                <w:szCs w:val="21"/>
              </w:rPr>
            </w:pPr>
          </w:p>
        </w:tc>
        <w:tc>
          <w:tcPr>
            <w:tcW w:w="1033" w:type="pct"/>
            <w:vAlign w:val="center"/>
          </w:tcPr>
          <w:p>
            <w:pPr>
              <w:widowControl/>
              <w:spacing w:line="0" w:lineRule="atLeast"/>
              <w:ind w:firstLine="0" w:firstLineChars="0"/>
              <w:jc w:val="center"/>
              <w:rPr>
                <w:rFonts w:eastAsia="仿宋_GB2312"/>
                <w:sz w:val="21"/>
                <w:szCs w:val="21"/>
              </w:rPr>
            </w:pPr>
            <w:r>
              <w:rPr>
                <w:rFonts w:eastAsia="仿宋_GB2312"/>
                <w:sz w:val="21"/>
                <w:szCs w:val="21"/>
              </w:rPr>
              <w:t>主体工程</w:t>
            </w:r>
            <w:r>
              <w:rPr>
                <w:rFonts w:hint="eastAsia" w:eastAsia="仿宋_GB2312"/>
                <w:sz w:val="21"/>
                <w:szCs w:val="21"/>
              </w:rPr>
              <w:t>建设期</w:t>
            </w:r>
          </w:p>
        </w:tc>
        <w:tc>
          <w:tcPr>
            <w:tcW w:w="1760" w:type="pct"/>
            <w:vAlign w:val="center"/>
          </w:tcPr>
          <w:p>
            <w:pPr>
              <w:spacing w:line="0" w:lineRule="atLeast"/>
              <w:ind w:firstLine="420"/>
              <w:jc w:val="center"/>
              <w:rPr>
                <w:rFonts w:eastAsia="仿宋_GB2312"/>
                <w:sz w:val="21"/>
                <w:szCs w:val="21"/>
                <w:highlight w:val="yellow"/>
              </w:rPr>
            </w:pPr>
            <w:r>
              <w:rPr>
                <w:rFonts w:eastAsia="仿宋_GB2312"/>
                <w:sz w:val="21"/>
                <w:szCs w:val="21"/>
                <w:highlight w:val="yellow"/>
              </w:rPr>
              <w:pict>
                <v:line id="直接连接符 232" o:spid="_x0000_s1037" o:spt="20" style="position:absolute;left:0pt;margin-left:24.05pt;margin-top:3.2pt;height:0pt;width:210.75pt;z-index:254303232;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z13QEAAHkDAAAOAAAAZHJzL2Uyb0RvYy54bWysU82O0zAQviPxDpbvNGlWW1ZR0z20Wi4L&#10;VNrlAaa201g4Hst2m/YleAEkbnDiyJ232eUxGLs/LHBD5DDy/H0z881ker3rDdsqHzTaho9HJWfK&#10;CpTarhv+7v7mxRVnIYKVYNCqhu9V4Nez58+mg6tVhR0aqTwjEBvqwTW8i9HVRRFEp3oII3TKkrNF&#10;30Mk1a8L6WEg9N4UVVlOigG9dB6FCoGsi4OTzzJ+2yoR37ZtUJGZhlNvMUuf5SrJYjaFeu3BdVoc&#10;24B/6KIHbanoGWoBEdjG67+gei08BmzjSGBfYNtqofIMNM24/GOauw6cyrMQOcGdaQr/D1a82S49&#10;07Lh1UXFmYWelvT48dvDh88/vn8i+fj1C0suImpwoab4uV36NKrY2Tt3i+J9YBbnHdi1yg3f7x1h&#10;jFNG8VtKUoKjcqvhNUqKgU3EzNqu9X2CJD7YLi9nf16O2kUmyFhNXk4uq0vOxMlXQH1KdD7EVwp7&#10;lh4NN9om3qCG7W2IqRGoTyHJbPFGG5N3bywbGn5xNS7LnBHQaJm8KS749WpuPNtCOp/85bHI8zQs&#10;QS8gdIc4Sa/DXXncWHmobuyRjUTAgcoVyv3Sn1ii/eY2j7eYDuipnrN//TGznwAAAP//AwBQSwME&#10;FAAGAAgAAAAhAJEEbq7bAAAABgEAAA8AAABkcnMvZG93bnJldi54bWxMjsFKw0AURfeC/zA8wZ2d&#10;pIRQYyalFFwJBaO1uJtmXpPQzHthZtrGfr2jG11e7uXcUy4nO4gzOt8zKUhnCQikhk1PrYL3t+eH&#10;BQgfNBk9MKGCL/SwrG5vSl0YvtArnuvQigghX2gFXQhjIaVvOrTaz3hEit2BndUhRtdK4/Qlwu0g&#10;50mSS6t7ig+dHnHdYXOsT1bBRz/f0Pa6SzbXIzPvXP2Sfq6Vur+bVk8gAk7hbww/+lEdqui05xMZ&#10;LwYF2SKNSwV5BiLWWf6Yg9j/ZlmV8r9+9Q0AAP//AwBQSwECLQAUAAYACAAAACEAtoM4kv4AAADh&#10;AQAAEwAAAAAAAAAAAAAAAAAAAAAAW0NvbnRlbnRfVHlwZXNdLnhtbFBLAQItABQABgAIAAAAIQA4&#10;/SH/1gAAAJQBAAALAAAAAAAAAAAAAAAAAC8BAABfcmVscy8ucmVsc1BLAQItABQABgAIAAAAIQAR&#10;Q4z13QEAAHkDAAAOAAAAAAAAAAAAAAAAAC4CAABkcnMvZTJvRG9jLnhtbFBLAQItABQABgAIAAAA&#10;IQCRBG6u2wAAAAYBAAAPAAAAAAAAAAAAAAAAADcEAABkcnMvZG93bnJldi54bWxQSwUGAAAAAAQA&#10;BADzAAAAPwUAAAAA&#10;">
                  <v:path arrowok="t"/>
                  <v:fill focussize="0,0"/>
                  <v:stroke weight="3pt" dashstyle="dash"/>
                  <v:imagedata o:title=""/>
                  <o:lock v:ext="edit"/>
                </v:line>
              </w:pict>
            </w:r>
          </w:p>
        </w:tc>
        <w:tc>
          <w:tcPr>
            <w:tcW w:w="1760" w:type="pct"/>
            <w:vAlign w:val="center"/>
          </w:tcPr>
          <w:p>
            <w:pPr>
              <w:spacing w:line="0" w:lineRule="atLeast"/>
              <w:ind w:firstLine="420"/>
              <w:jc w:val="center"/>
              <w:rPr>
                <w:rFonts w:eastAsia="仿宋_GB2312"/>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7" w:type="pct"/>
            <w:vMerge w:val="continue"/>
            <w:vAlign w:val="center"/>
          </w:tcPr>
          <w:p>
            <w:pPr>
              <w:widowControl/>
              <w:spacing w:line="0" w:lineRule="atLeast"/>
              <w:ind w:firstLine="0" w:firstLineChars="0"/>
              <w:jc w:val="center"/>
              <w:rPr>
                <w:rFonts w:eastAsia="仿宋_GB2312"/>
                <w:sz w:val="21"/>
                <w:szCs w:val="21"/>
              </w:rPr>
            </w:pPr>
          </w:p>
        </w:tc>
        <w:tc>
          <w:tcPr>
            <w:tcW w:w="1033" w:type="pct"/>
            <w:vAlign w:val="center"/>
          </w:tcPr>
          <w:p>
            <w:pPr>
              <w:widowControl/>
              <w:spacing w:line="0" w:lineRule="atLeast"/>
              <w:ind w:firstLine="0" w:firstLineChars="0"/>
              <w:jc w:val="center"/>
              <w:rPr>
                <w:rFonts w:eastAsia="仿宋_GB2312"/>
                <w:sz w:val="21"/>
                <w:szCs w:val="21"/>
              </w:rPr>
            </w:pPr>
            <w:r>
              <w:rPr>
                <w:rFonts w:eastAsia="仿宋_GB2312"/>
                <w:sz w:val="21"/>
                <w:szCs w:val="21"/>
              </w:rPr>
              <w:t>工程措施</w:t>
            </w:r>
          </w:p>
        </w:tc>
        <w:tc>
          <w:tcPr>
            <w:tcW w:w="1760" w:type="pct"/>
            <w:vAlign w:val="center"/>
          </w:tcPr>
          <w:p>
            <w:pPr>
              <w:spacing w:line="0" w:lineRule="atLeast"/>
              <w:ind w:firstLine="420"/>
              <w:jc w:val="center"/>
              <w:rPr>
                <w:rFonts w:eastAsia="仿宋_GB2312"/>
                <w:sz w:val="21"/>
                <w:szCs w:val="21"/>
                <w:highlight w:val="yellow"/>
              </w:rPr>
            </w:pPr>
            <w:r>
              <w:rPr>
                <w:rFonts w:eastAsia="仿宋_GB2312"/>
                <w:sz w:val="21"/>
                <w:szCs w:val="21"/>
                <w:highlight w:val="yellow"/>
              </w:rPr>
              <w:pict>
                <v:line id="直接连接符 238" o:spid="_x0000_s1036" o:spt="20" style="position:absolute;left:0pt;margin-left:90.25pt;margin-top:6.15pt;height:0pt;width:144.75pt;z-index:254305280;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JI0QEAAGEDAAAOAAAAZHJzL2Uyb0RvYy54bWysU82O0zAQviPxDpbvNEkrUBU13UNXy2WB&#10;Srs8wNRxGgvbY9luk74EL4DEDU4cufM2LI/B2P1hgRsih1E8P5/n+2a8uBqNZnvpg0Lb8GpSciat&#10;wFbZbcPf3t88m3MWItgWNFrZ8IMM/Gr59MlicLWcYo+6lZ4RiA314Brex+jqogiilwbCBJ20FOzQ&#10;G4h09Nui9TAQutHFtCxfFAP61nkUMgTyXh+DfJnxu06K+KbrgoxMN5x6i9n6bDfJFssF1FsPrlfi&#10;1Ab8QxcGlKVLL1DXEIHtvPoLyijhMWAXJwJNgV2nhMwciE1V/sHmrgcnMxcSJ7iLTOH/wYrX+7Vn&#10;qm34dEajsmBoSA8fvn5//+nHt49kH758ZilEQg0u1JS/smufqIrR3rlbFO8Cs7jqwW5lbvj+4Aij&#10;ShXFbyXpEBxdtxleYUs5sIuYVRs7bxIk6cHGPJzDZThyjEyQs5rP5rPpc87EOVZAfS50PsSXEg1L&#10;Pw3XyibdoIb9bYipEajPKclt8UZpnWevLRsaPptXZZkrAmrVpmjKC367WWnP9pDWJ3+ZFkUep3nc&#10;2fZ4i7Yn1onoUbINtoe1P6tBc8ztnHYuLcrjc67+9TKWPwEAAP//AwBQSwMEFAAGAAgAAAAhAIhk&#10;uUzaAAAACQEAAA8AAABkcnMvZG93bnJldi54bWxMj81OwzAQhO9IvIO1SL1Ruz9ACHEqhNQbHCg8&#10;wDY2ccBeR7bbBp6eRRzgtrM7mv2m2UzBi6NNeYikYTFXICx10QzUa3h92V5WIHJBMugjWQ2fNsOm&#10;PT9rsDbxRM/2uCu94BDKNWpwpYy1lLlzNmCex9ES395iClhYpl6ahCcOD14ulbqWAQfiDw5H++Bs&#10;97E7BA2P68Xtk5JuXFXGo3z/6rJPWevZxXR/B6LYqfyZ4Qef0aFlpn08kMnCs67UFVt5WK5AsGF9&#10;o7jc/nch20b+b9B+AwAA//8DAFBLAQItABQABgAIAAAAIQC2gziS/gAAAOEBAAATAAAAAAAAAAAA&#10;AAAAAAAAAABbQ29udGVudF9UeXBlc10ueG1sUEsBAi0AFAAGAAgAAAAhADj9If/WAAAAlAEAAAsA&#10;AAAAAAAAAAAAAAAALwEAAF9yZWxzLy5yZWxzUEsBAi0AFAAGAAgAAAAhAGmg4kjRAQAAYQMAAA4A&#10;AAAAAAAAAAAAAAAALgIAAGRycy9lMm9Eb2MueG1sUEsBAi0AFAAGAAgAAAAhAIhkuUzaAAAACQEA&#10;AA8AAAAAAAAAAAAAAAAAKwQAAGRycy9kb3ducmV2LnhtbFBLBQYAAAAABAAEAPMAAAAyBQAAAAA=&#10;">
                  <v:path arrowok="t"/>
                  <v:fill focussize="0,0"/>
                  <v:stroke weight="3pt"/>
                  <v:imagedata o:title=""/>
                  <o:lock v:ext="edit"/>
                </v:line>
              </w:pict>
            </w:r>
          </w:p>
        </w:tc>
        <w:tc>
          <w:tcPr>
            <w:tcW w:w="1760" w:type="pct"/>
            <w:vAlign w:val="center"/>
          </w:tcPr>
          <w:p>
            <w:pPr>
              <w:spacing w:line="0" w:lineRule="atLeast"/>
              <w:ind w:firstLine="420"/>
              <w:jc w:val="center"/>
              <w:rPr>
                <w:rFonts w:eastAsia="仿宋_GB2312"/>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7" w:type="pct"/>
            <w:vMerge w:val="continue"/>
            <w:vAlign w:val="center"/>
          </w:tcPr>
          <w:p>
            <w:pPr>
              <w:widowControl/>
              <w:spacing w:line="0" w:lineRule="atLeast"/>
              <w:ind w:firstLine="0" w:firstLineChars="0"/>
              <w:jc w:val="center"/>
              <w:rPr>
                <w:rFonts w:eastAsia="仿宋_GB2312"/>
                <w:sz w:val="21"/>
                <w:szCs w:val="21"/>
              </w:rPr>
            </w:pPr>
          </w:p>
        </w:tc>
        <w:tc>
          <w:tcPr>
            <w:tcW w:w="1033" w:type="pct"/>
            <w:vAlign w:val="center"/>
          </w:tcPr>
          <w:p>
            <w:pPr>
              <w:spacing w:line="0" w:lineRule="atLeast"/>
              <w:ind w:firstLine="0" w:firstLineChars="0"/>
              <w:jc w:val="center"/>
              <w:rPr>
                <w:rFonts w:eastAsia="仿宋_GB2312"/>
                <w:sz w:val="21"/>
                <w:szCs w:val="21"/>
              </w:rPr>
            </w:pPr>
            <w:r>
              <w:rPr>
                <w:rFonts w:eastAsia="仿宋_GB2312"/>
                <w:sz w:val="21"/>
                <w:szCs w:val="21"/>
              </w:rPr>
              <w:t>临时措施</w:t>
            </w:r>
          </w:p>
        </w:tc>
        <w:tc>
          <w:tcPr>
            <w:tcW w:w="1760" w:type="pct"/>
            <w:vAlign w:val="center"/>
          </w:tcPr>
          <w:p>
            <w:pPr>
              <w:spacing w:line="0" w:lineRule="atLeast"/>
              <w:ind w:firstLine="420"/>
              <w:jc w:val="center"/>
              <w:rPr>
                <w:rFonts w:eastAsia="仿宋_GB2312"/>
                <w:sz w:val="21"/>
                <w:szCs w:val="21"/>
                <w:highlight w:val="yellow"/>
              </w:rPr>
            </w:pPr>
            <w:r>
              <w:rPr>
                <w:rFonts w:eastAsia="仿宋_GB2312"/>
                <w:sz w:val="21"/>
                <w:szCs w:val="21"/>
                <w:highlight w:val="yellow"/>
              </w:rPr>
              <w:pict>
                <v:line id="直接连接符 243" o:spid="_x0000_s1035" o:spt="20" style="position:absolute;left:0pt;margin-left:29.3pt;margin-top:3.95pt;height:0pt;width:206.25pt;z-index:254307328;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t60wEAAGEDAAAOAAAAZHJzL2Uyb0RvYy54bWysU82O0zAQviPxDpbvNEkLy27UdA9dLZcF&#10;Ku3yAFPbSSxsj2W7TfoSvAASNzhx5M7bsDwGtvuzC9wQOYzi+fk83zfj+eWoFdkK5yWahlaTkhJh&#10;GHJpuoa+u7t+dk6JD2A4KDSioTvh6eXi6ZP5YGsxxR4VF45EEOPrwTa0D8HWReFZLzT4CVphYrBF&#10;pyHEo+sK7mCI6FoV07I8KwZ03DpkwvvovdoH6SLjt61g4W3behGIamjsLWTrsl0nWyzmUHcObC/Z&#10;oQ34hy40SBMvPUFdQQCycfIvKC2ZQ49tmDDUBbatZCJziGyq8g82tz1YkblEcbw9yeT/Hyx7s105&#10;InlDp89nlBjQcUj3H7/9+PD55/dP0d5//UJSKAo1WF/H/KVZuUSVjebW3iB774nBZQ+mE7nhu52N&#10;GFWqKH4rSQdv43Xr4TXymAObgFm1sXU6QUY9yJiHszsNR4yBsOicnlUXs5cvKGHHWAH1sdA6H14J&#10;1CT9NFRJk3SDGrY3PqRGoD6mJLfBa6lUnr0yZGjo7Lwqy1zhUUmeoinPu269VI5sIa1P/jKtGHmc&#10;5nBj+P4WZQ6sE9G9ZGvku5U7qhHnmNs57FxalMfnXP3wMha/AAAA//8DAFBLAwQUAAYACAAAACEA&#10;84QCANgAAAAGAQAADwAAAGRycy9kb3ducmV2LnhtbEyOwU7DMBBE70j8g7VI3KgTKG2axqkQEjc4&#10;UPiAbbzEKfY6st028PUYLuU4mtGb12wmZ8WRQhw8KyhnBQjizuuBewXvb083FYiYkDVaz6TgiyJs&#10;2suLBmvtT/xKx23qRYZwrFGBSWmspYydIYdx5kfi3H344DDlGHqpA54y3Fl5WxQL6XDg/GBwpEdD&#10;3ef24BQ8z8vVSyHNeFdpi3L/3UUbolLXV9PDGkSiKZ3H8Kuf1aHNTjt/YB2FVXBfLfJSwXIFItfz&#10;ZVmC2P1l2Tbyv377AwAA//8DAFBLAQItABQABgAIAAAAIQC2gziS/gAAAOEBAAATAAAAAAAAAAAA&#10;AAAAAAAAAABbQ29udGVudF9UeXBlc10ueG1sUEsBAi0AFAAGAAgAAAAhADj9If/WAAAAlAEAAAsA&#10;AAAAAAAAAAAAAAAALwEAAF9yZWxzLy5yZWxzUEsBAi0AFAAGAAgAAAAhAHBJy3rTAQAAYQMAAA4A&#10;AAAAAAAAAAAAAAAALgIAAGRycy9lMm9Eb2MueG1sUEsBAi0AFAAGAAgAAAAhAPOEAgDYAAAABgEA&#10;AA8AAAAAAAAAAAAAAAAALQQAAGRycy9kb3ducmV2LnhtbFBLBQYAAAAABAAEAPMAAAAyBQAAAAA=&#10;">
                  <v:path arrowok="t"/>
                  <v:fill focussize="0,0"/>
                  <v:stroke weight="3pt"/>
                  <v:imagedata o:title=""/>
                  <o:lock v:ext="edit"/>
                </v:line>
              </w:pict>
            </w:r>
          </w:p>
        </w:tc>
        <w:tc>
          <w:tcPr>
            <w:tcW w:w="1760" w:type="pct"/>
            <w:vAlign w:val="center"/>
          </w:tcPr>
          <w:p>
            <w:pPr>
              <w:spacing w:line="0" w:lineRule="atLeast"/>
              <w:ind w:firstLine="420"/>
              <w:jc w:val="center"/>
              <w:rPr>
                <w:rFonts w:eastAsia="仿宋_GB2312"/>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7" w:type="pct"/>
            <w:vMerge w:val="continue"/>
            <w:vAlign w:val="center"/>
          </w:tcPr>
          <w:p>
            <w:pPr>
              <w:widowControl/>
              <w:spacing w:line="0" w:lineRule="atLeast"/>
              <w:ind w:firstLine="0" w:firstLineChars="0"/>
              <w:jc w:val="center"/>
              <w:rPr>
                <w:rFonts w:eastAsia="仿宋_GB2312"/>
                <w:sz w:val="21"/>
                <w:szCs w:val="21"/>
              </w:rPr>
            </w:pPr>
          </w:p>
        </w:tc>
        <w:tc>
          <w:tcPr>
            <w:tcW w:w="1033" w:type="pct"/>
            <w:vAlign w:val="center"/>
          </w:tcPr>
          <w:p>
            <w:pPr>
              <w:spacing w:line="0" w:lineRule="atLeast"/>
              <w:ind w:firstLine="0" w:firstLineChars="0"/>
              <w:jc w:val="center"/>
              <w:rPr>
                <w:rFonts w:eastAsia="仿宋_GB2312"/>
                <w:sz w:val="21"/>
                <w:szCs w:val="21"/>
              </w:rPr>
            </w:pPr>
            <w:r>
              <w:rPr>
                <w:rFonts w:hint="eastAsia" w:eastAsia="仿宋_GB2312"/>
                <w:sz w:val="21"/>
                <w:szCs w:val="21"/>
              </w:rPr>
              <w:t>验收</w:t>
            </w:r>
          </w:p>
        </w:tc>
        <w:tc>
          <w:tcPr>
            <w:tcW w:w="1760" w:type="pct"/>
            <w:vAlign w:val="center"/>
          </w:tcPr>
          <w:p>
            <w:pPr>
              <w:spacing w:line="0" w:lineRule="atLeast"/>
              <w:ind w:firstLine="420"/>
              <w:jc w:val="center"/>
              <w:rPr>
                <w:rFonts w:eastAsia="仿宋_GB2312"/>
                <w:sz w:val="21"/>
                <w:szCs w:val="21"/>
                <w:highlight w:val="yellow"/>
              </w:rPr>
            </w:pPr>
          </w:p>
        </w:tc>
        <w:tc>
          <w:tcPr>
            <w:tcW w:w="1760" w:type="pct"/>
            <w:vAlign w:val="center"/>
          </w:tcPr>
          <w:p>
            <w:pPr>
              <w:spacing w:line="0" w:lineRule="atLeast"/>
              <w:ind w:firstLine="420"/>
              <w:jc w:val="center"/>
              <w:rPr>
                <w:rFonts w:eastAsia="仿宋_GB2312"/>
                <w:sz w:val="21"/>
                <w:szCs w:val="21"/>
                <w:highlight w:val="yellow"/>
              </w:rPr>
            </w:pPr>
            <w:r>
              <w:rPr>
                <w:rFonts w:eastAsia="仿宋_GB2312"/>
                <w:sz w:val="21"/>
                <w:szCs w:val="21"/>
                <w:highlight w:val="yellow"/>
              </w:rPr>
              <w:pict>
                <v:line id="直接连接符 26" o:spid="_x0000_s1034" o:spt="20" style="position:absolute;left:0pt;margin-left:111.15pt;margin-top:6.4pt;height:0pt;width:27pt;z-index:254309376;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98i1wEAAHYDAAAOAAAAZHJzL2Uyb0RvYy54bWysU8GO0zAQvSPxD5bvNGlBqyVquodWy2WB&#10;Srt8wNR2EgvHY9lu0/4EP4DEDU4cufM3u3wGY6ctsNwQOYw8npnneW8m86t9b9hO+aDR1nw6KTlT&#10;VqDUtq35u7vrZ5echQhWgkGran5QgV8tnj6ZD65SM+zQSOUZgdhQDa7mXYyuKoogOtVDmKBTloIN&#10;+h4iub4tpIeB0HtTzMryohjQS+dRqBDodjUG+SLjN40S8W3TBBWZqTn1FrP12W6SLRZzqFoPrtPi&#10;2Ab8Qxc9aEuPnqFWEIFtvf4LqtfCY8AmTgT2BTaNFipzIDbT8hGb2w6cylxInODOMoX/Byve7Nae&#10;aVnz2QVnFnqa0cPHb/cfPv/4/onsw9cvjCIk0+BCRdlLu/aJqNjbW3eD4n1gFpcd2Fbldu8OjiCm&#10;qaL4oyQ5wdFjm+E1SsqBbcSs2b7xfYIkNdg+j+ZwHo3aRybo8vmL2cuSBihOoQKqU53zIb5S2LN0&#10;qLnRNokGFexuQkx9QHVKSdcWr7UxefDGsoGwL6cEnUIBjZYpmh3fbpbGsx2k3clfZvUoLUGvIHRj&#10;nqTTuFQet1aOrxt7FCPxH5XcoDys/UkkGm5u87iIaXt+93P1r99l8RMAAP//AwBQSwMEFAAGAAgA&#10;AAAhAPsgTKLcAAAACQEAAA8AAABkcnMvZG93bnJldi54bWxMj0FLw0AQhe+C/2EZwZvddIUqMZsi&#10;BU9CwWgt3rbJmIRmZ8Luto399Y540OO89/HmvWI5+UEdMcSeycJ8loFCqrnpqbXw9vp0cw8qJkeN&#10;G5jQwhdGWJaXF4XLGz7RCx6r1CoJoZg7C11KY651rDv0Ls54RBLvk4N3Sc7Q6ia4k4T7QZssW2jv&#10;epIPnRtx1WG9rw7ewntv1rQ5b7P1ec/M21A9zz9W1l5fTY8PoBJO6Q+Gn/pSHUrptOMDNVENFowx&#10;t4KKYWSCAOZuIcLuV9Blof8vKL8BAAD//wMAUEsBAi0AFAAGAAgAAAAhALaDOJL+AAAA4QEAABMA&#10;AAAAAAAAAAAAAAAAAAAAAFtDb250ZW50X1R5cGVzXS54bWxQSwECLQAUAAYACAAAACEAOP0h/9YA&#10;AACUAQAACwAAAAAAAAAAAAAAAAAvAQAAX3JlbHMvLnJlbHNQSwECLQAUAAYACAAAACEAuc/fItcB&#10;AAB2AwAADgAAAAAAAAAAAAAAAAAuAgAAZHJzL2Uyb0RvYy54bWxQSwECLQAUAAYACAAAACEA+yBM&#10;otwAAAAJAQAADwAAAAAAAAAAAAAAAAAxBAAAZHJzL2Rvd25yZXYueG1sUEsFBgAAAAAEAAQA8wAA&#10;ADoFAAAAAA==&#10;">
                  <v:path arrowok="t"/>
                  <v:fill focussize="0,0"/>
                  <v:stroke weight="3pt" dashstyle="dash"/>
                  <v:imagedata o:title=""/>
                  <o:lock v:ext="edit"/>
                </v:line>
              </w:pic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7" w:type="pct"/>
            <w:vMerge w:val="restart"/>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附属构筑物区</w:t>
            </w:r>
          </w:p>
        </w:tc>
        <w:tc>
          <w:tcPr>
            <w:tcW w:w="1033" w:type="pct"/>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施工准备期</w:t>
            </w:r>
          </w:p>
        </w:tc>
        <w:tc>
          <w:tcPr>
            <w:tcW w:w="1760" w:type="pct"/>
            <w:vAlign w:val="center"/>
          </w:tcPr>
          <w:p>
            <w:pPr>
              <w:spacing w:line="0" w:lineRule="atLeast"/>
              <w:ind w:firstLine="420"/>
              <w:jc w:val="center"/>
              <w:rPr>
                <w:rFonts w:eastAsia="仿宋_GB2312"/>
                <w:sz w:val="21"/>
                <w:szCs w:val="21"/>
                <w:highlight w:val="yellow"/>
              </w:rPr>
            </w:pPr>
            <w:r>
              <w:rPr>
                <w:rFonts w:eastAsia="仿宋_GB2312"/>
                <w:sz w:val="21"/>
                <w:szCs w:val="21"/>
                <w:highlight w:val="yellow"/>
              </w:rPr>
              <w:pict>
                <v:line id="直接连接符 233" o:spid="_x0000_s1033" o:spt="20" style="position:absolute;left:0pt;margin-left:0pt;margin-top:7.35pt;height:0pt;width:14.25pt;z-index:254311424;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X0N3AEAAHgDAAAOAAAAZHJzL2Uyb0RvYy54bWysU8GO0zAQvSPxD5bvNGkroERN99BquSxQ&#10;aZcPmNpOY+F4LNtt2p/gB5C4wYkjd/6G5TMYO21Z4IbIYeTxzDzPezOZXx06w/bKB4225uNRyZmy&#10;AqW225q/vbt+MuMsRLASDFpV86MK/Grx+NG8d5WaYItGKs8IxIaqdzVvY3RVUQTRqg7CCJ2yFGzQ&#10;dxDJ9dtCeugJvTPFpCyfFT166TwKFQLdroYgX2T8plEivmmaoCIzNafeYrY+202yxWIO1daDa7U4&#10;tQH/0EUH2tKjF6gVRGA7r/+C6rTwGLCJI4FdgU2jhcociM24/IPNbQtOZS4kTnAXmcL/gxWv92vP&#10;tKz5ZDrlzEJHQ7r/8PX7+08/vn0ke//lM0shEqp3oaL8pV37RFUc7K27QfEuMIvLFuxW5Ybvjo4w&#10;xqmi+K0kOcHRc5v+FUrKgV3ErNqh8V2CJD3YIQ/neBmOOkQm6HI8K188f8qZOIcKqM51zof4UmHH&#10;0qHmRtskG1Swvwkx9QHVOSVdW7zWxuTRG8v6mk9n47LMFQGNlima8oLfbpbGsz2k7clfZkWRh2kJ&#10;egWhHfIknYa18rizcnjd2JMYif+g5Ablce3PItF4c5unVUz789DP1b9+mMVPAAAA//8DAFBLAwQU&#10;AAYACAAAACEAKsC0t9sAAAAFAQAADwAAAGRycy9kb3ducmV2LnhtbEyPzUvDQBDF74L/wzKCN7tp&#10;8KPEbIoUPAkF40fxts2OSWh2Juxu29i/3hEPenzzhvd+r1xOflAHDLFnMjCfZaCQGnY9tQZeXx6v&#10;FqBisuTswIQGvjDCsjo/K23h+EjPeKhTqySEYmENdCmNhdax6dDbOOMRSbxPDt4mkaHVLtijhPtB&#10;51l2q73tSRo6O+Kqw2ZX772B9z5f09tpk61PO2behPpp/rEy5vJiergHlXBKf8/wgy/oUAnTlvfk&#10;ohoMyJAk1+s7UOLmixtQ21+tq1L/p6++AQAA//8DAFBLAQItABQABgAIAAAAIQC2gziS/gAAAOEB&#10;AAATAAAAAAAAAAAAAAAAAAAAAABbQ29udGVudF9UeXBlc10ueG1sUEsBAi0AFAAGAAgAAAAhADj9&#10;If/WAAAAlAEAAAsAAAAAAAAAAAAAAAAALwEAAF9yZWxzLy5yZWxzUEsBAi0AFAAGAAgAAAAhAG3V&#10;fQ3cAQAAeAMAAA4AAAAAAAAAAAAAAAAALgIAAGRycy9lMm9Eb2MueG1sUEsBAi0AFAAGAAgAAAAh&#10;ACrAtLfbAAAABQEAAA8AAAAAAAAAAAAAAAAANgQAAGRycy9kb3ducmV2LnhtbFBLBQYAAAAABAAE&#10;APMAAAA+BQAAAAA=&#10;">
                  <v:path arrowok="t"/>
                  <v:fill focussize="0,0"/>
                  <v:stroke weight="3pt" dashstyle="dash"/>
                  <v:imagedata o:title=""/>
                  <o:lock v:ext="edit"/>
                </v:line>
              </w:pict>
            </w:r>
          </w:p>
        </w:tc>
        <w:tc>
          <w:tcPr>
            <w:tcW w:w="1760" w:type="pct"/>
            <w:vAlign w:val="center"/>
          </w:tcPr>
          <w:p>
            <w:pPr>
              <w:spacing w:line="0" w:lineRule="atLeast"/>
              <w:ind w:firstLine="420"/>
              <w:jc w:val="center"/>
              <w:rPr>
                <w:rFonts w:eastAsia="仿宋_GB2312"/>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7" w:type="pct"/>
            <w:vMerge w:val="continue"/>
            <w:vAlign w:val="center"/>
          </w:tcPr>
          <w:p>
            <w:pPr>
              <w:widowControl/>
              <w:spacing w:line="0" w:lineRule="atLeast"/>
              <w:ind w:firstLine="0" w:firstLineChars="0"/>
              <w:jc w:val="center"/>
              <w:rPr>
                <w:rFonts w:eastAsia="仿宋_GB2312"/>
                <w:sz w:val="21"/>
                <w:szCs w:val="21"/>
              </w:rPr>
            </w:pPr>
          </w:p>
        </w:tc>
        <w:tc>
          <w:tcPr>
            <w:tcW w:w="1033" w:type="pct"/>
            <w:vAlign w:val="center"/>
          </w:tcPr>
          <w:p>
            <w:pPr>
              <w:widowControl/>
              <w:spacing w:line="0" w:lineRule="atLeast"/>
              <w:ind w:firstLine="0" w:firstLineChars="0"/>
              <w:jc w:val="center"/>
              <w:rPr>
                <w:rFonts w:eastAsia="仿宋_GB2312"/>
                <w:sz w:val="21"/>
                <w:szCs w:val="21"/>
              </w:rPr>
            </w:pPr>
            <w:r>
              <w:rPr>
                <w:rFonts w:eastAsia="仿宋_GB2312"/>
                <w:sz w:val="21"/>
                <w:szCs w:val="21"/>
              </w:rPr>
              <w:t>主体工程</w:t>
            </w:r>
            <w:r>
              <w:rPr>
                <w:rFonts w:hint="eastAsia" w:eastAsia="仿宋_GB2312"/>
                <w:sz w:val="21"/>
                <w:szCs w:val="21"/>
              </w:rPr>
              <w:t>建设期</w:t>
            </w:r>
          </w:p>
        </w:tc>
        <w:tc>
          <w:tcPr>
            <w:tcW w:w="1760" w:type="pct"/>
            <w:vAlign w:val="center"/>
          </w:tcPr>
          <w:p>
            <w:pPr>
              <w:spacing w:line="0" w:lineRule="atLeast"/>
              <w:ind w:firstLine="420"/>
              <w:jc w:val="center"/>
              <w:rPr>
                <w:rFonts w:eastAsia="仿宋_GB2312"/>
                <w:sz w:val="21"/>
                <w:szCs w:val="21"/>
                <w:highlight w:val="yellow"/>
              </w:rPr>
            </w:pPr>
            <w:r>
              <w:rPr>
                <w:rFonts w:eastAsia="仿宋_GB2312"/>
                <w:sz w:val="21"/>
                <w:szCs w:val="21"/>
                <w:highlight w:val="yellow"/>
              </w:rPr>
              <w:pict>
                <v:line id="直接连接符 234" o:spid="_x0000_s1032" o:spt="20" style="position:absolute;left:0pt;margin-left:53.5pt;margin-top:6.35pt;height:0pt;width:134.25pt;z-index:254313472;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jY3QEAAHkDAAAOAAAAZHJzL2Uyb0RvYy54bWysU81uEzEQviPxDpbvZDdpoWWVTQ+JyqVA&#10;pJYHmNjerIXXY9lONnkJXgCJG5w49s7bUB6DsTcJBW6IPYw8f9/MfDM7vdp1hm2VDxptzcejkjNl&#10;BUpt1zV/d3f97JKzEMFKMGhVzfcq8KvZ0yfT3lVqgi0aqTwjEBuq3tW8jdFVRRFEqzoII3TKkrNB&#10;30Ek1a8L6aEn9M4Uk7J8UfTopfMoVAhkXQxOPsv4TaNEfNs0QUVmak69xSx9lqski9kUqrUH12px&#10;aAP+oYsOtKWiJ6gFRGAbr/+C6rTwGLCJI4FdgU2jhcoz0DTj8o9pbltwKs9C5AR3oin8P1jxZrv0&#10;TMuaT87OObPQ0ZIePt5///D5x7dPJB++fmHJRUT1LlQUP7dLn0YVO3vrblC8D8zivAW7Vrnhu70j&#10;jHHKKH5LSUpwVG7Vv0ZJMbCJmFnbNb5LkMQH2+Xl7E/LUbvIBBnHF+X5y4vnnImjr4DqmOh8iK8U&#10;diw9am60TbxBBdubEFMjUB1DktnitTYm795Y1tf87HJcljkjoNEyeVNc8OvV3Hi2hXQ++ctjkedx&#10;WIJeQGiHOEmv4a48bqwcqht7YCMRMFC5Qrlf+iNLtN/c5uEW0wE91nP2rz9m9hMAAP//AwBQSwME&#10;FAAGAAgAAAAhAAp8GTXeAAAACQEAAA8AAABkcnMvZG93bnJldi54bWxMj0FLw0AQhe+C/2EZwZvd&#10;baRGYjZFCp6EgrFavG2zaxKanQm72zb21zviQW/zZh5vvlcuJz+IowuxJ9QwnykQDhuyPbYaNq9P&#10;N/cgYjJozUDoNHy5CMvq8qI0haUTvrhjnVrBIRgLo6FLaSykjE3nvIkzGh3y7ZOCN4llaKUN5sTh&#10;fpCZUnfSmx75Q2dGt+pcs68PXsN7n63x7bxV6/OeiLahfp5/rLS+vpoeH0AkN6U/M/zgMzpUzLSj&#10;A9ooBtYq5y6JhywHwYbbfLEAsftdyKqU/xtU3wAAAP//AwBQSwECLQAUAAYACAAAACEAtoM4kv4A&#10;AADhAQAAEwAAAAAAAAAAAAAAAAAAAAAAW0NvbnRlbnRfVHlwZXNdLnhtbFBLAQItABQABgAIAAAA&#10;IQA4/SH/1gAAAJQBAAALAAAAAAAAAAAAAAAAAC8BAABfcmVscy8ucmVsc1BLAQItABQABgAIAAAA&#10;IQDZOMjY3QEAAHkDAAAOAAAAAAAAAAAAAAAAAC4CAABkcnMvZTJvRG9jLnhtbFBLAQItABQABgAI&#10;AAAAIQAKfBk13gAAAAkBAAAPAAAAAAAAAAAAAAAAADcEAABkcnMvZG93bnJldi54bWxQSwUGAAAA&#10;AAQABADzAAAAQgUAAAAA&#10;">
                  <v:path arrowok="t"/>
                  <v:fill focussize="0,0"/>
                  <v:stroke weight="3pt" dashstyle="dash"/>
                  <v:imagedata o:title=""/>
                  <o:lock v:ext="edit"/>
                </v:line>
              </w:pict>
            </w:r>
          </w:p>
        </w:tc>
        <w:tc>
          <w:tcPr>
            <w:tcW w:w="1760" w:type="pct"/>
            <w:vAlign w:val="center"/>
          </w:tcPr>
          <w:p>
            <w:pPr>
              <w:spacing w:line="0" w:lineRule="atLeast"/>
              <w:ind w:firstLine="420"/>
              <w:jc w:val="center"/>
              <w:rPr>
                <w:rFonts w:eastAsia="仿宋_GB2312"/>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7" w:type="pct"/>
            <w:vMerge w:val="continue"/>
            <w:vAlign w:val="center"/>
          </w:tcPr>
          <w:p>
            <w:pPr>
              <w:widowControl/>
              <w:spacing w:line="0" w:lineRule="atLeast"/>
              <w:ind w:firstLine="0" w:firstLineChars="0"/>
              <w:jc w:val="center"/>
              <w:rPr>
                <w:rFonts w:eastAsia="仿宋_GB2312"/>
                <w:sz w:val="21"/>
                <w:szCs w:val="21"/>
              </w:rPr>
            </w:pPr>
          </w:p>
        </w:tc>
        <w:tc>
          <w:tcPr>
            <w:tcW w:w="1033" w:type="pct"/>
            <w:vAlign w:val="center"/>
          </w:tcPr>
          <w:p>
            <w:pPr>
              <w:widowControl/>
              <w:spacing w:line="0" w:lineRule="atLeast"/>
              <w:ind w:firstLine="0" w:firstLineChars="0"/>
              <w:jc w:val="center"/>
              <w:rPr>
                <w:rFonts w:eastAsia="仿宋_GB2312"/>
                <w:sz w:val="21"/>
                <w:szCs w:val="21"/>
              </w:rPr>
            </w:pPr>
            <w:r>
              <w:rPr>
                <w:rFonts w:eastAsia="仿宋_GB2312"/>
                <w:sz w:val="21"/>
                <w:szCs w:val="21"/>
              </w:rPr>
              <w:t>工程措施</w:t>
            </w:r>
          </w:p>
        </w:tc>
        <w:tc>
          <w:tcPr>
            <w:tcW w:w="1760" w:type="pct"/>
            <w:vAlign w:val="center"/>
          </w:tcPr>
          <w:p>
            <w:pPr>
              <w:spacing w:line="0" w:lineRule="atLeast"/>
              <w:ind w:firstLine="420"/>
              <w:jc w:val="center"/>
              <w:rPr>
                <w:rFonts w:eastAsia="仿宋_GB2312"/>
                <w:sz w:val="21"/>
                <w:szCs w:val="21"/>
                <w:highlight w:val="yellow"/>
              </w:rPr>
            </w:pPr>
            <w:r>
              <w:rPr>
                <w:rFonts w:eastAsia="仿宋_GB2312"/>
                <w:sz w:val="21"/>
                <w:szCs w:val="21"/>
                <w:highlight w:val="yellow"/>
              </w:rPr>
              <w:pict>
                <v:line id="直接连接符 27" o:spid="_x0000_s1031" o:spt="20" style="position:absolute;left:0pt;margin-left:109.75pt;margin-top:5.9pt;height:0pt;width:74.25pt;z-index:254315520;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r0QEAAF4DAAAOAAAAZHJzL2Uyb0RvYy54bWysU0uO1DAQ3SNxB8t7OunmMzNRp2fRo2Ez&#10;QEszHKDadhILx2XZ7k76ElwAiR2sWLLnNgzHoOz+MMAOkUUprs9zvVfl+eXYG7ZVPmi0NZ9OSs6U&#10;FSi1bWv+9u76yTlnIYKVYNCqmu9U4JeLx4/mg6vUDDs0UnlGIDZUg6t5F6OriiKITvUQJuiUpWCD&#10;vodIR98W0sNA6L0pZmX5ohjQS+dRqBDIe7UP8kXGbxol4pumCSoyU3PqLWbrs10nWyzmULUeXKfF&#10;oQ34hy560JYuPUFdQQS28fovqF4LjwGbOBHYF9g0WqjMgdhMyz/Y3HbgVOZC4gR3kin8P1jxervy&#10;TMuaz844s9DTjO4/fP3+/tOPbx/J3n/5zChCMg0uVJS9tCufiIrR3robFO8Cs7jswLYqt3u3cwQx&#10;TRXFbyXpEBxdth5eoaQc2ETMmo2N7xMkqcHGPJrdaTRqjEyQ8+LZ7OLsOWfiGCqgOtY5H+JLhT1L&#10;PzU32ibRoILtTYipD6iOKclt8VobkwdvLBtq/vR8Wpa5IqDRMkVTXvDtemk820LanfxlVhR5mOZx&#10;Y+X+FmMPpBPPvWJrlLuVP4pBQ8ztHBYubcnDc67+9SwWPwEAAP//AwBQSwMEFAAGAAgAAAAhAOfw&#10;0O/aAAAACQEAAA8AAABkcnMvZG93bnJldi54bWxMj8FOwzAQRO9I/IO1SNyokxaqNMSpEBI3OFD4&#10;gG28xAF7HcVuG/h6FnGA4848zc402zl4daQpDZENlIsCFHEX7cC9gdeXh6sKVMrIFn1kMvBJCbbt&#10;+VmDtY0nfqbjLvdKQjjVaMDlPNZap85RwLSII7F4b3EKmOWcem0nPEl48HpZFGsdcGD54HCke0fd&#10;x+4QDDxel5unQrtxVVmP+v2rS35KxlxezHe3oDLN+Q+Gn/pSHVrptI8Htkl5A8tycyOoGKVMEGC1&#10;rmTc/lfQbaP/L2i/AQAA//8DAFBLAQItABQABgAIAAAAIQC2gziS/gAAAOEBAAATAAAAAAAAAAAA&#10;AAAAAAAAAABbQ29udGVudF9UeXBlc10ueG1sUEsBAi0AFAAGAAgAAAAhADj9If/WAAAAlAEAAAsA&#10;AAAAAAAAAAAAAAAALwEAAF9yZWxzLy5yZWxzUEsBAi0AFAAGAAgAAAAhAGD/fOvRAQAAXgMAAA4A&#10;AAAAAAAAAAAAAAAALgIAAGRycy9lMm9Eb2MueG1sUEsBAi0AFAAGAAgAAAAhAOfw0O/aAAAACQEA&#10;AA8AAAAAAAAAAAAAAAAAKwQAAGRycy9kb3ducmV2LnhtbFBLBQYAAAAABAAEAPMAAAAyBQAAAAA=&#10;">
                  <v:path arrowok="t"/>
                  <v:fill focussize="0,0"/>
                  <v:stroke weight="3pt"/>
                  <v:imagedata o:title=""/>
                  <o:lock v:ext="edit"/>
                </v:line>
              </w:pict>
            </w:r>
          </w:p>
        </w:tc>
        <w:tc>
          <w:tcPr>
            <w:tcW w:w="1760" w:type="pct"/>
            <w:vAlign w:val="center"/>
          </w:tcPr>
          <w:p>
            <w:pPr>
              <w:spacing w:line="0" w:lineRule="atLeast"/>
              <w:ind w:firstLine="420"/>
              <w:jc w:val="center"/>
              <w:rPr>
                <w:rFonts w:eastAsia="仿宋_GB2312"/>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7" w:type="pct"/>
            <w:vMerge w:val="continue"/>
            <w:vAlign w:val="center"/>
          </w:tcPr>
          <w:p>
            <w:pPr>
              <w:widowControl/>
              <w:spacing w:line="0" w:lineRule="atLeast"/>
              <w:ind w:firstLine="0" w:firstLineChars="0"/>
              <w:jc w:val="center"/>
              <w:rPr>
                <w:rFonts w:eastAsia="仿宋_GB2312"/>
                <w:sz w:val="21"/>
                <w:szCs w:val="21"/>
              </w:rPr>
            </w:pPr>
          </w:p>
        </w:tc>
        <w:tc>
          <w:tcPr>
            <w:tcW w:w="1033" w:type="pct"/>
            <w:vAlign w:val="center"/>
          </w:tcPr>
          <w:p>
            <w:pPr>
              <w:spacing w:line="0" w:lineRule="atLeast"/>
              <w:ind w:firstLine="0" w:firstLineChars="0"/>
              <w:jc w:val="center"/>
              <w:rPr>
                <w:rFonts w:eastAsia="仿宋_GB2312"/>
                <w:sz w:val="21"/>
                <w:szCs w:val="21"/>
              </w:rPr>
            </w:pPr>
            <w:r>
              <w:rPr>
                <w:rFonts w:eastAsia="仿宋_GB2312"/>
                <w:sz w:val="21"/>
                <w:szCs w:val="21"/>
              </w:rPr>
              <w:t>临时措施</w:t>
            </w:r>
          </w:p>
        </w:tc>
        <w:tc>
          <w:tcPr>
            <w:tcW w:w="1760" w:type="pct"/>
            <w:vAlign w:val="center"/>
          </w:tcPr>
          <w:p>
            <w:pPr>
              <w:spacing w:line="0" w:lineRule="atLeast"/>
              <w:ind w:firstLine="420"/>
              <w:jc w:val="center"/>
              <w:rPr>
                <w:rFonts w:eastAsia="仿宋_GB2312"/>
                <w:sz w:val="21"/>
                <w:szCs w:val="21"/>
                <w:highlight w:val="yellow"/>
              </w:rPr>
            </w:pPr>
            <w:r>
              <w:rPr>
                <w:rFonts w:eastAsia="仿宋_GB2312"/>
                <w:sz w:val="21"/>
                <w:szCs w:val="21"/>
                <w:highlight w:val="yellow"/>
              </w:rPr>
              <w:pict>
                <v:line id="直接连接符 236" o:spid="_x0000_s1030" o:spt="20" style="position:absolute;left:0pt;margin-left:54.8pt;margin-top:6.95pt;height:0pt;width:138.75pt;z-index:254317568;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Mz0QEAAGEDAAAOAAAAZHJzL2Uyb0RvYy54bWysU0uOEzEQ3SNxB8t70p8RYdRKZxYZDZsB&#10;Is1wAMd2d1vYLst20p1LcAEkdrBiyZ7bMByDsvNhgB2iF6V2fZ7rvSovriajyU76oMC2tJqVlEjL&#10;QSjbt/Tt/c2zS0pCZFYwDVa2dC8DvVo+fbIYXSNrGEAL6QmC2NCMrqVDjK4pisAHaViYgZMWgx14&#10;wyIefV8Iz0ZEN7qoy3JejOCF88BlCOi9PgTpMuN3neTxTdcFGYluKfYWs/XZbpItlgvW9J65QfFj&#10;G+wfujBMWbz0DHXNIiNbr/6CMop7CNDFGQdTQNcpLjMHZFOVf7C5G5iTmQuKE9xZpvD/YPnr3doT&#10;JVpaX8wpsczgkB4+fP3+/tOPbx/RPnz5TFIIhRpdaDB/Zdc+UeWTvXO3wN8FYmE1MNvL3PD93iFG&#10;lSqK30rSITi8bjO+AoE5bBshqzZ13iRI1INMeTj783DkFAlHZ/ViXlf1c0r4KVaw5lTofIgvJRiS&#10;flqqlU26sYbtbkNMjbDmlJLcFm6U1nn22pKxpReXVVnmigBaiRRNecH3m5X2ZMfS+uQv08LI4zQP&#10;WysOt2h7ZJ2IHiTbgNiv/UkNnGNu57hzaVEen3P1r5ex/AkAAP//AwBQSwMEFAAGAAgAAAAhAIIh&#10;sF/aAAAACQEAAA8AAABkcnMvZG93bnJldi54bWxMj8FOwzAQRO9I/IO1SNyoHYJKEuJUCIkbHGj5&#10;ADde4oC9jmK3DXw9izjAbWd3NPum3SzBiyPOaYykoVgpEEh9tCMNGl53j1cViJQNWeMjoYZPTLDp&#10;zs9a09h4ohc8bvMgOIRSYzS4nKdGytQ7DCat4oTEt7c4B5NZzoO0szlxePDyWqm1DGYk/uDMhA8O&#10;+4/tIWh4uinqZyXdVFbWG/n+1Sc/J60vL5b7OxAZl/xnhh98RoeOmfbxQDYJz1rVa7byUNYg2FBW&#10;twWI/e9Cdq3836D7BgAA//8DAFBLAQItABQABgAIAAAAIQC2gziS/gAAAOEBAAATAAAAAAAAAAAA&#10;AAAAAAAAAABbQ29udGVudF9UeXBlc10ueG1sUEsBAi0AFAAGAAgAAAAhADj9If/WAAAAlAEAAAsA&#10;AAAAAAAAAAAAAAAALwEAAF9yZWxzLy5yZWxzUEsBAi0AFAAGAAgAAAAhAFR7czPRAQAAYQMAAA4A&#10;AAAAAAAAAAAAAAAALgIAAGRycy9lMm9Eb2MueG1sUEsBAi0AFAAGAAgAAAAhAIIhsF/aAAAACQEA&#10;AA8AAAAAAAAAAAAAAAAAKwQAAGRycy9kb3ducmV2LnhtbFBLBQYAAAAABAAEAPMAAAAyBQAAAAA=&#10;">
                  <v:path arrowok="t"/>
                  <v:fill focussize="0,0"/>
                  <v:stroke weight="3pt"/>
                  <v:imagedata o:title=""/>
                  <o:lock v:ext="edit"/>
                </v:line>
              </w:pict>
            </w:r>
          </w:p>
        </w:tc>
        <w:tc>
          <w:tcPr>
            <w:tcW w:w="1760" w:type="pct"/>
            <w:vAlign w:val="center"/>
          </w:tcPr>
          <w:p>
            <w:pPr>
              <w:spacing w:line="0" w:lineRule="atLeast"/>
              <w:ind w:firstLine="420"/>
              <w:jc w:val="center"/>
              <w:rPr>
                <w:rFonts w:eastAsia="仿宋_GB2312"/>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7" w:type="pct"/>
            <w:vMerge w:val="continue"/>
            <w:vAlign w:val="center"/>
          </w:tcPr>
          <w:p>
            <w:pPr>
              <w:widowControl/>
              <w:spacing w:line="0" w:lineRule="atLeast"/>
              <w:ind w:firstLine="0" w:firstLineChars="0"/>
              <w:jc w:val="center"/>
              <w:rPr>
                <w:rFonts w:eastAsia="仿宋_GB2312"/>
                <w:sz w:val="21"/>
                <w:szCs w:val="21"/>
              </w:rPr>
            </w:pPr>
          </w:p>
        </w:tc>
        <w:tc>
          <w:tcPr>
            <w:tcW w:w="1033" w:type="pct"/>
            <w:vAlign w:val="center"/>
          </w:tcPr>
          <w:p>
            <w:pPr>
              <w:spacing w:line="0" w:lineRule="atLeast"/>
              <w:ind w:firstLine="0" w:firstLineChars="0"/>
              <w:jc w:val="center"/>
              <w:rPr>
                <w:rFonts w:eastAsia="仿宋_GB2312"/>
                <w:sz w:val="21"/>
                <w:szCs w:val="21"/>
              </w:rPr>
            </w:pPr>
            <w:r>
              <w:rPr>
                <w:rFonts w:hint="eastAsia" w:eastAsia="仿宋_GB2312"/>
                <w:sz w:val="21"/>
                <w:szCs w:val="21"/>
              </w:rPr>
              <w:t>验收</w:t>
            </w:r>
          </w:p>
        </w:tc>
        <w:tc>
          <w:tcPr>
            <w:tcW w:w="1760" w:type="pct"/>
            <w:vAlign w:val="center"/>
          </w:tcPr>
          <w:p>
            <w:pPr>
              <w:spacing w:line="0" w:lineRule="atLeast"/>
              <w:ind w:firstLine="420"/>
              <w:jc w:val="center"/>
              <w:rPr>
                <w:rFonts w:eastAsia="仿宋_GB2312"/>
                <w:sz w:val="21"/>
                <w:szCs w:val="21"/>
                <w:highlight w:val="yellow"/>
              </w:rPr>
            </w:pPr>
          </w:p>
        </w:tc>
        <w:tc>
          <w:tcPr>
            <w:tcW w:w="1760" w:type="pct"/>
            <w:vAlign w:val="center"/>
          </w:tcPr>
          <w:p>
            <w:pPr>
              <w:spacing w:line="0" w:lineRule="atLeast"/>
              <w:ind w:firstLine="420"/>
              <w:jc w:val="center"/>
              <w:rPr>
                <w:rFonts w:eastAsia="仿宋_GB2312"/>
                <w:sz w:val="21"/>
                <w:szCs w:val="21"/>
                <w:highlight w:val="yellow"/>
              </w:rPr>
            </w:pPr>
            <w:r>
              <w:rPr>
                <w:rFonts w:eastAsia="仿宋_GB2312"/>
                <w:sz w:val="21"/>
                <w:szCs w:val="21"/>
                <w:highlight w:val="yellow"/>
              </w:rPr>
              <w:pict>
                <v:line id="直接连接符 237" o:spid="_x0000_s1029" o:spt="20" style="position:absolute;left:0pt;margin-left:114.9pt;margin-top:5.4pt;height:0pt;width:27pt;z-index:254284800;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6y52AEAAHgDAAAOAAAAZHJzL2Uyb0RvYy54bWysU8GO0zAQvSPxD5bvNGkXwRI13UOr5bJA&#10;pV0+YGo7jYXjsWy3SX+CH0DiBieO3Pkbls9g7LQFlhsih5HHM/M8781kfjV0hu2VDxptzaeTkjNl&#10;BUpttzV/e3f95JKzEMFKMGhVzQ8q8KvF40fz3lVqhi0aqTwjEBuq3tW8jdFVRRFEqzoIE3TKUrBB&#10;30Ek128L6aEn9M4Us7J8VvTopfMoVAh0uxqDfJHxm0aJ+KZpgorM1Jx6i9n6bDfJFos5VFsPrtXi&#10;2Ab8QxcdaEuPnqFWEIHtvP4LqtPCY8AmTgR2BTaNFipzIDbT8gGb2xacylxInODOMoX/Byte79ee&#10;aVnz2cVzzix0NKT7D1+/v//049tHsvdfPrMUIqF6FyrKX9q1T1TFYG/dDYp3gVlctmC3Kjd8d3CE&#10;MU0VxR8lyQmOntv0r1BSDuwiZtWGxncJkvRgQx7O4TwcNUQm6PLi6exFSSMUp1AB1anO+RBfKuxY&#10;OtTcaJtkgwr2NyGmPqA6paRri9famDx6Y1lP2JdTgk6hgEbLFM2O326WxrM9pO3JX2b1IC1BryC0&#10;Y56k07hWHndWjq8bexQj8R+V3KA8rP1JJBpvbvO4iml/fvdz9a8fZvETAAD//wMAUEsDBBQABgAI&#10;AAAAIQDy4rhP3QAAAAkBAAAPAAAAZHJzL2Rvd25yZXYueG1sTI9PSwMxEMXvgt8hjODNJo0gdd1s&#10;kYInoeBqLd7Szbi7dDNZkrRd++kd8aCn+fMeb35TLic/iCPG1AcyMJ8pEEhNcD21Bt5en24WIFK2&#10;5OwQCA18YYJldXlR2sKFE73gsc6t4BBKhTXQ5TwWUqamQ2/TLIxIrH2G6G3mMbbSRXvicD9IrdSd&#10;9LYnvtDZEVcdNvv64A2893pNm/NWrc/7EMI21s/zj5Ux11fT4wOIjFP+M8MPPqNDxUy7cCCXxGBA&#10;63tGzywormzQi1tudr8LWZXy/wfVNwAAAP//AwBQSwECLQAUAAYACAAAACEAtoM4kv4AAADhAQAA&#10;EwAAAAAAAAAAAAAAAAAAAAAAW0NvbnRlbnRfVHlwZXNdLnhtbFBLAQItABQABgAIAAAAIQA4/SH/&#10;1gAAAJQBAAALAAAAAAAAAAAAAAAAAC8BAABfcmVscy8ucmVsc1BLAQItABQABgAIAAAAIQD7e6y5&#10;2AEAAHgDAAAOAAAAAAAAAAAAAAAAAC4CAABkcnMvZTJvRG9jLnhtbFBLAQItABQABgAIAAAAIQDy&#10;4rhP3QAAAAkBAAAPAAAAAAAAAAAAAAAAADIEAABkcnMvZG93bnJldi54bWxQSwUGAAAAAAQABADz&#10;AAAAPAUAAAAA&#10;">
                  <v:path arrowok="t"/>
                  <v:fill focussize="0,0"/>
                  <v:stroke weight="3pt" dashstyle="dash"/>
                  <v:imagedata o:title=""/>
                  <o:lock v:ext="edit"/>
                </v:line>
              </w:pict>
            </w:r>
          </w:p>
        </w:tc>
      </w:tr>
    </w:tbl>
    <w:p>
      <w:pPr>
        <w:ind w:firstLine="840" w:firstLineChars="400"/>
        <w:rPr>
          <w:rFonts w:eastAsia="仿宋_GB2312"/>
          <w:sz w:val="21"/>
          <w:szCs w:val="21"/>
        </w:rPr>
        <w:sectPr>
          <w:pgSz w:w="11906" w:h="16838"/>
          <w:pgMar w:top="1440" w:right="1803" w:bottom="1440" w:left="1803" w:header="851" w:footer="992" w:gutter="0"/>
          <w:cols w:space="720" w:num="1"/>
          <w:docGrid w:linePitch="326" w:charSpace="0"/>
        </w:sectPr>
      </w:pPr>
      <w:r>
        <w:rPr>
          <w:rFonts w:eastAsia="仿宋_GB2312"/>
          <w:sz w:val="21"/>
          <w:szCs w:val="21"/>
        </w:rPr>
        <w:pict>
          <v:line id="_x0000_s1028" o:spid="_x0000_s1028" o:spt="20" style="position:absolute;left:0pt;margin-left:263.15pt;margin-top:6.9pt;height:0pt;width:73.75pt;z-index:253092864;mso-width-relative:page;mso-height-relative:page;" coordsize="21600,21600" o:gfxdata="UEsDBAoAAAAAAIdO4kAAAAAAAAAAAAAAAAAEAAAAZHJzL1BLAwQUAAAACACHTuJAPgFkjdMAAAAJ&#10;AQAADwAAAGRycy9kb3ducmV2LnhtbE2PzU7EMAyE70i8Q2QkbmzSLZSlNN0DEjc4sPAA2cY0hcSp&#10;kuwPPD1ecYCb7RmNv+nWx+DFHlOeImmoFgoE0hDtRKOGt9fHqxWIXAxZ4yOhhi/MsO7PzzrT2nig&#10;F9xvyig4hHJrNLhS5lbKPDgMJi/ijMTae0zBFF7TKG0yBw4PXi6VamQwE/EHZ2Z8cDh8bnZBw9N1&#10;dfespJvrlfVGfnwP2aes9eVFpe5BFDyWPzOc8Bkdembaxh3ZLLyGm2VTs5WFmiuwobk9Ddvfg+w7&#10;+b9B/wNQSwMEFAAAAAgAh07iQEmAaCDLAQAAYAMAAA4AAABkcnMvZTJvRG9jLnhtbK1TS44TMRDd&#10;I3EHy3vSnQTC0EpnFhkNmwEizXCAiu3utnC7LNtJJ5fgAkjsYMWSPbdhOAZl58MAO0QvSu36PNd7&#10;VZ5f7nrDtsoHjbbm41HJmbICpbZtzd/eXT+54CxEsBIMWlXzvQr8cvH40XxwlZpgh0YqzwjEhmpw&#10;Ne9idFVRBNGpHsIInbIUbND3EOno20J6GAi9N8WkLGfFgF46j0KFQN6rQ5AvMn7TKBHfNE1QkZma&#10;U28xW5/tOtliMYeq9eA6LY5twD900YO2dOkZ6goisI3Xf0H1WngM2MSRwL7AptFCZQ7EZlz+wea2&#10;A6cyFxInuLNM4f/BitfblWda1vzp9DlnFnoa0v2Hr9/ff/rx7SPZ+y+fWQqRUIMLFeUv7conqmJn&#10;b90NineBWVx2YFuVG77bO8IYp4rit5J0CI6uWw+vUFIObCJm1XaN7xMk6cF2eTj783DULjJBzhfT&#10;2WzyjDNxChVQneqcD/Glwp6ln5obbZNsUMH2JsTUB1SnlOS2eK2NyaM3lg01n16MyzJXBDRapmjK&#10;C75dL41nW0jbk7/MiiIP0zxurDzcYuyRdOJ5UGyNcr/yJzFojLmd48qlPXl4ztW/Hsbi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4BZI3TAAAACQEAAA8AAAAAAAAAAQAgAAAAIgAAAGRycy9kb3du&#10;cmV2LnhtbFBLAQIUABQAAAAIAIdO4kBJgGggywEAAGADAAAOAAAAAAAAAAEAIAAAACIBAABkcnMv&#10;ZTJvRG9jLnhtbFBLBQYAAAAABgAGAFkBAABfBQAAAAA=&#10;">
            <v:path arrowok="t"/>
            <v:fill focussize="0,0"/>
            <v:stroke weight="3pt"/>
            <v:imagedata o:title=""/>
            <o:lock v:ext="edit"/>
          </v:line>
        </w:pict>
      </w:r>
      <w:r>
        <w:rPr>
          <w:rFonts w:eastAsia="仿宋_GB2312"/>
          <w:sz w:val="21"/>
          <w:szCs w:val="21"/>
        </w:rPr>
        <w:pict>
          <v:line id="_x0000_s1027" o:spid="_x0000_s1027" o:spt="20" style="position:absolute;left:0pt;margin-left:88.95pt;margin-top:6.9pt;height:0pt;width:83.7pt;z-index:253091840;mso-width-relative:page;mso-height-relative:page;" coordsize="21600,21600" o:gfxdata="UEsDBAoAAAAAAIdO4kAAAAAAAAAAAAAAAAAEAAAAZHJzL1BLAwQUAAAACACHTuJA2/TrytgAAAAJ&#10;AQAADwAAAGRycy9kb3ducmV2LnhtbE2PS0/DMBCE70j8B2uRuFE7DVAIcXqoxAmpEuFRcXPjJYka&#10;ryPbfdBf3604wG1ndzT7TTk/uEHsMMTek4ZsokAgNd721Gp4f3u+eQARkyFrBk+o4QcjzKvLi9IU&#10;1u/pFXd1agWHUCyMhi6lsZAyNh06Eyd+ROLbtw/OJJahlTaYPYe7QU6VupfO9MQfOjPiosNmU2+d&#10;hs9+uqSP40otjxvv/SrUL9nXQuvrq0w9gUh4SH9mOOMzOlTMtPZbslEMrGezR7bykHMFNuS3dzmI&#10;9e9CVqX836A6AVBLAwQUAAAACACHTuJAkZn1kNYBAAB5AwAADgAAAGRycy9lMm9Eb2MueG1srVPN&#10;jtMwEL4j8Q6W7zRJF1W7UdM9tFouC1Ta5QGmttNYOB7Ldpv2JXgBJG5w4sidt9nlMRi7PyxwQ+Qw&#10;8vx9M/PNZHq96w3bKh802oZXo5IzZQVKbdcNf3d/8+KSsxDBSjBoVcP3KvDr2fNn08HVaowdGqk8&#10;IxAb6sE1vIvR1UURRKd6CCN0ypKzRd9DJNWvC+lhIPTeFOOynBQDeuk8ChUCWRcHJ59l/LZVIr5t&#10;26AiMw2n3mKWPstVksVsCvXag+u0OLYB/9BFD9pS0TPUAiKwjdd/QfVaeAzYxpHAvsC21ULlGWia&#10;qvxjmrsOnMqzEDnBnWkK/w9WvNkuPdOy4S8vJpxZ6GlJjx+/PXz4/OP7J5KPX7+w5CKiBhdqip/b&#10;pU+jip29c7co3gdmcd6BXavc8P3eEUaVMorfUpISHJVbDa9RUgxsImbWdq3vEyTxwXZ5OfvzctQu&#10;MkHGqpyMr65oh+LkK6A+JTof4iuFPUuPhhttE29Qw/Y2xNQI1KeQZLZ4o43JuzeWDQ2/uKzKMmcE&#10;NFomb4oLfr2aG8+2kM4nf3ks8jwNS9ALCN0hTtLrcFceN1Yeqht7ZCMRcKByhXK/9CeWaL+5zeMt&#10;pgN6qufsX3/M7C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b9OvK2AAAAAkBAAAPAAAAAAAAAAEA&#10;IAAAACIAAABkcnMvZG93bnJldi54bWxQSwECFAAUAAAACACHTuJAkZn1kNYBAAB5AwAADgAAAAAA&#10;AAABACAAAAAnAQAAZHJzL2Uyb0RvYy54bWxQSwUGAAAAAAYABgBZAQAAbwUAAAAA&#10;">
            <v:path arrowok="t"/>
            <v:fill focussize="0,0"/>
            <v:stroke weight="3pt" dashstyle="dash"/>
            <v:imagedata o:title=""/>
            <o:lock v:ext="edit"/>
          </v:line>
        </w:pict>
      </w:r>
      <w:r>
        <w:rPr>
          <w:rFonts w:eastAsia="仿宋_GB2312"/>
          <w:sz w:val="21"/>
          <w:szCs w:val="21"/>
        </w:rPr>
        <w:t>主体工程水保工程</w:t>
      </w:r>
    </w:p>
    <w:p>
      <w:pPr>
        <w:pStyle w:val="50"/>
        <w:widowControl/>
        <w:numPr>
          <w:ilvl w:val="0"/>
          <w:numId w:val="1"/>
        </w:numPr>
        <w:tabs>
          <w:tab w:val="clear" w:pos="432"/>
        </w:tabs>
        <w:spacing w:beforeLines="100" w:afterLines="100"/>
        <w:rPr>
          <w:rFonts w:eastAsia="仿宋_GB2312"/>
          <w:sz w:val="32"/>
          <w:szCs w:val="32"/>
        </w:rPr>
      </w:pPr>
      <w:bookmarkStart w:id="296" w:name="_Toc50221520"/>
      <w:bookmarkStart w:id="297" w:name="_Toc7801570"/>
      <w:bookmarkStart w:id="298" w:name="_Toc7801410"/>
      <w:bookmarkStart w:id="299" w:name="_Toc7801477"/>
      <w:bookmarkStart w:id="300" w:name="_Toc255304610"/>
      <w:bookmarkStart w:id="301" w:name="_Toc211401582"/>
      <w:r>
        <w:rPr>
          <w:rFonts w:eastAsia="仿宋_GB2312"/>
          <w:sz w:val="32"/>
          <w:szCs w:val="32"/>
        </w:rPr>
        <w:t>水土保持监测</w:t>
      </w:r>
      <w:bookmarkEnd w:id="296"/>
      <w:bookmarkEnd w:id="297"/>
      <w:bookmarkEnd w:id="298"/>
      <w:bookmarkEnd w:id="299"/>
      <w:bookmarkEnd w:id="300"/>
      <w:bookmarkEnd w:id="301"/>
    </w:p>
    <w:p>
      <w:pPr>
        <w:pStyle w:val="15"/>
        <w:ind w:firstLine="480"/>
        <w:rPr>
          <w:rFonts w:eastAsia="仿宋_GB2312"/>
        </w:rPr>
        <w:sectPr>
          <w:headerReference r:id="rId21" w:type="first"/>
          <w:footerReference r:id="rId23" w:type="first"/>
          <w:headerReference r:id="rId19" w:type="default"/>
          <w:headerReference r:id="rId20" w:type="even"/>
          <w:footerReference r:id="rId22" w:type="even"/>
          <w:pgSz w:w="11906" w:h="16838"/>
          <w:pgMar w:top="1440" w:right="1803" w:bottom="1440" w:left="1803" w:header="851" w:footer="992" w:gutter="0"/>
          <w:cols w:space="720" w:num="1"/>
          <w:docGrid w:linePitch="326" w:charSpace="0"/>
        </w:sectPr>
      </w:pPr>
      <w:bookmarkStart w:id="302" w:name="_Toc7802745"/>
      <w:bookmarkEnd w:id="302"/>
      <w:bookmarkStart w:id="303" w:name="_Toc255304615"/>
      <w:bookmarkEnd w:id="303"/>
      <w:bookmarkStart w:id="304" w:name="_Toc7801571"/>
      <w:bookmarkEnd w:id="304"/>
      <w:bookmarkStart w:id="305" w:name="_Toc7801411"/>
      <w:bookmarkEnd w:id="305"/>
      <w:bookmarkStart w:id="306" w:name="_Toc7801478"/>
      <w:bookmarkEnd w:id="306"/>
      <w:bookmarkStart w:id="307" w:name="_Toc458611487"/>
      <w:bookmarkEnd w:id="307"/>
      <w:r>
        <w:rPr>
          <w:rFonts w:eastAsia="仿宋_GB2312"/>
        </w:rPr>
        <w:t>根据《新疆生产建设兵团实施&lt;中华人民共和国水土保持法&gt;办法》（新兵发〔2014〕44号）第二十四条规定，依法应当编制水土保持方案报告表的生产建设项目，生产建设单位应当自行或者委托具备相应水土保持监测资质的机构进行监测。本项目为占地面积不满五万平方米且挖、填土石方总量不满五万立方米，应编制水土保持方案报告表，不在规定的应当进行水土保持监测的生产建设项目范围内。因此，本项目水土保持监测工作由建设单位自行安排，本章不作规定</w:t>
      </w:r>
      <w:r>
        <w:rPr>
          <w:rFonts w:hint="eastAsia" w:eastAsia="仿宋_GB2312"/>
        </w:rPr>
        <w:t>。</w:t>
      </w:r>
    </w:p>
    <w:p>
      <w:pPr>
        <w:pStyle w:val="50"/>
        <w:widowControl/>
        <w:numPr>
          <w:ilvl w:val="0"/>
          <w:numId w:val="1"/>
        </w:numPr>
        <w:tabs>
          <w:tab w:val="clear" w:pos="432"/>
        </w:tabs>
        <w:spacing w:beforeLines="100" w:afterLines="100"/>
        <w:rPr>
          <w:rFonts w:eastAsia="仿宋_GB2312"/>
          <w:sz w:val="32"/>
          <w:szCs w:val="32"/>
        </w:rPr>
      </w:pPr>
      <w:bookmarkStart w:id="308" w:name="_Toc7801575"/>
      <w:bookmarkStart w:id="309" w:name="_Toc255304633"/>
      <w:bookmarkStart w:id="310" w:name="_Toc50221521"/>
      <w:bookmarkStart w:id="311" w:name="_Toc7801415"/>
      <w:bookmarkStart w:id="312" w:name="_Toc7801482"/>
      <w:r>
        <w:rPr>
          <w:rFonts w:eastAsia="仿宋_GB2312"/>
          <w:sz w:val="32"/>
          <w:szCs w:val="32"/>
        </w:rPr>
        <w:t>水土保持投资</w:t>
      </w:r>
      <w:r>
        <w:rPr>
          <w:rFonts w:hint="eastAsia" w:eastAsia="仿宋_GB2312"/>
          <w:sz w:val="32"/>
          <w:szCs w:val="32"/>
        </w:rPr>
        <w:t>估算</w:t>
      </w:r>
      <w:r>
        <w:rPr>
          <w:rFonts w:eastAsia="仿宋_GB2312"/>
          <w:sz w:val="32"/>
          <w:szCs w:val="32"/>
        </w:rPr>
        <w:t>及效益分析</w:t>
      </w:r>
      <w:bookmarkEnd w:id="308"/>
      <w:bookmarkEnd w:id="309"/>
      <w:bookmarkEnd w:id="310"/>
      <w:bookmarkEnd w:id="311"/>
      <w:bookmarkEnd w:id="312"/>
    </w:p>
    <w:p>
      <w:pPr>
        <w:pStyle w:val="3"/>
        <w:widowControl/>
        <w:numPr>
          <w:ilvl w:val="1"/>
          <w:numId w:val="1"/>
        </w:numPr>
        <w:tabs>
          <w:tab w:val="clear" w:pos="1002"/>
        </w:tabs>
        <w:topLinePunct w:val="0"/>
        <w:adjustRightInd/>
        <w:snapToGrid/>
        <w:ind w:left="0" w:firstLine="0"/>
        <w:jc w:val="both"/>
        <w:rPr>
          <w:rFonts w:eastAsia="仿宋_GB2312"/>
        </w:rPr>
      </w:pPr>
      <w:bookmarkStart w:id="313" w:name="_Toc255304634"/>
      <w:bookmarkStart w:id="314" w:name="_Toc7801576"/>
      <w:bookmarkStart w:id="315" w:name="_Toc7801416"/>
      <w:bookmarkStart w:id="316" w:name="_Toc7801483"/>
      <w:bookmarkStart w:id="317" w:name="_Toc50221522"/>
      <w:r>
        <w:rPr>
          <w:rFonts w:eastAsia="仿宋_GB2312"/>
        </w:rPr>
        <w:t>投资</w:t>
      </w:r>
      <w:bookmarkEnd w:id="313"/>
      <w:bookmarkEnd w:id="314"/>
      <w:bookmarkEnd w:id="315"/>
      <w:bookmarkEnd w:id="316"/>
      <w:r>
        <w:rPr>
          <w:rFonts w:hint="eastAsia" w:eastAsia="仿宋_GB2312"/>
        </w:rPr>
        <w:t>估算</w:t>
      </w:r>
      <w:bookmarkEnd w:id="317"/>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bookmarkStart w:id="318" w:name="_Toc255304635"/>
      <w:r>
        <w:rPr>
          <w:rFonts w:eastAsia="仿宋_GB2312"/>
        </w:rPr>
        <w:t>编制原则</w:t>
      </w:r>
      <w:bookmarkEnd w:id="318"/>
      <w:r>
        <w:rPr>
          <w:rFonts w:eastAsia="仿宋_GB2312"/>
        </w:rPr>
        <w:t>及依据</w:t>
      </w:r>
    </w:p>
    <w:p>
      <w:pPr>
        <w:pStyle w:val="5"/>
      </w:pPr>
      <w:r>
        <w:rPr>
          <w:kern w:val="2"/>
          <w:szCs w:val="28"/>
        </w:rPr>
        <w:t>编制</w:t>
      </w:r>
      <w:r>
        <w:t>原则</w:t>
      </w:r>
    </w:p>
    <w:p>
      <w:pPr>
        <w:pStyle w:val="15"/>
        <w:ind w:firstLine="480"/>
        <w:rPr>
          <w:rFonts w:eastAsia="仿宋_GB2312"/>
        </w:rPr>
      </w:pPr>
      <w:r>
        <w:rPr>
          <w:rFonts w:eastAsia="仿宋_GB2312"/>
        </w:rPr>
        <w:t>1、</w:t>
      </w:r>
      <w:r>
        <w:rPr>
          <w:rFonts w:hint="eastAsia" w:eastAsia="仿宋_GB2312"/>
        </w:rPr>
        <w:t>估算</w:t>
      </w:r>
      <w:r>
        <w:rPr>
          <w:rFonts w:eastAsia="仿宋_GB2312"/>
        </w:rPr>
        <w:t>编制严格执行国家、地方、行业有关法律、法规、标准、规范及规定。</w:t>
      </w:r>
    </w:p>
    <w:p>
      <w:pPr>
        <w:pStyle w:val="15"/>
        <w:ind w:firstLine="480"/>
        <w:rPr>
          <w:rFonts w:eastAsia="仿宋_GB2312"/>
        </w:rPr>
      </w:pPr>
      <w:r>
        <w:rPr>
          <w:rFonts w:eastAsia="仿宋_GB2312"/>
        </w:rPr>
        <w:t>2、本项目水土保持投资</w:t>
      </w:r>
      <w:r>
        <w:rPr>
          <w:rFonts w:hint="eastAsia" w:eastAsia="仿宋_GB2312"/>
        </w:rPr>
        <w:t>估算</w:t>
      </w:r>
      <w:r>
        <w:rPr>
          <w:rFonts w:eastAsia="仿宋_GB2312"/>
        </w:rPr>
        <w:t>是项目总投资的组成部分，计入该工程总投资中。编制深度与主体工程投资</w:t>
      </w:r>
      <w:r>
        <w:rPr>
          <w:rFonts w:hint="eastAsia" w:eastAsia="仿宋_GB2312"/>
        </w:rPr>
        <w:t>估算</w:t>
      </w:r>
      <w:r>
        <w:rPr>
          <w:rFonts w:eastAsia="仿宋_GB2312"/>
        </w:rPr>
        <w:t>编制深度一致，为</w:t>
      </w:r>
      <w:r>
        <w:rPr>
          <w:rFonts w:hint="eastAsia" w:eastAsia="仿宋_GB2312"/>
          <w:lang w:val="zh-CN"/>
        </w:rPr>
        <w:t>可研设计</w:t>
      </w:r>
      <w:r>
        <w:rPr>
          <w:rFonts w:eastAsia="仿宋_GB2312"/>
        </w:rPr>
        <w:t>深度。</w:t>
      </w:r>
    </w:p>
    <w:p>
      <w:pPr>
        <w:pStyle w:val="15"/>
        <w:ind w:firstLine="480"/>
        <w:rPr>
          <w:rFonts w:eastAsia="仿宋_GB2312"/>
        </w:rPr>
      </w:pPr>
      <w:r>
        <w:rPr>
          <w:rFonts w:eastAsia="仿宋_GB2312"/>
        </w:rPr>
        <w:t>3、本项目主体工程价格水平年为20</w:t>
      </w:r>
      <w:r>
        <w:rPr>
          <w:rFonts w:hint="eastAsia" w:eastAsia="仿宋_GB2312"/>
        </w:rPr>
        <w:t>20</w:t>
      </w:r>
      <w:r>
        <w:rPr>
          <w:rFonts w:eastAsia="仿宋_GB2312"/>
        </w:rPr>
        <w:t>年第</w:t>
      </w:r>
      <w:r>
        <w:rPr>
          <w:rFonts w:hint="eastAsia" w:eastAsia="仿宋_GB2312"/>
        </w:rPr>
        <w:t>二</w:t>
      </w:r>
      <w:r>
        <w:rPr>
          <w:rFonts w:eastAsia="仿宋_GB2312"/>
        </w:rPr>
        <w:t>季度，材料价格参考主体工程价格及20</w:t>
      </w:r>
      <w:r>
        <w:rPr>
          <w:rFonts w:hint="eastAsia" w:eastAsia="仿宋_GB2312"/>
        </w:rPr>
        <w:t>20</w:t>
      </w:r>
      <w:r>
        <w:rPr>
          <w:rFonts w:eastAsia="仿宋_GB2312"/>
        </w:rPr>
        <w:t>年第</w:t>
      </w:r>
      <w:r>
        <w:rPr>
          <w:rFonts w:hint="eastAsia" w:eastAsia="仿宋_GB2312"/>
        </w:rPr>
        <w:t>二</w:t>
      </w:r>
      <w:r>
        <w:rPr>
          <w:rFonts w:eastAsia="仿宋_GB2312"/>
        </w:rPr>
        <w:t>季度</w:t>
      </w:r>
      <w:r>
        <w:rPr>
          <w:rFonts w:hint="eastAsia" w:eastAsia="仿宋_GB2312"/>
        </w:rPr>
        <w:t>和田地区</w:t>
      </w:r>
      <w:r>
        <w:rPr>
          <w:rFonts w:eastAsia="仿宋_GB2312"/>
        </w:rPr>
        <w:t>价格。</w:t>
      </w:r>
    </w:p>
    <w:p>
      <w:pPr>
        <w:pStyle w:val="15"/>
        <w:ind w:firstLine="480"/>
        <w:rPr>
          <w:rFonts w:eastAsia="仿宋_GB2312"/>
        </w:rPr>
      </w:pPr>
      <w:r>
        <w:rPr>
          <w:rFonts w:eastAsia="仿宋_GB2312"/>
        </w:rPr>
        <w:t>4、水土保持工程投资</w:t>
      </w:r>
      <w:r>
        <w:rPr>
          <w:rFonts w:hint="eastAsia" w:eastAsia="仿宋_GB2312"/>
        </w:rPr>
        <w:t>估算</w:t>
      </w:r>
      <w:r>
        <w:rPr>
          <w:rFonts w:eastAsia="仿宋_GB2312"/>
        </w:rPr>
        <w:t>项目划分、费用构成及表格形式等根据《水土保持工程概（估）算编制规定》（水利部水总[2003]67号）编制。</w:t>
      </w:r>
    </w:p>
    <w:p>
      <w:pPr>
        <w:pStyle w:val="15"/>
        <w:ind w:firstLine="480"/>
        <w:rPr>
          <w:rFonts w:eastAsia="仿宋_GB2312"/>
        </w:rPr>
      </w:pPr>
      <w:r>
        <w:rPr>
          <w:rFonts w:eastAsia="仿宋_GB2312"/>
        </w:rPr>
        <w:t>5、人工预算单价、主要材料、次要材料施工用水、用电、用风等预算单价、施工机械台时费、相关费率等与主体工程一致，不足部分按水利部[2003]67号文《水土保持工程概（估）算编制规定》或其他行业、地方标准计算。</w:t>
      </w:r>
    </w:p>
    <w:p>
      <w:pPr>
        <w:pStyle w:val="15"/>
        <w:ind w:firstLine="480"/>
        <w:rPr>
          <w:rFonts w:eastAsia="仿宋_GB2312"/>
        </w:rPr>
      </w:pPr>
      <w:r>
        <w:rPr>
          <w:rFonts w:eastAsia="仿宋_GB2312"/>
        </w:rPr>
        <w:t>6、水土保持补偿费单列，计入总投资。</w:t>
      </w:r>
    </w:p>
    <w:p>
      <w:pPr>
        <w:pStyle w:val="5"/>
        <w:rPr>
          <w:kern w:val="2"/>
          <w:szCs w:val="28"/>
        </w:rPr>
      </w:pPr>
      <w:bookmarkStart w:id="319" w:name="_Toc255304636"/>
      <w:r>
        <w:rPr>
          <w:kern w:val="2"/>
          <w:szCs w:val="28"/>
        </w:rPr>
        <w:t>编制依据</w:t>
      </w:r>
      <w:bookmarkEnd w:id="319"/>
    </w:p>
    <w:p>
      <w:pPr>
        <w:pStyle w:val="15"/>
        <w:ind w:firstLine="480"/>
        <w:rPr>
          <w:rFonts w:eastAsia="仿宋_GB2312"/>
        </w:rPr>
      </w:pPr>
      <w:bookmarkStart w:id="320" w:name="_Toc255304637"/>
      <w:r>
        <w:rPr>
          <w:rFonts w:hint="eastAsia" w:eastAsia="仿宋_GB2312"/>
        </w:rPr>
        <w:t>1、</w:t>
      </w:r>
      <w:r>
        <w:rPr>
          <w:rFonts w:eastAsia="仿宋_GB2312"/>
        </w:rPr>
        <w:t>《《开发建设项目水土保持工程投资概(估)算编制规定》、《开发建设项目水土保持工程估算定额》、《开发建设项目水土保持工程施工机械台时费定额》(水利部水总〔2003〕67号)；</w:t>
      </w:r>
    </w:p>
    <w:p>
      <w:pPr>
        <w:pStyle w:val="15"/>
        <w:ind w:firstLine="480"/>
        <w:rPr>
          <w:rFonts w:eastAsia="仿宋_GB2312"/>
        </w:rPr>
      </w:pPr>
      <w:r>
        <w:rPr>
          <w:rFonts w:hint="eastAsia" w:eastAsia="仿宋_GB2312"/>
        </w:rPr>
        <w:t>2、</w:t>
      </w:r>
      <w:r>
        <w:rPr>
          <w:rFonts w:eastAsia="仿宋_GB2312"/>
        </w:rPr>
        <w:t>《水土保持工程概(估)算费编制规定及定额》(水利部[2003]67号)；</w:t>
      </w:r>
    </w:p>
    <w:p>
      <w:pPr>
        <w:pStyle w:val="15"/>
        <w:ind w:firstLine="480"/>
        <w:rPr>
          <w:rFonts w:eastAsia="仿宋_GB2312"/>
        </w:rPr>
      </w:pPr>
      <w:r>
        <w:rPr>
          <w:rFonts w:hint="eastAsia" w:eastAsia="仿宋_GB2312"/>
        </w:rPr>
        <w:t>3、</w:t>
      </w:r>
      <w:r>
        <w:rPr>
          <w:rFonts w:eastAsia="仿宋_GB2312"/>
        </w:rPr>
        <w:t>国家发展计划委员会、建设部《工程勘察设计收费标准》2002年10号文；</w:t>
      </w:r>
    </w:p>
    <w:p>
      <w:pPr>
        <w:pStyle w:val="15"/>
        <w:ind w:firstLine="480"/>
        <w:rPr>
          <w:rFonts w:eastAsia="仿宋_GB2312"/>
        </w:rPr>
      </w:pPr>
      <w:r>
        <w:rPr>
          <w:rFonts w:hint="eastAsia" w:eastAsia="仿宋_GB2312"/>
        </w:rPr>
        <w:t>4、</w:t>
      </w:r>
      <w:r>
        <w:rPr>
          <w:rFonts w:eastAsia="仿宋_GB2312"/>
        </w:rPr>
        <w:t>国家发展和改革委员会办公厅、建设部办公厅关于“印发修订建设监理与咨询服务收费标准的工作方案的通知”(发改办价格[2005]632号)；</w:t>
      </w:r>
    </w:p>
    <w:p>
      <w:pPr>
        <w:pStyle w:val="15"/>
        <w:ind w:firstLine="480"/>
        <w:rPr>
          <w:rFonts w:eastAsia="仿宋_GB2312"/>
        </w:rPr>
      </w:pPr>
      <w:r>
        <w:rPr>
          <w:rFonts w:hint="eastAsia" w:eastAsia="仿宋_GB2312"/>
        </w:rPr>
        <w:t>5、</w:t>
      </w:r>
      <w:r>
        <w:rPr>
          <w:rFonts w:eastAsia="仿宋_GB2312"/>
        </w:rPr>
        <w:t>“财政部国家发展改革委水利部中国人民银行关于印发《水土保持补偿费征收使用管理办法》的通知”(财综[2014]8号，2014年5月1日)；</w:t>
      </w:r>
    </w:p>
    <w:p>
      <w:pPr>
        <w:pStyle w:val="15"/>
        <w:ind w:firstLine="480"/>
        <w:rPr>
          <w:rFonts w:eastAsia="仿宋_GB2312"/>
        </w:rPr>
      </w:pPr>
      <w:r>
        <w:rPr>
          <w:rFonts w:hint="eastAsia" w:eastAsia="仿宋_GB2312"/>
        </w:rPr>
        <w:t>6、</w:t>
      </w:r>
      <w:r>
        <w:rPr>
          <w:rFonts w:eastAsia="仿宋_GB2312"/>
        </w:rPr>
        <w:t>“国家发改委财政部水利部《关于水土保持补偿费收费标准(试行)的通知》”(发改价格[2014]886号 2014年5月7日)；</w:t>
      </w:r>
    </w:p>
    <w:p>
      <w:pPr>
        <w:pStyle w:val="15"/>
        <w:ind w:firstLine="480"/>
        <w:rPr>
          <w:rFonts w:eastAsia="仿宋_GB2312"/>
        </w:rPr>
      </w:pPr>
      <w:r>
        <w:rPr>
          <w:rFonts w:hint="eastAsia" w:eastAsia="仿宋_GB2312"/>
        </w:rPr>
        <w:t>7、</w:t>
      </w:r>
      <w:r>
        <w:rPr>
          <w:rFonts w:eastAsia="仿宋_GB2312"/>
        </w:rPr>
        <w:t>新疆维吾尔自治区新政发[2000]45号文“关于印发新疆维吾尔自治区《水土保持设施补偿费、水土流失防治费收缴使用管理暂行规定》的通知”；</w:t>
      </w:r>
    </w:p>
    <w:p>
      <w:pPr>
        <w:pStyle w:val="15"/>
        <w:ind w:firstLine="480"/>
        <w:rPr>
          <w:rFonts w:eastAsia="仿宋_GB2312"/>
        </w:rPr>
      </w:pPr>
      <w:r>
        <w:rPr>
          <w:rFonts w:hint="eastAsia" w:eastAsia="仿宋_GB2312"/>
        </w:rPr>
        <w:t>8、</w:t>
      </w:r>
      <w:r>
        <w:rPr>
          <w:rFonts w:eastAsia="仿宋_GB2312"/>
        </w:rPr>
        <w:t>《关于印发水利工程营业税改增值税计价依据调整办法的通知》(水利部办公厅，办水总[2016]132号，2016年7月5日)；</w:t>
      </w:r>
    </w:p>
    <w:p>
      <w:pPr>
        <w:pStyle w:val="15"/>
        <w:ind w:firstLine="480"/>
        <w:rPr>
          <w:rFonts w:eastAsia="仿宋_GB2312"/>
        </w:rPr>
      </w:pPr>
      <w:r>
        <w:rPr>
          <w:rFonts w:hint="eastAsia" w:eastAsia="仿宋_GB2312"/>
        </w:rPr>
        <w:t>9、</w:t>
      </w:r>
      <w:r>
        <w:rPr>
          <w:rFonts w:eastAsia="仿宋_GB2312"/>
        </w:rPr>
        <w:t>《住房和城乡建设部办公厅关于重新调整建设工程计价依据增值税税率的通知》(建办标函[2019]193号文)</w:t>
      </w:r>
      <w:r>
        <w:rPr>
          <w:rFonts w:hint="eastAsia" w:eastAsia="仿宋_GB2312"/>
        </w:rPr>
        <w:t>；</w:t>
      </w:r>
    </w:p>
    <w:p>
      <w:pPr>
        <w:pStyle w:val="15"/>
        <w:ind w:firstLine="480"/>
        <w:rPr>
          <w:rFonts w:eastAsia="仿宋_GB2312"/>
        </w:rPr>
      </w:pPr>
      <w:r>
        <w:rPr>
          <w:rFonts w:hint="eastAsia" w:eastAsia="仿宋_GB2312"/>
        </w:rPr>
        <w:t>10、《水利部办公厅调整水利工程计价依据增值税计算标准的通知》（办财务函</w:t>
      </w:r>
      <w:r>
        <w:rPr>
          <w:rFonts w:eastAsia="仿宋_GB2312"/>
        </w:rPr>
        <w:t>[2019]448</w:t>
      </w:r>
      <w:r>
        <w:rPr>
          <w:rFonts w:hint="eastAsia" w:eastAsia="仿宋_GB2312"/>
        </w:rPr>
        <w:t>号）；</w:t>
      </w:r>
    </w:p>
    <w:p>
      <w:pPr>
        <w:pStyle w:val="15"/>
        <w:ind w:firstLine="480"/>
        <w:rPr>
          <w:rFonts w:eastAsia="仿宋_GB2312"/>
        </w:rPr>
      </w:pPr>
      <w:r>
        <w:rPr>
          <w:rFonts w:hint="eastAsia" w:eastAsia="仿宋_GB2312"/>
        </w:rPr>
        <w:t>11、新疆维吾尔自治区水利厅</w:t>
      </w:r>
      <w:r>
        <w:rPr>
          <w:rFonts w:eastAsia="仿宋_GB2312"/>
        </w:rPr>
        <w:t>《</w:t>
      </w:r>
      <w:r>
        <w:rPr>
          <w:rFonts w:hint="eastAsia" w:eastAsia="仿宋_GB2312"/>
        </w:rPr>
        <w:t>关于严格执行国家发展改革委财政部降低部分行政事业性收费标准的通知</w:t>
      </w:r>
      <w:r>
        <w:rPr>
          <w:rFonts w:eastAsia="仿宋_GB2312"/>
        </w:rPr>
        <w:t>》</w:t>
      </w:r>
      <w:r>
        <w:rPr>
          <w:rFonts w:hint="eastAsia" w:eastAsia="仿宋_GB2312"/>
        </w:rPr>
        <w:t>(新水办</w:t>
      </w:r>
      <w:r>
        <w:rPr>
          <w:rFonts w:eastAsia="仿宋_GB2312"/>
        </w:rPr>
        <w:t>[20</w:t>
      </w:r>
      <w:r>
        <w:rPr>
          <w:rFonts w:hint="eastAsia" w:eastAsia="仿宋_GB2312"/>
        </w:rPr>
        <w:t>20</w:t>
      </w:r>
      <w:r>
        <w:rPr>
          <w:rFonts w:eastAsia="仿宋_GB2312"/>
        </w:rPr>
        <w:t>]</w:t>
      </w:r>
      <w:r>
        <w:rPr>
          <w:rFonts w:hint="eastAsia" w:eastAsia="仿宋_GB2312"/>
        </w:rPr>
        <w:t>168号)；</w:t>
      </w:r>
    </w:p>
    <w:p>
      <w:pPr>
        <w:pStyle w:val="15"/>
        <w:ind w:firstLine="480"/>
        <w:rPr>
          <w:rFonts w:eastAsia="仿宋_GB2312"/>
        </w:rPr>
      </w:pPr>
      <w:r>
        <w:rPr>
          <w:rFonts w:hint="eastAsia" w:eastAsia="仿宋_GB2312"/>
        </w:rPr>
        <w:t>12、</w:t>
      </w:r>
      <w:r>
        <w:rPr>
          <w:rFonts w:eastAsia="仿宋_GB2312"/>
        </w:rPr>
        <w:t>主体工程</w:t>
      </w:r>
      <w:r>
        <w:rPr>
          <w:rFonts w:hint="eastAsia" w:eastAsia="仿宋_GB2312"/>
        </w:rPr>
        <w:t>相关</w:t>
      </w:r>
      <w:r>
        <w:rPr>
          <w:rFonts w:eastAsia="仿宋_GB2312"/>
        </w:rPr>
        <w:t>资料</w:t>
      </w:r>
      <w:r>
        <w:rPr>
          <w:rFonts w:hint="eastAsia" w:eastAsia="仿宋_GB2312"/>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编制说明与</w:t>
      </w:r>
      <w:r>
        <w:rPr>
          <w:rFonts w:hint="eastAsia" w:eastAsia="仿宋_GB2312"/>
        </w:rPr>
        <w:t>估算</w:t>
      </w:r>
      <w:r>
        <w:rPr>
          <w:rFonts w:eastAsia="仿宋_GB2312"/>
        </w:rPr>
        <w:t>成果</w:t>
      </w:r>
    </w:p>
    <w:bookmarkEnd w:id="320"/>
    <w:p>
      <w:pPr>
        <w:pStyle w:val="5"/>
      </w:pPr>
      <w:r>
        <w:t>编制说明</w:t>
      </w:r>
    </w:p>
    <w:p>
      <w:pPr>
        <w:pStyle w:val="15"/>
        <w:ind w:firstLine="480"/>
        <w:rPr>
          <w:rFonts w:eastAsia="仿宋_GB2312"/>
        </w:rPr>
      </w:pPr>
      <w:r>
        <w:rPr>
          <w:rFonts w:eastAsia="仿宋_GB2312"/>
        </w:rPr>
        <w:t>（一）基础单价编制</w:t>
      </w:r>
    </w:p>
    <w:p>
      <w:pPr>
        <w:pStyle w:val="15"/>
        <w:ind w:firstLine="480"/>
        <w:rPr>
          <w:rFonts w:eastAsia="仿宋_GB2312"/>
        </w:rPr>
      </w:pPr>
      <w:r>
        <w:rPr>
          <w:rFonts w:eastAsia="仿宋_GB2312"/>
        </w:rPr>
        <w:t>1、人工预算单价</w:t>
      </w:r>
    </w:p>
    <w:p>
      <w:pPr>
        <w:pStyle w:val="15"/>
        <w:ind w:firstLine="480"/>
        <w:rPr>
          <w:rFonts w:eastAsia="仿宋_GB2312"/>
        </w:rPr>
      </w:pPr>
      <w:r>
        <w:rPr>
          <w:rFonts w:eastAsia="仿宋_GB2312"/>
        </w:rPr>
        <w:t>本水保工程的单价采取主体工程中的单价，不足的部分采取水利部水总[2003]67号文颁发的《开发建设项目水土保持工程概（估）算编制规定》。本工程采用的人工预算单价、主要工程单价、取费费率与主体工程一致，不足部分参考相关规定。本工程参考主体工程人工单价，为</w:t>
      </w:r>
      <w:r>
        <w:rPr>
          <w:rFonts w:hint="eastAsia" w:eastAsia="仿宋_GB2312"/>
        </w:rPr>
        <w:t>8.07</w:t>
      </w:r>
      <w:r>
        <w:rPr>
          <w:rFonts w:eastAsia="仿宋_GB2312"/>
        </w:rPr>
        <w:t>元/</w:t>
      </w:r>
      <w:r>
        <w:rPr>
          <w:rFonts w:hint="eastAsia" w:eastAsia="仿宋_GB2312"/>
        </w:rPr>
        <w:t>工时</w:t>
      </w:r>
      <w:r>
        <w:rPr>
          <w:rFonts w:eastAsia="仿宋_GB2312"/>
        </w:rPr>
        <w:t>。</w:t>
      </w:r>
    </w:p>
    <w:p>
      <w:pPr>
        <w:pStyle w:val="15"/>
        <w:ind w:firstLine="480"/>
        <w:rPr>
          <w:rFonts w:eastAsia="仿宋_GB2312"/>
        </w:rPr>
      </w:pPr>
      <w:r>
        <w:rPr>
          <w:rFonts w:eastAsia="仿宋_GB2312"/>
        </w:rPr>
        <w:t>2、材料预算价格：主要材料（柴油、汽油、水泥、砂石料、砖）等采用主体工程中的价格，主体工程中没有的材料价格参考新疆工程造价信息网</w:t>
      </w:r>
      <w:r>
        <w:rPr>
          <w:rFonts w:hint="eastAsia" w:eastAsia="仿宋_GB2312"/>
        </w:rPr>
        <w:t>和田地区</w:t>
      </w:r>
      <w:r>
        <w:rPr>
          <w:rFonts w:eastAsia="仿宋_GB2312"/>
        </w:rPr>
        <w:t>20</w:t>
      </w:r>
      <w:r>
        <w:rPr>
          <w:rFonts w:hint="eastAsia" w:eastAsia="仿宋_GB2312"/>
        </w:rPr>
        <w:t>20</w:t>
      </w:r>
      <w:r>
        <w:rPr>
          <w:rFonts w:eastAsia="仿宋_GB2312"/>
        </w:rPr>
        <w:t>年第</w:t>
      </w:r>
      <w:r>
        <w:rPr>
          <w:rFonts w:hint="eastAsia" w:eastAsia="仿宋_GB2312"/>
        </w:rPr>
        <w:t>二</w:t>
      </w:r>
      <w:r>
        <w:rPr>
          <w:rFonts w:eastAsia="仿宋_GB2312"/>
        </w:rPr>
        <w:t>季度材料价格信息编制。</w:t>
      </w:r>
    </w:p>
    <w:p>
      <w:pPr>
        <w:pStyle w:val="15"/>
        <w:ind w:firstLine="480"/>
        <w:rPr>
          <w:rFonts w:eastAsia="仿宋_GB2312"/>
        </w:rPr>
      </w:pPr>
      <w:r>
        <w:rPr>
          <w:rFonts w:eastAsia="仿宋_GB2312"/>
        </w:rPr>
        <w:t>3、苗木草种价格：苗木、种子的预算价格按当地市场价格加运杂费和采购及保管费计算。</w:t>
      </w:r>
    </w:p>
    <w:p>
      <w:pPr>
        <w:pStyle w:val="15"/>
        <w:ind w:firstLine="480"/>
        <w:rPr>
          <w:rFonts w:eastAsia="仿宋_GB2312"/>
        </w:rPr>
      </w:pPr>
      <w:r>
        <w:rPr>
          <w:rFonts w:eastAsia="仿宋_GB2312"/>
        </w:rPr>
        <w:t>4、施工用水用电价格</w:t>
      </w:r>
    </w:p>
    <w:p>
      <w:pPr>
        <w:pStyle w:val="15"/>
        <w:ind w:firstLine="480"/>
        <w:rPr>
          <w:rFonts w:eastAsia="仿宋_GB2312"/>
        </w:rPr>
      </w:pPr>
      <w:r>
        <w:rPr>
          <w:rFonts w:eastAsia="仿宋_GB2312"/>
        </w:rPr>
        <w:t>水、电价：同主体工程。</w:t>
      </w:r>
    </w:p>
    <w:p>
      <w:pPr>
        <w:pStyle w:val="15"/>
        <w:ind w:firstLine="480"/>
        <w:rPr>
          <w:rFonts w:eastAsia="仿宋_GB2312"/>
        </w:rPr>
      </w:pPr>
      <w:r>
        <w:rPr>
          <w:rFonts w:eastAsia="仿宋_GB2312"/>
        </w:rPr>
        <w:t>5、施工机械台时费：施工机械台时费与主体工程一致，主体工程中没有的按照《开发建设项目水土保持工程施工机械台时费定额》编制。</w:t>
      </w:r>
    </w:p>
    <w:p>
      <w:pPr>
        <w:pStyle w:val="15"/>
        <w:ind w:firstLine="480"/>
        <w:rPr>
          <w:rFonts w:eastAsia="仿宋_GB2312"/>
        </w:rPr>
      </w:pPr>
      <w:r>
        <w:rPr>
          <w:rFonts w:eastAsia="仿宋_GB2312"/>
        </w:rPr>
        <w:t>6、运杂费除采购合同特别注明外，其他均按新交造价[2008]2号文规定编制。</w:t>
      </w:r>
    </w:p>
    <w:p>
      <w:pPr>
        <w:pStyle w:val="15"/>
        <w:ind w:firstLine="480"/>
        <w:rPr>
          <w:rFonts w:eastAsia="仿宋_GB2312"/>
        </w:rPr>
      </w:pPr>
      <w:r>
        <w:rPr>
          <w:rFonts w:eastAsia="仿宋_GB2312"/>
        </w:rPr>
        <w:t>（二）工程单价编制</w:t>
      </w:r>
    </w:p>
    <w:p>
      <w:pPr>
        <w:pStyle w:val="15"/>
        <w:ind w:firstLine="480"/>
        <w:rPr>
          <w:rFonts w:eastAsia="仿宋_GB2312"/>
        </w:rPr>
      </w:pPr>
      <w:r>
        <w:rPr>
          <w:rFonts w:eastAsia="仿宋_GB2312"/>
        </w:rPr>
        <w:t>1、工程措施和植物措施单价</w:t>
      </w:r>
    </w:p>
    <w:p>
      <w:pPr>
        <w:pStyle w:val="15"/>
        <w:ind w:firstLine="480"/>
        <w:rPr>
          <w:rFonts w:eastAsia="仿宋_GB2312"/>
        </w:rPr>
      </w:pPr>
      <w:r>
        <w:rPr>
          <w:rFonts w:eastAsia="仿宋_GB2312"/>
        </w:rPr>
        <w:t>工程措施和植物措施单价由直接工程费、间接费、企业利润</w:t>
      </w:r>
      <w:r>
        <w:rPr>
          <w:rFonts w:hint="eastAsia" w:eastAsia="仿宋_GB2312"/>
        </w:rPr>
        <w:t>、</w:t>
      </w:r>
      <w:r>
        <w:rPr>
          <w:rFonts w:eastAsia="仿宋_GB2312"/>
        </w:rPr>
        <w:t>税金和</w:t>
      </w:r>
      <w:r>
        <w:rPr>
          <w:rFonts w:hint="eastAsia" w:eastAsia="仿宋_GB2312"/>
        </w:rPr>
        <w:t>扩大10%</w:t>
      </w:r>
      <w:r>
        <w:rPr>
          <w:rFonts w:eastAsia="仿宋_GB2312"/>
        </w:rPr>
        <w:t>组成。</w:t>
      </w:r>
    </w:p>
    <w:p>
      <w:pPr>
        <w:pStyle w:val="15"/>
        <w:ind w:firstLine="480"/>
        <w:rPr>
          <w:rFonts w:eastAsia="仿宋_GB2312"/>
        </w:rPr>
      </w:pPr>
      <w:r>
        <w:rPr>
          <w:rFonts w:eastAsia="仿宋_GB2312"/>
        </w:rPr>
        <w:t>直接工程费包括直接费、其它直接费和现场经费。</w:t>
      </w:r>
    </w:p>
    <w:p>
      <w:pPr>
        <w:pStyle w:val="15"/>
        <w:ind w:firstLine="480"/>
        <w:rPr>
          <w:rFonts w:eastAsia="仿宋_GB2312"/>
        </w:rPr>
      </w:pPr>
      <w:r>
        <w:rPr>
          <w:rFonts w:eastAsia="仿宋_GB2312"/>
        </w:rPr>
        <w:t>直接费包括人工费、材料费和机械使用费三项。</w:t>
      </w:r>
    </w:p>
    <w:p>
      <w:pPr>
        <w:pStyle w:val="15"/>
        <w:ind w:firstLine="480"/>
        <w:rPr>
          <w:rFonts w:eastAsia="仿宋_GB2312"/>
        </w:rPr>
      </w:pPr>
      <w:r>
        <w:rPr>
          <w:rFonts w:eastAsia="仿宋_GB2312"/>
        </w:rPr>
        <w:t>人工费=定额劳动量（工时）×人工预算单价（元/工时）</w:t>
      </w:r>
      <w:r>
        <w:rPr>
          <w:rFonts w:hint="eastAsia" w:eastAsia="仿宋_GB2312"/>
        </w:rPr>
        <w:t>。</w:t>
      </w:r>
    </w:p>
    <w:p>
      <w:pPr>
        <w:pStyle w:val="15"/>
        <w:ind w:firstLine="480"/>
        <w:rPr>
          <w:rFonts w:eastAsia="仿宋_GB2312"/>
        </w:rPr>
      </w:pPr>
      <w:r>
        <w:rPr>
          <w:rFonts w:eastAsia="仿宋_GB2312"/>
        </w:rPr>
        <w:t>材料费=定额材料用量称材料预算单价，工程措施材料采购及保管费费率为2.3%，植物措施材料采购及保管费费率为1.1%。</w:t>
      </w:r>
    </w:p>
    <w:p>
      <w:pPr>
        <w:pStyle w:val="15"/>
        <w:ind w:firstLine="480"/>
        <w:rPr>
          <w:rFonts w:eastAsia="仿宋_GB2312"/>
        </w:rPr>
      </w:pPr>
      <w:r>
        <w:rPr>
          <w:rFonts w:eastAsia="仿宋_GB2312"/>
        </w:rPr>
        <w:t>机械使用费=定额机械使用量（台时）×施工机械台时费（施工机械台时费定额的折旧费除以1.1</w:t>
      </w:r>
      <w:r>
        <w:rPr>
          <w:rFonts w:hint="eastAsia" w:eastAsia="仿宋_GB2312"/>
        </w:rPr>
        <w:t>3</w:t>
      </w:r>
      <w:r>
        <w:rPr>
          <w:rFonts w:eastAsia="仿宋_GB2312"/>
        </w:rPr>
        <w:t>调整系数，修理及替换设备费除以1.</w:t>
      </w:r>
      <w:r>
        <w:rPr>
          <w:rFonts w:hint="eastAsia" w:eastAsia="仿宋_GB2312"/>
        </w:rPr>
        <w:t>09</w:t>
      </w:r>
      <w:r>
        <w:rPr>
          <w:rFonts w:eastAsia="仿宋_GB2312"/>
        </w:rPr>
        <w:t>调整系数</w:t>
      </w:r>
      <w:r>
        <w:rPr>
          <w:rFonts w:hint="eastAsia" w:eastAsia="仿宋_GB2312"/>
        </w:rPr>
        <w:t>）</w:t>
      </w:r>
      <w:r>
        <w:rPr>
          <w:rFonts w:eastAsia="仿宋_GB2312"/>
        </w:rPr>
        <w:t>。</w:t>
      </w:r>
    </w:p>
    <w:p>
      <w:pPr>
        <w:pStyle w:val="15"/>
        <w:ind w:firstLine="480"/>
        <w:rPr>
          <w:rFonts w:eastAsia="仿宋_GB2312"/>
        </w:rPr>
      </w:pPr>
      <w:r>
        <w:rPr>
          <w:rFonts w:eastAsia="仿宋_GB2312"/>
        </w:rPr>
        <w:t>对于《开发建设项目水土保持工程概（估）算编制规定》（水总[2003]67号）中没有的部分根据实际发生价格编制其单价。</w:t>
      </w:r>
    </w:p>
    <w:p>
      <w:pPr>
        <w:pStyle w:val="15"/>
        <w:ind w:firstLine="480"/>
        <w:rPr>
          <w:rFonts w:eastAsia="仿宋_GB2312"/>
        </w:rPr>
      </w:pPr>
      <w:r>
        <w:rPr>
          <w:rFonts w:eastAsia="仿宋_GB2312"/>
        </w:rPr>
        <w:t>2、其它直接费</w:t>
      </w:r>
      <w:r>
        <w:rPr>
          <w:rFonts w:eastAsia="仿宋_GB2312"/>
        </w:rPr>
        <w:tab/>
      </w:r>
    </w:p>
    <w:p>
      <w:pPr>
        <w:pStyle w:val="15"/>
        <w:ind w:firstLine="480"/>
        <w:rPr>
          <w:rFonts w:eastAsia="仿宋_GB2312"/>
        </w:rPr>
      </w:pPr>
      <w:r>
        <w:rPr>
          <w:rFonts w:eastAsia="仿宋_GB2312"/>
        </w:rPr>
        <w:t>以直接费为计费基础乘以相应的费率进行计算，采用主体工程单价的其费率按照主体工程费率计，其他的按照水利部水总[2003]67号《开发建设项目水土保持工程（估）算编制规定》。</w:t>
      </w:r>
    </w:p>
    <w:p>
      <w:pPr>
        <w:pStyle w:val="15"/>
        <w:ind w:firstLine="480"/>
        <w:rPr>
          <w:rFonts w:eastAsia="仿宋_GB2312"/>
        </w:rPr>
      </w:pPr>
      <w:r>
        <w:rPr>
          <w:rFonts w:eastAsia="仿宋_GB2312"/>
        </w:rPr>
        <w:t>1）冬雨季施工增加费</w:t>
      </w:r>
    </w:p>
    <w:p>
      <w:pPr>
        <w:pStyle w:val="15"/>
        <w:ind w:firstLine="480"/>
        <w:rPr>
          <w:rFonts w:eastAsia="仿宋_GB2312"/>
        </w:rPr>
      </w:pPr>
      <w:r>
        <w:rPr>
          <w:rFonts w:eastAsia="仿宋_GB2312"/>
        </w:rPr>
        <w:t>本项目区属于西北地区，根据水利部水总[2003]67号文规定，冬雨季施工费应取1.5-2.5%，本项目区属于西北地区，可取中值或大值，植物措施、机械固沙、土地整治工程取下限，确定本方案中取植物措施、机械固沙、土地整治工程的冬雨季施工增加费取1.5%，其他项目取2%。</w:t>
      </w:r>
    </w:p>
    <w:p>
      <w:pPr>
        <w:pStyle w:val="15"/>
        <w:ind w:firstLine="480"/>
        <w:rPr>
          <w:rFonts w:eastAsia="仿宋_GB2312"/>
        </w:rPr>
      </w:pPr>
      <w:r>
        <w:rPr>
          <w:rFonts w:eastAsia="仿宋_GB2312"/>
        </w:rPr>
        <w:t>2）夜间施工增加费</w:t>
      </w:r>
    </w:p>
    <w:p>
      <w:pPr>
        <w:pStyle w:val="15"/>
        <w:ind w:firstLine="480"/>
        <w:rPr>
          <w:rFonts w:eastAsia="仿宋_GB2312"/>
        </w:rPr>
      </w:pPr>
      <w:r>
        <w:rPr>
          <w:rFonts w:eastAsia="仿宋_GB2312"/>
        </w:rPr>
        <w:t>按直接费的0.5%计算，植物措施、机械固沙、土地整治工程不计此项费用。</w:t>
      </w:r>
    </w:p>
    <w:p>
      <w:pPr>
        <w:pStyle w:val="15"/>
        <w:ind w:firstLine="480"/>
        <w:rPr>
          <w:rFonts w:eastAsia="仿宋_GB2312"/>
        </w:rPr>
      </w:pPr>
      <w:r>
        <w:rPr>
          <w:rFonts w:eastAsia="仿宋_GB2312"/>
        </w:rPr>
        <w:t>3）特殊地区施工增加费</w:t>
      </w:r>
    </w:p>
    <w:p>
      <w:pPr>
        <w:pStyle w:val="15"/>
        <w:ind w:firstLine="480"/>
        <w:rPr>
          <w:rFonts w:eastAsia="仿宋_GB2312"/>
        </w:rPr>
      </w:pPr>
      <w:r>
        <w:rPr>
          <w:rFonts w:eastAsia="仿宋_GB2312"/>
        </w:rPr>
        <w:t>本方案不涉及此项。</w:t>
      </w:r>
    </w:p>
    <w:p>
      <w:pPr>
        <w:pStyle w:val="15"/>
        <w:ind w:firstLine="480"/>
        <w:rPr>
          <w:rFonts w:eastAsia="仿宋_GB2312"/>
        </w:rPr>
      </w:pPr>
      <w:r>
        <w:rPr>
          <w:rFonts w:eastAsia="仿宋_GB2312"/>
        </w:rPr>
        <w:t>4）其他</w:t>
      </w:r>
    </w:p>
    <w:p>
      <w:pPr>
        <w:pStyle w:val="15"/>
        <w:ind w:firstLine="480"/>
        <w:rPr>
          <w:rFonts w:eastAsia="仿宋_GB2312"/>
        </w:rPr>
      </w:pPr>
      <w:r>
        <w:rPr>
          <w:rFonts w:eastAsia="仿宋_GB2312"/>
        </w:rPr>
        <w:t>按直接费的0.5%-1.0%计算，本方案中植物措施、土地整治工程均取下限，取值0.5%，其他工程取1.0%。</w:t>
      </w:r>
    </w:p>
    <w:p>
      <w:pPr>
        <w:pStyle w:val="15"/>
        <w:ind w:firstLine="480"/>
        <w:rPr>
          <w:rFonts w:eastAsia="仿宋_GB2312"/>
        </w:rPr>
      </w:pPr>
      <w:r>
        <w:rPr>
          <w:rFonts w:eastAsia="仿宋_GB2312"/>
        </w:rPr>
        <w:t>经分析本方案中植物措施及土地整治工程其他直接费费率取2%，机械固沙工程其他直接费取2.5%，其他工程的其他直接费费率取3.5%。</w:t>
      </w:r>
    </w:p>
    <w:p>
      <w:pPr>
        <w:pStyle w:val="15"/>
        <w:ind w:firstLine="480"/>
        <w:rPr>
          <w:rFonts w:eastAsia="仿宋_GB2312"/>
        </w:rPr>
      </w:pPr>
      <w:r>
        <w:rPr>
          <w:rFonts w:hint="eastAsia" w:eastAsia="仿宋_GB2312"/>
        </w:rPr>
        <w:t>3、</w:t>
      </w:r>
      <w:r>
        <w:rPr>
          <w:rFonts w:eastAsia="仿宋_GB2312"/>
        </w:rPr>
        <w:t>现场经费</w:t>
      </w:r>
    </w:p>
    <w:p>
      <w:pPr>
        <w:pStyle w:val="15"/>
        <w:ind w:firstLine="480"/>
        <w:rPr>
          <w:rFonts w:eastAsia="仿宋_GB2312"/>
        </w:rPr>
      </w:pPr>
      <w:r>
        <w:rPr>
          <w:rFonts w:eastAsia="仿宋_GB2312"/>
        </w:rPr>
        <w:t>以直接费为计费基础乘以相应的费率进行计算，费率按照水利部水总[2003]67号《开发建设项目水土保持工程（估）算编制规定》确定，见表7.1-1。</w:t>
      </w:r>
    </w:p>
    <w:p>
      <w:pPr>
        <w:pStyle w:val="15"/>
        <w:ind w:firstLine="480"/>
        <w:rPr>
          <w:rFonts w:eastAsia="仿宋_GB2312"/>
        </w:rPr>
      </w:pPr>
      <w:r>
        <w:rPr>
          <w:rFonts w:hint="eastAsia" w:eastAsia="仿宋_GB2312"/>
        </w:rPr>
        <w:t>4、</w:t>
      </w:r>
      <w:r>
        <w:rPr>
          <w:rFonts w:eastAsia="仿宋_GB2312"/>
        </w:rPr>
        <w:t>间接费</w:t>
      </w:r>
    </w:p>
    <w:p>
      <w:pPr>
        <w:pStyle w:val="15"/>
        <w:ind w:firstLine="480"/>
        <w:rPr>
          <w:rFonts w:eastAsia="仿宋_GB2312"/>
        </w:rPr>
      </w:pPr>
      <w:r>
        <w:rPr>
          <w:rFonts w:eastAsia="仿宋_GB2312"/>
        </w:rPr>
        <w:t>以直接工程费为计费基础乘以相应的费率进行计算，费率按照水利部水总[2003]67号《开发建设项目水土保持工程（估）算编制规定》确定，见表7.1-1。</w:t>
      </w:r>
    </w:p>
    <w:p>
      <w:pPr>
        <w:pStyle w:val="15"/>
        <w:ind w:firstLine="480"/>
        <w:rPr>
          <w:rFonts w:eastAsia="仿宋_GB2312"/>
        </w:rPr>
      </w:pPr>
      <w:r>
        <w:rPr>
          <w:rFonts w:eastAsia="仿宋_GB2312"/>
        </w:rPr>
        <w:t>现场经费、间接费费率取值见表7.1-1。</w:t>
      </w:r>
    </w:p>
    <w:p>
      <w:pPr>
        <w:pStyle w:val="15"/>
        <w:spacing w:line="240" w:lineRule="auto"/>
        <w:ind w:firstLine="0" w:firstLineChars="0"/>
        <w:jc w:val="center"/>
        <w:rPr>
          <w:rFonts w:eastAsia="仿宋_GB2312"/>
          <w:b/>
        </w:rPr>
      </w:pPr>
      <w:r>
        <w:rPr>
          <w:rFonts w:eastAsia="仿宋_GB2312"/>
          <w:b/>
        </w:rPr>
        <w:t>表7.1-1  现场经费、间接费费率取值表</w:t>
      </w:r>
    </w:p>
    <w:tbl>
      <w:tblPr>
        <w:tblStyle w:val="40"/>
        <w:tblW w:w="514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7"/>
        <w:gridCol w:w="1556"/>
        <w:gridCol w:w="1133"/>
        <w:gridCol w:w="1089"/>
        <w:gridCol w:w="1605"/>
        <w:gridCol w:w="1277"/>
        <w:gridCol w:w="15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65" w:type="pct"/>
            <w:gridSpan w:val="4"/>
            <w:vAlign w:val="center"/>
          </w:tcPr>
          <w:p>
            <w:pPr>
              <w:pStyle w:val="15"/>
              <w:spacing w:line="240" w:lineRule="auto"/>
              <w:ind w:firstLine="0" w:firstLineChars="0"/>
              <w:jc w:val="center"/>
              <w:rPr>
                <w:rFonts w:eastAsia="仿宋_GB2312"/>
                <w:sz w:val="21"/>
                <w:szCs w:val="21"/>
              </w:rPr>
            </w:pPr>
            <w:r>
              <w:rPr>
                <w:rFonts w:eastAsia="仿宋_GB2312"/>
                <w:sz w:val="21"/>
                <w:szCs w:val="21"/>
              </w:rPr>
              <w:t>现场经费</w:t>
            </w:r>
          </w:p>
        </w:tc>
        <w:tc>
          <w:tcPr>
            <w:tcW w:w="2535" w:type="pct"/>
            <w:gridSpan w:val="3"/>
            <w:vAlign w:val="center"/>
          </w:tcPr>
          <w:p>
            <w:pPr>
              <w:pStyle w:val="15"/>
              <w:spacing w:line="240" w:lineRule="auto"/>
              <w:ind w:firstLine="0" w:firstLineChars="0"/>
              <w:jc w:val="center"/>
              <w:rPr>
                <w:rFonts w:eastAsia="仿宋_GB2312"/>
                <w:sz w:val="21"/>
                <w:szCs w:val="21"/>
              </w:rPr>
            </w:pPr>
            <w:r>
              <w:rPr>
                <w:rFonts w:eastAsia="仿宋_GB2312"/>
                <w:sz w:val="21"/>
                <w:szCs w:val="21"/>
              </w:rPr>
              <w:t>间接费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序号</w:t>
            </w:r>
          </w:p>
        </w:tc>
        <w:tc>
          <w:tcPr>
            <w:tcW w:w="88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工程类别</w:t>
            </w:r>
          </w:p>
        </w:tc>
        <w:tc>
          <w:tcPr>
            <w:tcW w:w="64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计费基础</w:t>
            </w:r>
          </w:p>
        </w:tc>
        <w:tc>
          <w:tcPr>
            <w:tcW w:w="622" w:type="pct"/>
            <w:vAlign w:val="center"/>
          </w:tcPr>
          <w:p>
            <w:pPr>
              <w:pStyle w:val="15"/>
              <w:spacing w:line="240" w:lineRule="auto"/>
              <w:ind w:firstLine="0" w:firstLineChars="0"/>
              <w:jc w:val="center"/>
              <w:rPr>
                <w:rFonts w:eastAsia="仿宋_GB2312"/>
                <w:sz w:val="21"/>
                <w:szCs w:val="21"/>
              </w:rPr>
            </w:pPr>
            <w:r>
              <w:rPr>
                <w:rFonts w:eastAsia="仿宋_GB2312"/>
                <w:sz w:val="21"/>
                <w:szCs w:val="21"/>
              </w:rPr>
              <w:t>费率（%）</w:t>
            </w:r>
          </w:p>
        </w:tc>
        <w:tc>
          <w:tcPr>
            <w:tcW w:w="91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工程类别</w:t>
            </w:r>
          </w:p>
        </w:tc>
        <w:tc>
          <w:tcPr>
            <w:tcW w:w="72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计费基础</w:t>
            </w:r>
          </w:p>
        </w:tc>
        <w:tc>
          <w:tcPr>
            <w:tcW w:w="890" w:type="pct"/>
            <w:vAlign w:val="center"/>
          </w:tcPr>
          <w:p>
            <w:pPr>
              <w:pStyle w:val="15"/>
              <w:spacing w:line="240" w:lineRule="auto"/>
              <w:ind w:firstLine="0" w:firstLineChars="0"/>
              <w:jc w:val="center"/>
              <w:rPr>
                <w:rFonts w:eastAsia="仿宋_GB2312"/>
                <w:sz w:val="21"/>
                <w:szCs w:val="21"/>
              </w:rPr>
            </w:pPr>
            <w:r>
              <w:rPr>
                <w:rFonts w:eastAsia="仿宋_GB2312"/>
                <w:sz w:val="21"/>
                <w:szCs w:val="21"/>
              </w:rPr>
              <w:t>费率（%）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一</w:t>
            </w:r>
          </w:p>
        </w:tc>
        <w:tc>
          <w:tcPr>
            <w:tcW w:w="88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工程措施</w:t>
            </w:r>
          </w:p>
        </w:tc>
        <w:tc>
          <w:tcPr>
            <w:tcW w:w="64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直接费</w:t>
            </w:r>
          </w:p>
        </w:tc>
        <w:tc>
          <w:tcPr>
            <w:tcW w:w="622" w:type="pct"/>
            <w:vAlign w:val="center"/>
          </w:tcPr>
          <w:p>
            <w:pPr>
              <w:pStyle w:val="15"/>
              <w:spacing w:line="240" w:lineRule="auto"/>
              <w:ind w:firstLine="420"/>
              <w:jc w:val="center"/>
              <w:rPr>
                <w:rFonts w:eastAsia="仿宋_GB2312"/>
                <w:sz w:val="21"/>
                <w:szCs w:val="21"/>
              </w:rPr>
            </w:pPr>
          </w:p>
        </w:tc>
        <w:tc>
          <w:tcPr>
            <w:tcW w:w="91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工程措施</w:t>
            </w:r>
          </w:p>
        </w:tc>
        <w:tc>
          <w:tcPr>
            <w:tcW w:w="729" w:type="pct"/>
            <w:vAlign w:val="center"/>
          </w:tcPr>
          <w:p>
            <w:pPr>
              <w:pStyle w:val="15"/>
              <w:spacing w:line="240" w:lineRule="auto"/>
              <w:ind w:firstLine="420"/>
              <w:jc w:val="center"/>
              <w:rPr>
                <w:rFonts w:eastAsia="仿宋_GB2312"/>
                <w:sz w:val="21"/>
                <w:szCs w:val="21"/>
              </w:rPr>
            </w:pPr>
          </w:p>
        </w:tc>
        <w:tc>
          <w:tcPr>
            <w:tcW w:w="890" w:type="pct"/>
            <w:vAlign w:val="center"/>
          </w:tcPr>
          <w:p>
            <w:pPr>
              <w:pStyle w:val="15"/>
              <w:spacing w:line="240" w:lineRule="auto"/>
              <w:ind w:firstLine="42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1</w:t>
            </w:r>
          </w:p>
        </w:tc>
        <w:tc>
          <w:tcPr>
            <w:tcW w:w="88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土石方工程</w:t>
            </w:r>
          </w:p>
        </w:tc>
        <w:tc>
          <w:tcPr>
            <w:tcW w:w="64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直接费</w:t>
            </w:r>
          </w:p>
        </w:tc>
        <w:tc>
          <w:tcPr>
            <w:tcW w:w="622" w:type="pct"/>
            <w:vAlign w:val="center"/>
          </w:tcPr>
          <w:p>
            <w:pPr>
              <w:pStyle w:val="15"/>
              <w:spacing w:line="240" w:lineRule="auto"/>
              <w:ind w:firstLine="0" w:firstLineChars="0"/>
              <w:jc w:val="center"/>
              <w:rPr>
                <w:rFonts w:eastAsia="仿宋_GB2312"/>
                <w:sz w:val="21"/>
                <w:szCs w:val="21"/>
              </w:rPr>
            </w:pPr>
            <w:r>
              <w:rPr>
                <w:rFonts w:eastAsia="仿宋_GB2312"/>
                <w:sz w:val="21"/>
                <w:szCs w:val="21"/>
              </w:rPr>
              <w:t>3-5（取</w:t>
            </w:r>
            <w:r>
              <w:rPr>
                <w:rFonts w:hint="eastAsia" w:eastAsia="仿宋_GB2312"/>
                <w:sz w:val="21"/>
                <w:szCs w:val="21"/>
              </w:rPr>
              <w:t>5</w:t>
            </w:r>
            <w:r>
              <w:rPr>
                <w:rFonts w:eastAsia="仿宋_GB2312"/>
                <w:sz w:val="21"/>
                <w:szCs w:val="21"/>
              </w:rPr>
              <w:t>）</w:t>
            </w:r>
          </w:p>
        </w:tc>
        <w:tc>
          <w:tcPr>
            <w:tcW w:w="91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土石方工程</w:t>
            </w:r>
          </w:p>
        </w:tc>
        <w:tc>
          <w:tcPr>
            <w:tcW w:w="72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直接工程费</w:t>
            </w:r>
          </w:p>
        </w:tc>
        <w:tc>
          <w:tcPr>
            <w:tcW w:w="890" w:type="pct"/>
            <w:vAlign w:val="center"/>
          </w:tcPr>
          <w:p>
            <w:pPr>
              <w:pStyle w:val="15"/>
              <w:spacing w:line="240" w:lineRule="auto"/>
              <w:ind w:firstLine="0" w:firstLineChars="0"/>
              <w:jc w:val="center"/>
              <w:rPr>
                <w:rFonts w:eastAsia="仿宋_GB2312"/>
                <w:sz w:val="21"/>
                <w:szCs w:val="21"/>
              </w:rPr>
            </w:pPr>
            <w:r>
              <w:rPr>
                <w:rFonts w:eastAsia="仿宋_GB2312"/>
                <w:sz w:val="21"/>
                <w:szCs w:val="21"/>
              </w:rPr>
              <w:t>3.3-5.5（取</w:t>
            </w:r>
            <w:r>
              <w:rPr>
                <w:rFonts w:hint="eastAsia" w:eastAsia="仿宋_GB2312"/>
                <w:sz w:val="21"/>
                <w:szCs w:val="21"/>
              </w:rPr>
              <w:t>4.4</w:t>
            </w:r>
            <w:r>
              <w:rPr>
                <w:rFonts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2</w:t>
            </w:r>
          </w:p>
        </w:tc>
        <w:tc>
          <w:tcPr>
            <w:tcW w:w="88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混凝土工程</w:t>
            </w:r>
          </w:p>
        </w:tc>
        <w:tc>
          <w:tcPr>
            <w:tcW w:w="64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直接费</w:t>
            </w:r>
          </w:p>
        </w:tc>
        <w:tc>
          <w:tcPr>
            <w:tcW w:w="622" w:type="pct"/>
            <w:vAlign w:val="center"/>
          </w:tcPr>
          <w:p>
            <w:pPr>
              <w:pStyle w:val="15"/>
              <w:spacing w:line="240" w:lineRule="auto"/>
              <w:ind w:firstLine="0" w:firstLineChars="0"/>
              <w:jc w:val="center"/>
              <w:rPr>
                <w:rFonts w:eastAsia="仿宋_GB2312"/>
                <w:sz w:val="21"/>
                <w:szCs w:val="21"/>
              </w:rPr>
            </w:pPr>
            <w:r>
              <w:rPr>
                <w:rFonts w:eastAsia="仿宋_GB2312"/>
                <w:sz w:val="21"/>
                <w:szCs w:val="21"/>
              </w:rPr>
              <w:t>6</w:t>
            </w:r>
          </w:p>
        </w:tc>
        <w:tc>
          <w:tcPr>
            <w:tcW w:w="91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混凝土工程</w:t>
            </w:r>
          </w:p>
        </w:tc>
        <w:tc>
          <w:tcPr>
            <w:tcW w:w="72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直接工程费</w:t>
            </w:r>
          </w:p>
        </w:tc>
        <w:tc>
          <w:tcPr>
            <w:tcW w:w="890" w:type="pct"/>
            <w:vAlign w:val="center"/>
          </w:tcPr>
          <w:p>
            <w:pPr>
              <w:pStyle w:val="15"/>
              <w:spacing w:line="240" w:lineRule="auto"/>
              <w:ind w:firstLine="0" w:firstLineChars="0"/>
              <w:jc w:val="center"/>
              <w:rPr>
                <w:rFonts w:eastAsia="仿宋_GB2312"/>
                <w:sz w:val="21"/>
                <w:szCs w:val="21"/>
              </w:rPr>
            </w:pPr>
            <w:r>
              <w:rPr>
                <w:rFonts w:eastAsia="仿宋_GB2312"/>
                <w:sz w:val="21"/>
                <w:szCs w:val="21"/>
              </w:rPr>
              <w:t>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3</w:t>
            </w:r>
          </w:p>
        </w:tc>
        <w:tc>
          <w:tcPr>
            <w:tcW w:w="88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基础处理工程</w:t>
            </w:r>
          </w:p>
        </w:tc>
        <w:tc>
          <w:tcPr>
            <w:tcW w:w="64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直接费</w:t>
            </w:r>
          </w:p>
        </w:tc>
        <w:tc>
          <w:tcPr>
            <w:tcW w:w="622" w:type="pct"/>
            <w:vAlign w:val="center"/>
          </w:tcPr>
          <w:p>
            <w:pPr>
              <w:pStyle w:val="15"/>
              <w:spacing w:line="240" w:lineRule="auto"/>
              <w:ind w:firstLine="0" w:firstLineChars="0"/>
              <w:jc w:val="center"/>
              <w:rPr>
                <w:rFonts w:eastAsia="仿宋_GB2312"/>
                <w:sz w:val="21"/>
                <w:szCs w:val="21"/>
              </w:rPr>
            </w:pPr>
            <w:r>
              <w:rPr>
                <w:rFonts w:eastAsia="仿宋_GB2312"/>
                <w:sz w:val="21"/>
                <w:szCs w:val="21"/>
              </w:rPr>
              <w:t>6</w:t>
            </w:r>
          </w:p>
        </w:tc>
        <w:tc>
          <w:tcPr>
            <w:tcW w:w="91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基础处理工程</w:t>
            </w:r>
          </w:p>
        </w:tc>
        <w:tc>
          <w:tcPr>
            <w:tcW w:w="72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直接工程费</w:t>
            </w:r>
          </w:p>
        </w:tc>
        <w:tc>
          <w:tcPr>
            <w:tcW w:w="890" w:type="pct"/>
            <w:vAlign w:val="center"/>
          </w:tcPr>
          <w:p>
            <w:pPr>
              <w:pStyle w:val="15"/>
              <w:spacing w:line="240" w:lineRule="auto"/>
              <w:ind w:firstLine="0" w:firstLineChars="0"/>
              <w:jc w:val="center"/>
              <w:rPr>
                <w:rFonts w:eastAsia="仿宋_GB2312"/>
                <w:sz w:val="21"/>
                <w:szCs w:val="21"/>
              </w:rPr>
            </w:pPr>
            <w:r>
              <w:rPr>
                <w:rFonts w:eastAsia="仿宋_GB2312"/>
                <w:sz w:val="21"/>
                <w:szCs w:val="21"/>
              </w:rPr>
              <w:t>6.50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4</w:t>
            </w:r>
          </w:p>
        </w:tc>
        <w:tc>
          <w:tcPr>
            <w:tcW w:w="88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其他工程</w:t>
            </w:r>
          </w:p>
        </w:tc>
        <w:tc>
          <w:tcPr>
            <w:tcW w:w="64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直接费</w:t>
            </w:r>
          </w:p>
        </w:tc>
        <w:tc>
          <w:tcPr>
            <w:tcW w:w="622" w:type="pct"/>
            <w:vAlign w:val="center"/>
          </w:tcPr>
          <w:p>
            <w:pPr>
              <w:pStyle w:val="15"/>
              <w:spacing w:line="240" w:lineRule="auto"/>
              <w:ind w:firstLine="0" w:firstLineChars="0"/>
              <w:jc w:val="center"/>
              <w:rPr>
                <w:rFonts w:eastAsia="仿宋_GB2312"/>
                <w:sz w:val="21"/>
                <w:szCs w:val="21"/>
              </w:rPr>
            </w:pPr>
            <w:r>
              <w:rPr>
                <w:rFonts w:eastAsia="仿宋_GB2312"/>
                <w:sz w:val="21"/>
                <w:szCs w:val="21"/>
              </w:rPr>
              <w:t>5</w:t>
            </w:r>
          </w:p>
        </w:tc>
        <w:tc>
          <w:tcPr>
            <w:tcW w:w="91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其他工程</w:t>
            </w:r>
          </w:p>
        </w:tc>
        <w:tc>
          <w:tcPr>
            <w:tcW w:w="72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直接工程费</w:t>
            </w:r>
          </w:p>
        </w:tc>
        <w:tc>
          <w:tcPr>
            <w:tcW w:w="890" w:type="pct"/>
            <w:vAlign w:val="center"/>
          </w:tcPr>
          <w:p>
            <w:pPr>
              <w:pStyle w:val="15"/>
              <w:spacing w:line="240" w:lineRule="auto"/>
              <w:ind w:firstLine="0" w:firstLineChars="0"/>
              <w:jc w:val="center"/>
              <w:rPr>
                <w:rFonts w:eastAsia="仿宋_GB2312"/>
                <w:sz w:val="21"/>
                <w:szCs w:val="21"/>
              </w:rPr>
            </w:pPr>
            <w:r>
              <w:rPr>
                <w:rFonts w:eastAsia="仿宋_GB2312"/>
                <w:sz w:val="21"/>
                <w:szCs w:val="21"/>
              </w:rPr>
              <w:t>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5</w:t>
            </w:r>
          </w:p>
        </w:tc>
        <w:tc>
          <w:tcPr>
            <w:tcW w:w="88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机械固沙工程</w:t>
            </w:r>
          </w:p>
        </w:tc>
        <w:tc>
          <w:tcPr>
            <w:tcW w:w="64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直接费</w:t>
            </w:r>
          </w:p>
        </w:tc>
        <w:tc>
          <w:tcPr>
            <w:tcW w:w="622" w:type="pct"/>
            <w:vAlign w:val="center"/>
          </w:tcPr>
          <w:p>
            <w:pPr>
              <w:pStyle w:val="15"/>
              <w:spacing w:line="240" w:lineRule="auto"/>
              <w:ind w:firstLine="0" w:firstLineChars="0"/>
              <w:jc w:val="center"/>
              <w:rPr>
                <w:rFonts w:eastAsia="仿宋_GB2312"/>
                <w:sz w:val="21"/>
                <w:szCs w:val="21"/>
              </w:rPr>
            </w:pPr>
            <w:r>
              <w:rPr>
                <w:rFonts w:eastAsia="仿宋_GB2312"/>
                <w:sz w:val="21"/>
                <w:szCs w:val="21"/>
              </w:rPr>
              <w:t>3</w:t>
            </w:r>
          </w:p>
        </w:tc>
        <w:tc>
          <w:tcPr>
            <w:tcW w:w="91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机械固沙工程</w:t>
            </w:r>
          </w:p>
        </w:tc>
        <w:tc>
          <w:tcPr>
            <w:tcW w:w="72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直接工程费</w:t>
            </w:r>
          </w:p>
        </w:tc>
        <w:tc>
          <w:tcPr>
            <w:tcW w:w="890" w:type="pct"/>
            <w:vAlign w:val="center"/>
          </w:tcPr>
          <w:p>
            <w:pPr>
              <w:pStyle w:val="15"/>
              <w:spacing w:line="240" w:lineRule="auto"/>
              <w:ind w:firstLine="0" w:firstLineChars="0"/>
              <w:jc w:val="center"/>
              <w:rPr>
                <w:rFonts w:eastAsia="仿宋_GB2312"/>
                <w:sz w:val="21"/>
                <w:szCs w:val="21"/>
              </w:rPr>
            </w:pPr>
            <w:r>
              <w:rPr>
                <w:rFonts w:eastAsia="仿宋_GB2312"/>
                <w:sz w:val="21"/>
                <w:szCs w:val="21"/>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二</w:t>
            </w:r>
          </w:p>
        </w:tc>
        <w:tc>
          <w:tcPr>
            <w:tcW w:w="88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植物措施</w:t>
            </w:r>
          </w:p>
        </w:tc>
        <w:tc>
          <w:tcPr>
            <w:tcW w:w="64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直接费</w:t>
            </w:r>
          </w:p>
        </w:tc>
        <w:tc>
          <w:tcPr>
            <w:tcW w:w="622" w:type="pct"/>
            <w:vAlign w:val="center"/>
          </w:tcPr>
          <w:p>
            <w:pPr>
              <w:pStyle w:val="15"/>
              <w:spacing w:line="240" w:lineRule="auto"/>
              <w:ind w:firstLine="0" w:firstLineChars="0"/>
              <w:jc w:val="center"/>
              <w:rPr>
                <w:rFonts w:eastAsia="仿宋_GB2312"/>
                <w:sz w:val="21"/>
                <w:szCs w:val="21"/>
              </w:rPr>
            </w:pPr>
            <w:r>
              <w:rPr>
                <w:rFonts w:eastAsia="仿宋_GB2312"/>
                <w:sz w:val="21"/>
                <w:szCs w:val="21"/>
              </w:rPr>
              <w:t>3</w:t>
            </w:r>
          </w:p>
        </w:tc>
        <w:tc>
          <w:tcPr>
            <w:tcW w:w="91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植物措施</w:t>
            </w:r>
          </w:p>
        </w:tc>
        <w:tc>
          <w:tcPr>
            <w:tcW w:w="72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直接工程费</w:t>
            </w:r>
          </w:p>
        </w:tc>
        <w:tc>
          <w:tcPr>
            <w:tcW w:w="890" w:type="pct"/>
            <w:vAlign w:val="center"/>
          </w:tcPr>
          <w:p>
            <w:pPr>
              <w:pStyle w:val="15"/>
              <w:spacing w:line="240" w:lineRule="auto"/>
              <w:ind w:firstLine="0" w:firstLineChars="0"/>
              <w:jc w:val="center"/>
              <w:rPr>
                <w:rFonts w:eastAsia="仿宋_GB2312"/>
                <w:sz w:val="21"/>
                <w:szCs w:val="21"/>
              </w:rPr>
            </w:pPr>
            <w:r>
              <w:rPr>
                <w:rFonts w:hint="eastAsia" w:eastAsia="仿宋_GB2312"/>
                <w:sz w:val="21"/>
                <w:szCs w:val="21"/>
              </w:rPr>
              <w:t>3.3</w:t>
            </w:r>
          </w:p>
        </w:tc>
      </w:tr>
    </w:tbl>
    <w:p>
      <w:pPr>
        <w:pStyle w:val="15"/>
        <w:ind w:firstLine="420"/>
        <w:rPr>
          <w:rFonts w:eastAsia="仿宋_GB2312"/>
        </w:rPr>
      </w:pPr>
      <w:r>
        <w:rPr>
          <w:rFonts w:eastAsia="仿宋_GB2312"/>
          <w:sz w:val="21"/>
          <w:szCs w:val="21"/>
        </w:rPr>
        <w:t>注：土地整治工程取下限，本方案中其他项目取中值</w:t>
      </w:r>
      <w:r>
        <w:rPr>
          <w:rFonts w:eastAsia="仿宋_GB2312"/>
        </w:rPr>
        <w:t>。</w:t>
      </w:r>
    </w:p>
    <w:p>
      <w:pPr>
        <w:pStyle w:val="15"/>
        <w:ind w:firstLine="480"/>
        <w:rPr>
          <w:rFonts w:eastAsia="仿宋_GB2312"/>
        </w:rPr>
      </w:pPr>
      <w:r>
        <w:rPr>
          <w:rFonts w:hint="eastAsia" w:eastAsia="仿宋_GB2312"/>
        </w:rPr>
        <w:t>5、</w:t>
      </w:r>
      <w:r>
        <w:rPr>
          <w:rFonts w:eastAsia="仿宋_GB2312"/>
        </w:rPr>
        <w:t>企业利润</w:t>
      </w:r>
    </w:p>
    <w:p>
      <w:pPr>
        <w:pStyle w:val="15"/>
        <w:ind w:firstLine="480"/>
        <w:rPr>
          <w:rFonts w:eastAsia="仿宋_GB2312"/>
        </w:rPr>
      </w:pPr>
      <w:r>
        <w:rPr>
          <w:rFonts w:eastAsia="仿宋_GB2312"/>
        </w:rPr>
        <w:t>工程措施取直接工程费和间接费之和的7%，植物措施取直接工程费和间接费之和的5%。</w:t>
      </w:r>
    </w:p>
    <w:p>
      <w:pPr>
        <w:pStyle w:val="15"/>
        <w:ind w:firstLine="480"/>
        <w:rPr>
          <w:rFonts w:eastAsia="仿宋_GB2312"/>
        </w:rPr>
      </w:pPr>
      <w:r>
        <w:rPr>
          <w:rFonts w:hint="eastAsia" w:eastAsia="仿宋_GB2312"/>
        </w:rPr>
        <w:t>6、</w:t>
      </w:r>
      <w:r>
        <w:rPr>
          <w:rFonts w:eastAsia="仿宋_GB2312"/>
        </w:rPr>
        <w:t>税金</w:t>
      </w:r>
    </w:p>
    <w:p>
      <w:pPr>
        <w:pStyle w:val="15"/>
        <w:ind w:firstLine="480"/>
        <w:rPr>
          <w:rFonts w:eastAsia="仿宋_GB2312"/>
        </w:rPr>
      </w:pPr>
      <w:r>
        <w:rPr>
          <w:rFonts w:eastAsia="仿宋_GB2312"/>
        </w:rPr>
        <w:t>税金按增值税税率</w:t>
      </w:r>
      <w:r>
        <w:rPr>
          <w:rFonts w:hint="eastAsia" w:eastAsia="仿宋_GB2312"/>
        </w:rPr>
        <w:t>9</w:t>
      </w:r>
      <w:r>
        <w:rPr>
          <w:rFonts w:eastAsia="仿宋_GB2312"/>
        </w:rPr>
        <w:t>%计算。</w:t>
      </w:r>
    </w:p>
    <w:p>
      <w:pPr>
        <w:pStyle w:val="15"/>
        <w:ind w:firstLine="480"/>
        <w:rPr>
          <w:rFonts w:eastAsia="仿宋_GB2312"/>
        </w:rPr>
      </w:pPr>
      <w:r>
        <w:rPr>
          <w:rFonts w:hint="eastAsia" w:eastAsia="仿宋_GB2312"/>
        </w:rPr>
        <w:t>7、扩大10%</w:t>
      </w:r>
    </w:p>
    <w:p>
      <w:pPr>
        <w:pStyle w:val="15"/>
        <w:ind w:firstLine="480"/>
        <w:rPr>
          <w:rFonts w:eastAsia="仿宋_GB2312"/>
        </w:rPr>
      </w:pPr>
      <w:r>
        <w:rPr>
          <w:rFonts w:eastAsia="仿宋_GB2312"/>
        </w:rPr>
        <w:t>直接工程费</w:t>
      </w:r>
      <w:r>
        <w:rPr>
          <w:rFonts w:hint="eastAsia" w:eastAsia="仿宋_GB2312"/>
        </w:rPr>
        <w:t>、</w:t>
      </w:r>
      <w:r>
        <w:rPr>
          <w:rFonts w:eastAsia="仿宋_GB2312"/>
        </w:rPr>
        <w:t>间接费</w:t>
      </w:r>
      <w:r>
        <w:rPr>
          <w:rFonts w:hint="eastAsia" w:eastAsia="仿宋_GB2312"/>
        </w:rPr>
        <w:t>、企业利润、税金之和的10%。</w:t>
      </w:r>
    </w:p>
    <w:p>
      <w:pPr>
        <w:pStyle w:val="15"/>
        <w:ind w:firstLine="480"/>
        <w:rPr>
          <w:rFonts w:eastAsia="仿宋_GB2312"/>
        </w:rPr>
      </w:pPr>
      <w:r>
        <w:rPr>
          <w:rFonts w:eastAsia="仿宋_GB2312"/>
        </w:rPr>
        <w:t>（三）水土保持分部工程概（估）算编制</w:t>
      </w:r>
    </w:p>
    <w:p>
      <w:pPr>
        <w:pStyle w:val="15"/>
        <w:ind w:firstLine="480"/>
        <w:rPr>
          <w:rFonts w:eastAsia="仿宋_GB2312"/>
        </w:rPr>
      </w:pPr>
      <w:r>
        <w:rPr>
          <w:rFonts w:eastAsia="仿宋_GB2312"/>
        </w:rPr>
        <w:t>1、工程措施</w:t>
      </w:r>
    </w:p>
    <w:p>
      <w:pPr>
        <w:pStyle w:val="15"/>
        <w:ind w:firstLine="480"/>
        <w:rPr>
          <w:rFonts w:eastAsia="仿宋_GB2312"/>
        </w:rPr>
      </w:pPr>
      <w:r>
        <w:rPr>
          <w:rFonts w:eastAsia="仿宋_GB2312"/>
        </w:rPr>
        <w:t>工程措施</w:t>
      </w:r>
      <w:r>
        <w:rPr>
          <w:rFonts w:hint="eastAsia" w:eastAsia="仿宋_GB2312"/>
        </w:rPr>
        <w:t>估算</w:t>
      </w:r>
      <w:r>
        <w:rPr>
          <w:rFonts w:eastAsia="仿宋_GB2312"/>
        </w:rPr>
        <w:t>根据设计工程量乘以单价进行编制。</w:t>
      </w:r>
    </w:p>
    <w:p>
      <w:pPr>
        <w:pStyle w:val="15"/>
        <w:ind w:firstLine="480"/>
        <w:rPr>
          <w:rFonts w:eastAsia="仿宋_GB2312"/>
        </w:rPr>
      </w:pPr>
      <w:r>
        <w:rPr>
          <w:rFonts w:eastAsia="仿宋_GB2312"/>
        </w:rPr>
        <w:t>2、植物措施</w:t>
      </w:r>
    </w:p>
    <w:p>
      <w:pPr>
        <w:pStyle w:val="15"/>
        <w:ind w:firstLine="480"/>
        <w:rPr>
          <w:rFonts w:eastAsia="仿宋_GB2312"/>
        </w:rPr>
      </w:pPr>
      <w:r>
        <w:rPr>
          <w:rFonts w:eastAsia="仿宋_GB2312"/>
        </w:rPr>
        <w:t>植物措施费由苗木、种子等材料费和栽（种）植费组成。植物措施材料费由苗木、草、种子的预算价格乘以数量进行编制；栽（种）植费根据设计工程量乘以单价进行编制。</w:t>
      </w:r>
    </w:p>
    <w:p>
      <w:pPr>
        <w:pStyle w:val="15"/>
        <w:ind w:firstLine="480"/>
        <w:rPr>
          <w:rFonts w:eastAsia="仿宋_GB2312"/>
        </w:rPr>
      </w:pPr>
      <w:r>
        <w:rPr>
          <w:rFonts w:eastAsia="仿宋_GB2312"/>
        </w:rPr>
        <w:t>3、施工临时工程</w:t>
      </w:r>
    </w:p>
    <w:p>
      <w:pPr>
        <w:pStyle w:val="15"/>
        <w:ind w:firstLine="480"/>
        <w:rPr>
          <w:rFonts w:eastAsia="仿宋_GB2312"/>
        </w:rPr>
      </w:pPr>
      <w:r>
        <w:rPr>
          <w:rFonts w:eastAsia="仿宋_GB2312"/>
        </w:rPr>
        <w:t>临时防护工程根据设计方案的工程量乘以单价进行编制，临时防护工程单价组成及计算方法同工程措施单价。</w:t>
      </w:r>
    </w:p>
    <w:p>
      <w:pPr>
        <w:pStyle w:val="15"/>
        <w:ind w:firstLine="480"/>
        <w:rPr>
          <w:rFonts w:eastAsia="仿宋_GB2312"/>
        </w:rPr>
      </w:pPr>
      <w:r>
        <w:rPr>
          <w:rFonts w:eastAsia="仿宋_GB2312"/>
        </w:rPr>
        <w:t>其他临时工程按第一部分工程措施和第二部分植物措施投资的2.0%编制。</w:t>
      </w:r>
    </w:p>
    <w:p>
      <w:pPr>
        <w:pStyle w:val="15"/>
        <w:ind w:firstLine="480"/>
        <w:rPr>
          <w:rFonts w:eastAsia="仿宋_GB2312"/>
        </w:rPr>
      </w:pPr>
      <w:r>
        <w:rPr>
          <w:rFonts w:eastAsia="仿宋_GB2312"/>
        </w:rPr>
        <w:t>4、独立费用</w:t>
      </w:r>
    </w:p>
    <w:p>
      <w:pPr>
        <w:pStyle w:val="15"/>
        <w:ind w:firstLine="480"/>
        <w:rPr>
          <w:rFonts w:eastAsia="仿宋_GB2312"/>
        </w:rPr>
      </w:pPr>
      <w:r>
        <w:rPr>
          <w:rFonts w:eastAsia="仿宋_GB2312"/>
        </w:rPr>
        <w:t>1）建设管理费：依据《水土保持工程概（估）算编制规定》，按第一至第三部分之和的2%计取。</w:t>
      </w:r>
    </w:p>
    <w:p>
      <w:pPr>
        <w:pStyle w:val="15"/>
        <w:ind w:firstLine="480"/>
        <w:rPr>
          <w:rFonts w:eastAsia="仿宋_GB2312"/>
        </w:rPr>
      </w:pPr>
      <w:r>
        <w:rPr>
          <w:rFonts w:eastAsia="仿宋_GB2312"/>
        </w:rPr>
        <w:t>2）工程建设监理费：</w:t>
      </w:r>
      <w:r>
        <w:rPr>
          <w:rFonts w:hint="eastAsia" w:eastAsia="仿宋_GB2312"/>
        </w:rPr>
        <w:t>水土保持监理由主体监理代监。</w:t>
      </w:r>
    </w:p>
    <w:p>
      <w:pPr>
        <w:pStyle w:val="15"/>
        <w:ind w:firstLine="480"/>
        <w:rPr>
          <w:rFonts w:eastAsia="仿宋_GB2312"/>
        </w:rPr>
      </w:pPr>
      <w:r>
        <w:rPr>
          <w:rFonts w:eastAsia="仿宋_GB2312"/>
        </w:rPr>
        <w:t>3）科研勘测设计费</w:t>
      </w:r>
      <w:r>
        <w:rPr>
          <w:rFonts w:hint="eastAsia" w:eastAsia="仿宋_GB2312"/>
        </w:rPr>
        <w:t>：勘测设计费依据《工程勘察设计收费管理规定》</w:t>
      </w:r>
      <w:r>
        <w:rPr>
          <w:rFonts w:eastAsia="仿宋_GB2312"/>
        </w:rPr>
        <w:t>[2002]10</w:t>
      </w:r>
      <w:r>
        <w:rPr>
          <w:rFonts w:hint="eastAsia" w:eastAsia="仿宋_GB2312"/>
        </w:rPr>
        <w:t>号计列，并结合市场实际情况取费。</w:t>
      </w:r>
    </w:p>
    <w:p>
      <w:pPr>
        <w:pStyle w:val="15"/>
        <w:ind w:firstLine="480"/>
        <w:rPr>
          <w:rFonts w:eastAsia="仿宋_GB2312"/>
        </w:rPr>
      </w:pPr>
      <w:r>
        <w:rPr>
          <w:rFonts w:hint="eastAsia" w:eastAsia="仿宋_GB2312"/>
        </w:rPr>
        <w:t>4</w:t>
      </w:r>
      <w:r>
        <w:rPr>
          <w:rFonts w:eastAsia="仿宋_GB2312"/>
        </w:rPr>
        <w:t>）</w:t>
      </w:r>
      <w:r>
        <w:rPr>
          <w:rFonts w:hint="eastAsia" w:eastAsia="仿宋_GB2312"/>
        </w:rPr>
        <w:t>水土保持监测费：按监测土建设施费、消耗性材料费、仪器设备折旧费和监测人员费计取。</w:t>
      </w:r>
    </w:p>
    <w:p>
      <w:pPr>
        <w:pStyle w:val="15"/>
        <w:ind w:firstLine="480"/>
        <w:rPr>
          <w:rFonts w:eastAsia="仿宋_GB2312"/>
        </w:rPr>
      </w:pPr>
      <w:r>
        <w:rPr>
          <w:rFonts w:hint="eastAsia" w:eastAsia="仿宋_GB2312"/>
        </w:rPr>
        <w:t>5</w:t>
      </w:r>
      <w:r>
        <w:rPr>
          <w:rFonts w:eastAsia="仿宋_GB2312"/>
        </w:rPr>
        <w:t>）水土保持设施验收报告编制费</w:t>
      </w:r>
      <w:r>
        <w:rPr>
          <w:rFonts w:hint="eastAsia" w:eastAsia="仿宋_GB2312"/>
        </w:rPr>
        <w:t>：参照有关规定计列，并根据实际工作量复核</w:t>
      </w:r>
      <w:r>
        <w:rPr>
          <w:rFonts w:hint="eastAsia" w:ascii="仿宋_GB2312" w:hAnsi="Calibri" w:eastAsia="仿宋_GB2312" w:cs="仿宋_GB2312"/>
        </w:rPr>
        <w:t>，并参考同类工程市场价格计列。</w:t>
      </w:r>
    </w:p>
    <w:p>
      <w:pPr>
        <w:pStyle w:val="15"/>
        <w:ind w:firstLine="480"/>
        <w:rPr>
          <w:rFonts w:eastAsia="仿宋_GB2312"/>
        </w:rPr>
      </w:pPr>
      <w:r>
        <w:rPr>
          <w:rFonts w:eastAsia="仿宋_GB2312"/>
        </w:rPr>
        <w:t>5、预备费及建设期融资利息</w:t>
      </w:r>
    </w:p>
    <w:p>
      <w:pPr>
        <w:pStyle w:val="15"/>
        <w:ind w:firstLine="480"/>
        <w:rPr>
          <w:rFonts w:eastAsia="仿宋_GB2312"/>
        </w:rPr>
      </w:pPr>
      <w:r>
        <w:rPr>
          <w:rFonts w:eastAsia="仿宋_GB2312"/>
        </w:rPr>
        <w:t>1）预备费：包括基本预备费、价差预备费。基本预备费按一至四部分之和的</w:t>
      </w:r>
      <w:r>
        <w:rPr>
          <w:rFonts w:hint="eastAsia" w:eastAsia="仿宋_GB2312"/>
        </w:rPr>
        <w:t>6</w:t>
      </w:r>
      <w:r>
        <w:rPr>
          <w:rFonts w:eastAsia="仿宋_GB2312"/>
        </w:rPr>
        <w:t>%计，价差预备费暂不计取。</w:t>
      </w:r>
    </w:p>
    <w:p>
      <w:pPr>
        <w:pStyle w:val="15"/>
        <w:ind w:firstLine="480"/>
        <w:rPr>
          <w:rFonts w:eastAsia="仿宋_GB2312"/>
        </w:rPr>
      </w:pPr>
      <w:r>
        <w:rPr>
          <w:rFonts w:eastAsia="仿宋_GB2312"/>
        </w:rPr>
        <w:t>2）建设期融资利息</w:t>
      </w:r>
    </w:p>
    <w:p>
      <w:pPr>
        <w:pStyle w:val="15"/>
        <w:ind w:firstLine="480"/>
        <w:rPr>
          <w:rFonts w:eastAsia="仿宋_GB2312"/>
        </w:rPr>
      </w:pPr>
      <w:r>
        <w:rPr>
          <w:rFonts w:eastAsia="仿宋_GB2312"/>
        </w:rPr>
        <w:t>本项目水土保持工程所需费用由建设单位自筹资金解决，不涉及贷款项，因而不计算建设期融资利息。</w:t>
      </w:r>
    </w:p>
    <w:p>
      <w:pPr>
        <w:pStyle w:val="15"/>
        <w:ind w:firstLine="480"/>
        <w:rPr>
          <w:rFonts w:eastAsia="仿宋_GB2312"/>
        </w:rPr>
      </w:pPr>
      <w:r>
        <w:rPr>
          <w:rFonts w:eastAsia="仿宋_GB2312"/>
        </w:rPr>
        <w:t>6、水土保持补偿费</w:t>
      </w:r>
    </w:p>
    <w:p>
      <w:pPr>
        <w:pStyle w:val="15"/>
        <w:ind w:firstLine="480"/>
        <w:rPr>
          <w:rFonts w:eastAsia="仿宋_GB2312"/>
        </w:rPr>
      </w:pPr>
      <w:r>
        <w:rPr>
          <w:rFonts w:hint="eastAsia" w:eastAsia="仿宋_GB2312"/>
        </w:rPr>
        <w:t>根据新疆维吾尔自治区水利厅</w:t>
      </w:r>
      <w:r>
        <w:rPr>
          <w:rFonts w:eastAsia="仿宋_GB2312"/>
        </w:rPr>
        <w:t>《</w:t>
      </w:r>
      <w:r>
        <w:rPr>
          <w:rFonts w:hint="eastAsia" w:eastAsia="仿宋_GB2312"/>
        </w:rPr>
        <w:t>关于严格执行国家发展改革委财政部降低部分行政事业性收费标准的通知</w:t>
      </w:r>
      <w:r>
        <w:rPr>
          <w:rFonts w:eastAsia="仿宋_GB2312"/>
        </w:rPr>
        <w:t>》</w:t>
      </w:r>
      <w:r>
        <w:rPr>
          <w:rFonts w:hint="eastAsia" w:eastAsia="仿宋_GB2312"/>
        </w:rPr>
        <w:t>(新水办</w:t>
      </w:r>
      <w:r>
        <w:rPr>
          <w:rFonts w:eastAsia="仿宋_GB2312"/>
        </w:rPr>
        <w:t>[20</w:t>
      </w:r>
      <w:r>
        <w:rPr>
          <w:rFonts w:hint="eastAsia" w:eastAsia="仿宋_GB2312"/>
        </w:rPr>
        <w:t>20</w:t>
      </w:r>
      <w:r>
        <w:rPr>
          <w:rFonts w:eastAsia="仿宋_GB2312"/>
        </w:rPr>
        <w:t>]</w:t>
      </w:r>
      <w:r>
        <w:rPr>
          <w:rFonts w:hint="eastAsia" w:eastAsia="仿宋_GB2312"/>
        </w:rPr>
        <w:t>168号)和新政发</w:t>
      </w:r>
      <w:r>
        <w:rPr>
          <w:rFonts w:eastAsia="仿宋_GB2312"/>
        </w:rPr>
        <w:t>[2000]45</w:t>
      </w:r>
      <w:r>
        <w:rPr>
          <w:rFonts w:hint="eastAsia" w:eastAsia="仿宋_GB2312"/>
        </w:rPr>
        <w:t>号文颁发的《新疆维吾尔自治区水土保持设施补偿费、水土流失防治费收缴使用管理暂行规定》规定：“修建铁路、公路、水工程、电力工程等基础设施的，按实际占用地表面积每平方米</w:t>
      </w:r>
      <w:r>
        <w:rPr>
          <w:rFonts w:eastAsia="仿宋_GB2312"/>
        </w:rPr>
        <w:t>0.3</w:t>
      </w:r>
      <w:r>
        <w:rPr>
          <w:rFonts w:hint="eastAsia" w:eastAsia="仿宋_GB2312"/>
        </w:rPr>
        <w:t>元一次性缴纳”，本项目为市政基础设施工程，因此，本项目按实际占用地表面积每平米</w:t>
      </w:r>
      <w:r>
        <w:rPr>
          <w:rFonts w:eastAsia="仿宋_GB2312"/>
        </w:rPr>
        <w:t>0.3</w:t>
      </w:r>
      <w:r>
        <w:rPr>
          <w:rFonts w:hint="eastAsia" w:eastAsia="仿宋_GB2312"/>
        </w:rPr>
        <w:t>元一次性缴纳，本工程损坏水土保持设施面积为2.88</w:t>
      </w:r>
      <w:r>
        <w:rPr>
          <w:rFonts w:eastAsia="仿宋_GB2312"/>
        </w:rPr>
        <w:t>hm</w:t>
      </w:r>
      <w:r>
        <w:rPr>
          <w:rFonts w:eastAsia="仿宋_GB2312"/>
          <w:vertAlign w:val="superscript"/>
        </w:rPr>
        <w:t>2</w:t>
      </w:r>
      <w:r>
        <w:rPr>
          <w:rFonts w:hint="eastAsia" w:eastAsia="仿宋_GB2312"/>
        </w:rPr>
        <w:t>，需一次缴纳的水土保持补偿费0.86万元。</w:t>
      </w:r>
    </w:p>
    <w:p>
      <w:pPr>
        <w:pStyle w:val="15"/>
        <w:ind w:firstLine="480"/>
        <w:rPr>
          <w:rFonts w:eastAsia="仿宋_GB2312"/>
        </w:rPr>
      </w:pPr>
      <w:r>
        <w:rPr>
          <w:rFonts w:eastAsia="仿宋_GB2312"/>
        </w:rPr>
        <w:t>（四）水土保持分年度投资</w:t>
      </w:r>
    </w:p>
    <w:p>
      <w:pPr>
        <w:pStyle w:val="15"/>
        <w:ind w:firstLine="480"/>
        <w:rPr>
          <w:rFonts w:eastAsia="仿宋_GB2312"/>
        </w:rPr>
      </w:pPr>
      <w:r>
        <w:rPr>
          <w:rFonts w:eastAsia="仿宋_GB2312"/>
        </w:rPr>
        <w:t>根据施工进度安排，将工程措施、植物措施、</w:t>
      </w:r>
      <w:r>
        <w:rPr>
          <w:rFonts w:hint="eastAsia" w:eastAsia="仿宋_GB2312"/>
        </w:rPr>
        <w:t>临时措施</w:t>
      </w:r>
      <w:r>
        <w:rPr>
          <w:rFonts w:eastAsia="仿宋_GB2312"/>
        </w:rPr>
        <w:t>、独立费用分摊到各施工年度并以此计算预备费即为分年度投资。</w:t>
      </w:r>
    </w:p>
    <w:p>
      <w:pPr>
        <w:pStyle w:val="5"/>
      </w:pPr>
      <w:r>
        <w:rPr>
          <w:rFonts w:hint="eastAsia"/>
        </w:rPr>
        <w:t>估算</w:t>
      </w:r>
      <w:r>
        <w:t>成果</w:t>
      </w:r>
    </w:p>
    <w:p>
      <w:pPr>
        <w:pStyle w:val="15"/>
        <w:ind w:firstLine="480"/>
        <w:rPr>
          <w:rFonts w:eastAsia="仿宋_GB2312"/>
        </w:rPr>
      </w:pPr>
      <w:bookmarkStart w:id="321" w:name="_Toc291602476"/>
      <w:r>
        <w:rPr>
          <w:rFonts w:eastAsia="仿宋_GB2312"/>
        </w:rPr>
        <w:t>一、水土保持工程总投资</w:t>
      </w:r>
      <w:bookmarkEnd w:id="321"/>
    </w:p>
    <w:p>
      <w:pPr>
        <w:tabs>
          <w:tab w:val="left" w:pos="840"/>
          <w:tab w:val="left" w:pos="1485"/>
        </w:tabs>
        <w:ind w:firstLine="480"/>
        <w:rPr>
          <w:rFonts w:eastAsia="仿宋_GB2312"/>
          <w:color w:val="FF0000"/>
        </w:rPr>
      </w:pPr>
      <w:r>
        <w:rPr>
          <w:rFonts w:eastAsia="仿宋_GB2312"/>
          <w:color w:val="FF0000"/>
        </w:rPr>
        <w:t>本工程水土保持总投资</w:t>
      </w:r>
      <w:r>
        <w:rPr>
          <w:rFonts w:hint="eastAsia" w:eastAsia="仿宋_GB2312"/>
          <w:color w:val="FF0000"/>
        </w:rPr>
        <w:t>20.01</w:t>
      </w:r>
      <w:r>
        <w:rPr>
          <w:rFonts w:eastAsia="仿宋_GB2312"/>
          <w:color w:val="FF0000"/>
        </w:rPr>
        <w:t>万元，其中主体已列</w:t>
      </w:r>
      <w:r>
        <w:rPr>
          <w:rFonts w:hint="eastAsia" w:eastAsia="仿宋_GB2312"/>
          <w:color w:val="FF0000"/>
        </w:rPr>
        <w:t>2.34</w:t>
      </w:r>
      <w:r>
        <w:rPr>
          <w:rFonts w:eastAsia="仿宋_GB2312"/>
          <w:color w:val="FF0000"/>
        </w:rPr>
        <w:t>万元，本方案新增</w:t>
      </w:r>
      <w:r>
        <w:rPr>
          <w:rFonts w:hint="eastAsia" w:eastAsia="仿宋_GB2312"/>
          <w:color w:val="FF0000"/>
        </w:rPr>
        <w:t>17.66</w:t>
      </w:r>
      <w:r>
        <w:rPr>
          <w:rFonts w:eastAsia="仿宋_GB2312"/>
          <w:color w:val="FF0000"/>
        </w:rPr>
        <w:t>万元。</w:t>
      </w:r>
      <w:r>
        <w:rPr>
          <w:rFonts w:hint="eastAsia" w:eastAsia="仿宋_GB2312"/>
          <w:color w:val="FF0000"/>
        </w:rPr>
        <w:t>其</w:t>
      </w:r>
      <w:r>
        <w:rPr>
          <w:rFonts w:eastAsia="仿宋_GB2312"/>
          <w:color w:val="FF0000"/>
        </w:rPr>
        <w:t>中工程措施投资</w:t>
      </w:r>
      <w:r>
        <w:rPr>
          <w:rFonts w:hint="eastAsia" w:eastAsia="仿宋_GB2312"/>
          <w:color w:val="FF0000"/>
        </w:rPr>
        <w:t>2.34</w:t>
      </w:r>
      <w:r>
        <w:rPr>
          <w:rFonts w:eastAsia="仿宋_GB2312"/>
          <w:color w:val="FF0000"/>
        </w:rPr>
        <w:t>万元</w:t>
      </w:r>
      <w:r>
        <w:rPr>
          <w:rFonts w:hint="eastAsia" w:eastAsia="仿宋_GB2312"/>
          <w:color w:val="FF0000"/>
        </w:rPr>
        <w:t>，</w:t>
      </w:r>
      <w:r>
        <w:rPr>
          <w:rFonts w:eastAsia="仿宋_GB2312"/>
          <w:color w:val="FF0000"/>
        </w:rPr>
        <w:t>临时措施投资</w:t>
      </w:r>
      <w:r>
        <w:rPr>
          <w:rFonts w:hint="eastAsia" w:eastAsia="仿宋_GB2312"/>
          <w:color w:val="FF0000"/>
        </w:rPr>
        <w:t>4.22</w:t>
      </w:r>
      <w:r>
        <w:rPr>
          <w:rFonts w:eastAsia="仿宋_GB2312"/>
          <w:color w:val="FF0000"/>
        </w:rPr>
        <w:t>万元，独立费用</w:t>
      </w:r>
      <w:r>
        <w:rPr>
          <w:rFonts w:hint="eastAsia" w:eastAsia="仿宋_GB2312"/>
          <w:color w:val="FF0000"/>
        </w:rPr>
        <w:t>11.63</w:t>
      </w:r>
      <w:r>
        <w:rPr>
          <w:rFonts w:eastAsia="仿宋_GB2312"/>
          <w:color w:val="FF0000"/>
        </w:rPr>
        <w:t>万元（其中建设管理费为</w:t>
      </w:r>
      <w:r>
        <w:rPr>
          <w:rFonts w:hint="eastAsia" w:eastAsia="仿宋_GB2312"/>
          <w:color w:val="FF0000"/>
        </w:rPr>
        <w:t>0.13</w:t>
      </w:r>
      <w:r>
        <w:rPr>
          <w:rFonts w:eastAsia="仿宋_GB2312"/>
          <w:color w:val="FF0000"/>
        </w:rPr>
        <w:t>万元，</w:t>
      </w:r>
      <w:r>
        <w:rPr>
          <w:rFonts w:hint="eastAsia" w:eastAsia="仿宋_GB2312"/>
          <w:color w:val="FF0000"/>
        </w:rPr>
        <w:t>水土保持监理</w:t>
      </w:r>
      <w:r>
        <w:rPr>
          <w:rFonts w:eastAsia="仿宋_GB2312"/>
          <w:color w:val="FF0000"/>
        </w:rPr>
        <w:t>费</w:t>
      </w:r>
      <w:r>
        <w:rPr>
          <w:rFonts w:hint="eastAsia" w:eastAsia="仿宋_GB2312"/>
          <w:color w:val="FF0000"/>
        </w:rPr>
        <w:t>0.50</w:t>
      </w:r>
      <w:r>
        <w:rPr>
          <w:rFonts w:eastAsia="仿宋_GB2312"/>
          <w:color w:val="FF0000"/>
        </w:rPr>
        <w:t>万元，科研勘测设计</w:t>
      </w:r>
      <w:r>
        <w:rPr>
          <w:rFonts w:hint="eastAsia" w:eastAsia="仿宋_GB2312"/>
          <w:color w:val="FF0000"/>
        </w:rPr>
        <w:t>6.00</w:t>
      </w:r>
      <w:r>
        <w:rPr>
          <w:rFonts w:eastAsia="仿宋_GB2312"/>
          <w:color w:val="FF0000"/>
        </w:rPr>
        <w:t>万元</w:t>
      </w:r>
      <w:r>
        <w:rPr>
          <w:rFonts w:hint="eastAsia" w:eastAsia="仿宋_GB2312"/>
          <w:color w:val="FF0000"/>
        </w:rPr>
        <w:t>，</w:t>
      </w:r>
      <w:r>
        <w:rPr>
          <w:rFonts w:eastAsia="仿宋_GB2312"/>
          <w:color w:val="FF0000"/>
        </w:rPr>
        <w:t>水土保持设施验收报告编制费</w:t>
      </w:r>
      <w:r>
        <w:rPr>
          <w:rFonts w:hint="eastAsia" w:eastAsia="仿宋_GB2312"/>
          <w:color w:val="FF0000"/>
        </w:rPr>
        <w:t>5.00</w:t>
      </w:r>
      <w:r>
        <w:rPr>
          <w:rFonts w:eastAsia="仿宋_GB2312"/>
          <w:color w:val="FF0000"/>
        </w:rPr>
        <w:t>万元），基本预备费为</w:t>
      </w:r>
      <w:r>
        <w:rPr>
          <w:rFonts w:hint="eastAsia" w:eastAsia="仿宋_GB2312"/>
          <w:color w:val="FF0000"/>
        </w:rPr>
        <w:t>0.95</w:t>
      </w:r>
      <w:r>
        <w:rPr>
          <w:rFonts w:eastAsia="仿宋_GB2312"/>
          <w:color w:val="FF0000"/>
        </w:rPr>
        <w:t>万元</w:t>
      </w:r>
      <w:r>
        <w:rPr>
          <w:rFonts w:hint="eastAsia" w:eastAsia="仿宋_GB2312"/>
          <w:color w:val="FF0000"/>
        </w:rPr>
        <w:t>，水土保持补偿费0.86万元</w:t>
      </w:r>
      <w:r>
        <w:rPr>
          <w:rFonts w:eastAsia="仿宋_GB2312"/>
          <w:color w:val="FF0000"/>
        </w:rPr>
        <w:t>。</w:t>
      </w:r>
    </w:p>
    <w:p>
      <w:pPr>
        <w:pStyle w:val="15"/>
        <w:ind w:firstLine="480"/>
        <w:rPr>
          <w:rFonts w:eastAsia="仿宋_GB2312"/>
        </w:rPr>
      </w:pPr>
      <w:r>
        <w:rPr>
          <w:rFonts w:eastAsia="仿宋_GB2312"/>
        </w:rPr>
        <w:t>二、投资</w:t>
      </w:r>
      <w:r>
        <w:rPr>
          <w:rFonts w:hint="eastAsia" w:eastAsia="仿宋_GB2312"/>
        </w:rPr>
        <w:t>估算</w:t>
      </w:r>
      <w:r>
        <w:rPr>
          <w:rFonts w:eastAsia="仿宋_GB2312"/>
        </w:rPr>
        <w:t>表</w:t>
      </w:r>
    </w:p>
    <w:p>
      <w:pPr>
        <w:pStyle w:val="15"/>
        <w:ind w:firstLine="480"/>
        <w:rPr>
          <w:rFonts w:eastAsia="仿宋_GB2312"/>
        </w:rPr>
      </w:pPr>
      <w:r>
        <w:rPr>
          <w:rFonts w:eastAsia="仿宋_GB2312"/>
        </w:rPr>
        <w:t>表7.1-2水土保持投资</w:t>
      </w:r>
      <w:r>
        <w:rPr>
          <w:rFonts w:hint="eastAsia" w:eastAsia="仿宋_GB2312"/>
        </w:rPr>
        <w:t>估算</w:t>
      </w:r>
      <w:r>
        <w:rPr>
          <w:rFonts w:eastAsia="仿宋_GB2312"/>
        </w:rPr>
        <w:t>总表；</w:t>
      </w:r>
    </w:p>
    <w:p>
      <w:pPr>
        <w:pStyle w:val="15"/>
        <w:ind w:firstLine="480"/>
        <w:rPr>
          <w:rFonts w:eastAsia="仿宋_GB2312"/>
        </w:rPr>
      </w:pPr>
      <w:r>
        <w:rPr>
          <w:rFonts w:eastAsia="仿宋_GB2312"/>
        </w:rPr>
        <w:t>表7.1-</w:t>
      </w:r>
      <w:r>
        <w:rPr>
          <w:rFonts w:hint="eastAsia" w:eastAsia="仿宋_GB2312"/>
        </w:rPr>
        <w:t>3</w:t>
      </w:r>
      <w:r>
        <w:rPr>
          <w:rFonts w:eastAsia="仿宋_GB2312"/>
        </w:rPr>
        <w:t>水土保持</w:t>
      </w:r>
      <w:r>
        <w:rPr>
          <w:rFonts w:hint="eastAsia" w:eastAsia="仿宋_GB2312"/>
        </w:rPr>
        <w:t>新增</w:t>
      </w:r>
      <w:r>
        <w:rPr>
          <w:rFonts w:eastAsia="仿宋_GB2312"/>
        </w:rPr>
        <w:t>分部工程</w:t>
      </w:r>
      <w:r>
        <w:rPr>
          <w:rFonts w:hint="eastAsia" w:eastAsia="仿宋_GB2312"/>
        </w:rPr>
        <w:t>估算</w:t>
      </w:r>
      <w:r>
        <w:rPr>
          <w:rFonts w:eastAsia="仿宋_GB2312"/>
        </w:rPr>
        <w:t>表；</w:t>
      </w:r>
    </w:p>
    <w:p>
      <w:pPr>
        <w:pStyle w:val="15"/>
        <w:ind w:firstLine="480"/>
        <w:rPr>
          <w:rFonts w:eastAsia="仿宋_GB2312"/>
        </w:rPr>
      </w:pPr>
      <w:r>
        <w:rPr>
          <w:rFonts w:eastAsia="仿宋_GB2312"/>
        </w:rPr>
        <w:t>表7.1-</w:t>
      </w:r>
      <w:r>
        <w:rPr>
          <w:rFonts w:hint="eastAsia" w:eastAsia="仿宋_GB2312"/>
        </w:rPr>
        <w:t>4</w:t>
      </w:r>
      <w:r>
        <w:rPr>
          <w:rFonts w:eastAsia="仿宋_GB2312"/>
        </w:rPr>
        <w:t>水土保持工程分年度投资表；</w:t>
      </w:r>
    </w:p>
    <w:p>
      <w:pPr>
        <w:pStyle w:val="15"/>
        <w:ind w:firstLine="480"/>
        <w:rPr>
          <w:rFonts w:eastAsia="仿宋_GB2312"/>
        </w:rPr>
      </w:pPr>
      <w:r>
        <w:rPr>
          <w:rFonts w:eastAsia="仿宋_GB2312"/>
        </w:rPr>
        <w:t>表7.1-</w:t>
      </w:r>
      <w:r>
        <w:rPr>
          <w:rFonts w:hint="eastAsia" w:eastAsia="仿宋_GB2312"/>
        </w:rPr>
        <w:t>5</w:t>
      </w:r>
      <w:r>
        <w:rPr>
          <w:rFonts w:eastAsia="仿宋_GB2312"/>
        </w:rPr>
        <w:t>独立费用</w:t>
      </w:r>
      <w:r>
        <w:rPr>
          <w:rFonts w:hint="eastAsia" w:eastAsia="仿宋_GB2312"/>
        </w:rPr>
        <w:t>计算</w:t>
      </w:r>
      <w:r>
        <w:rPr>
          <w:rFonts w:eastAsia="仿宋_GB2312"/>
        </w:rPr>
        <w:t>表；</w:t>
      </w:r>
    </w:p>
    <w:p>
      <w:pPr>
        <w:pStyle w:val="15"/>
        <w:ind w:firstLine="480"/>
        <w:rPr>
          <w:rFonts w:eastAsia="仿宋_GB2312"/>
        </w:rPr>
      </w:pPr>
      <w:r>
        <w:rPr>
          <w:rFonts w:eastAsia="仿宋_GB2312"/>
        </w:rPr>
        <w:t>表7.1-</w:t>
      </w:r>
      <w:r>
        <w:rPr>
          <w:rFonts w:hint="eastAsia" w:eastAsia="仿宋_GB2312"/>
        </w:rPr>
        <w:t>6水土保持补偿费计算</w:t>
      </w:r>
      <w:r>
        <w:rPr>
          <w:rFonts w:eastAsia="仿宋_GB2312"/>
        </w:rPr>
        <w:t>表；</w:t>
      </w:r>
    </w:p>
    <w:p>
      <w:pPr>
        <w:pStyle w:val="15"/>
        <w:ind w:firstLine="480"/>
        <w:rPr>
          <w:rFonts w:eastAsia="仿宋_GB2312"/>
        </w:rPr>
      </w:pPr>
      <w:r>
        <w:rPr>
          <w:rFonts w:eastAsia="仿宋_GB2312"/>
        </w:rPr>
        <w:t>表7.1-</w:t>
      </w:r>
      <w:r>
        <w:rPr>
          <w:rFonts w:hint="eastAsia" w:eastAsia="仿宋_GB2312"/>
        </w:rPr>
        <w:t>7工程单价汇总</w:t>
      </w:r>
      <w:r>
        <w:rPr>
          <w:rFonts w:eastAsia="仿宋_GB2312"/>
        </w:rPr>
        <w:t>表；</w:t>
      </w:r>
    </w:p>
    <w:p>
      <w:pPr>
        <w:pStyle w:val="15"/>
        <w:ind w:firstLine="480"/>
        <w:rPr>
          <w:rFonts w:eastAsia="仿宋_GB2312"/>
        </w:rPr>
      </w:pPr>
      <w:r>
        <w:rPr>
          <w:rFonts w:eastAsia="仿宋_GB2312"/>
        </w:rPr>
        <w:t>表7.1-</w:t>
      </w:r>
      <w:r>
        <w:rPr>
          <w:rFonts w:hint="eastAsia" w:eastAsia="仿宋_GB2312"/>
        </w:rPr>
        <w:t>8施工机械台时费汇总表；</w:t>
      </w:r>
    </w:p>
    <w:p>
      <w:pPr>
        <w:pStyle w:val="15"/>
        <w:ind w:firstLine="480"/>
        <w:rPr>
          <w:rFonts w:eastAsia="仿宋_GB2312"/>
        </w:rPr>
      </w:pPr>
      <w:r>
        <w:rPr>
          <w:rFonts w:eastAsia="仿宋_GB2312"/>
        </w:rPr>
        <w:t>表7.1-</w:t>
      </w:r>
      <w:r>
        <w:rPr>
          <w:rFonts w:hint="eastAsia" w:eastAsia="仿宋_GB2312"/>
        </w:rPr>
        <w:t>9</w:t>
      </w:r>
      <w:r>
        <w:rPr>
          <w:rFonts w:eastAsia="仿宋_GB2312"/>
        </w:rPr>
        <w:t>主要材料</w:t>
      </w:r>
      <w:r>
        <w:rPr>
          <w:rFonts w:hint="eastAsia" w:eastAsia="仿宋_GB2312"/>
        </w:rPr>
        <w:t>单价</w:t>
      </w:r>
      <w:r>
        <w:rPr>
          <w:rFonts w:eastAsia="仿宋_GB2312"/>
        </w:rPr>
        <w:t>汇总表；</w:t>
      </w:r>
    </w:p>
    <w:p>
      <w:pPr>
        <w:pStyle w:val="86"/>
        <w:spacing w:line="240" w:lineRule="auto"/>
        <w:rPr>
          <w:rFonts w:eastAsia="仿宋_GB2312"/>
        </w:rPr>
        <w:sectPr>
          <w:headerReference r:id="rId24" w:type="default"/>
          <w:pgSz w:w="11906" w:h="16838"/>
          <w:pgMar w:top="1440" w:right="1803" w:bottom="1440" w:left="1803" w:header="851" w:footer="992" w:gutter="0"/>
          <w:cols w:space="720" w:num="1"/>
          <w:docGrid w:linePitch="326" w:charSpace="0"/>
        </w:sectPr>
      </w:pPr>
    </w:p>
    <w:p>
      <w:pPr>
        <w:pStyle w:val="86"/>
        <w:spacing w:line="240" w:lineRule="auto"/>
        <w:rPr>
          <w:rFonts w:eastAsia="仿宋_GB2312"/>
        </w:rPr>
      </w:pPr>
      <w:r>
        <w:rPr>
          <w:rFonts w:eastAsia="仿宋_GB2312"/>
        </w:rPr>
        <w:t>表7.1-2    水土保持措施投资</w:t>
      </w:r>
      <w:r>
        <w:rPr>
          <w:rFonts w:hint="eastAsia" w:eastAsia="仿宋_GB2312"/>
        </w:rPr>
        <w:t>估算</w:t>
      </w:r>
      <w:r>
        <w:rPr>
          <w:rFonts w:eastAsia="仿宋_GB2312"/>
        </w:rPr>
        <w:t>总表</w:t>
      </w:r>
      <w:r>
        <w:rPr>
          <w:rFonts w:eastAsia="仿宋_GB2312"/>
        </w:rPr>
        <w:tab/>
      </w:r>
      <w:r>
        <w:rPr>
          <w:rFonts w:eastAsia="仿宋_GB2312"/>
        </w:rPr>
        <w:tab/>
      </w:r>
      <w:bookmarkStart w:id="322" w:name="RANGE!A1:H27"/>
      <w:bookmarkEnd w:id="322"/>
      <w:bookmarkStart w:id="323" w:name="RANGE!A1:H31"/>
      <w:bookmarkEnd w:id="323"/>
      <w:r>
        <w:rPr>
          <w:rFonts w:eastAsia="仿宋_GB2312"/>
        </w:rPr>
        <w:t>单位：万元</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61"/>
        <w:gridCol w:w="2339"/>
        <w:gridCol w:w="852"/>
        <w:gridCol w:w="850"/>
        <w:gridCol w:w="850"/>
        <w:gridCol w:w="852"/>
        <w:gridCol w:w="954"/>
        <w:gridCol w:w="663"/>
        <w:gridCol w:w="69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71" w:type="pct"/>
            <w:vMerge w:val="restart"/>
            <w:shd w:val="clear" w:color="auto" w:fill="auto"/>
            <w:vAlign w:val="center"/>
          </w:tcPr>
          <w:p>
            <w:pPr>
              <w:widowControl/>
              <w:topLinePunct w:val="0"/>
              <w:adjustRightInd/>
              <w:snapToGrid/>
              <w:spacing w:line="240" w:lineRule="auto"/>
              <w:ind w:firstLine="0" w:firstLineChars="0"/>
              <w:rPr>
                <w:rFonts w:eastAsia="仿宋_GB2312"/>
                <w:color w:val="000000"/>
                <w:sz w:val="21"/>
                <w:szCs w:val="21"/>
              </w:rPr>
            </w:pPr>
            <w:r>
              <w:rPr>
                <w:rFonts w:eastAsia="仿宋_GB2312"/>
                <w:color w:val="000000"/>
                <w:sz w:val="21"/>
                <w:szCs w:val="21"/>
              </w:rPr>
              <w:t>序号</w:t>
            </w:r>
          </w:p>
        </w:tc>
        <w:tc>
          <w:tcPr>
            <w:tcW w:w="1374" w:type="pct"/>
            <w:vMerge w:val="restar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工程或费用名称</w:t>
            </w:r>
          </w:p>
        </w:tc>
        <w:tc>
          <w:tcPr>
            <w:tcW w:w="2558" w:type="pct"/>
            <w:gridSpan w:val="5"/>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方案新增措施投资</w:t>
            </w:r>
          </w:p>
        </w:tc>
        <w:tc>
          <w:tcPr>
            <w:tcW w:w="389" w:type="pct"/>
            <w:vMerge w:val="restar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主体已列</w:t>
            </w:r>
          </w:p>
        </w:tc>
        <w:tc>
          <w:tcPr>
            <w:tcW w:w="408" w:type="pct"/>
            <w:vMerge w:val="restar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合计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71"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74"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0" w:type="pct"/>
            <w:vMerge w:val="restar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建安工程费</w:t>
            </w:r>
          </w:p>
        </w:tc>
        <w:tc>
          <w:tcPr>
            <w:tcW w:w="998" w:type="pct"/>
            <w:gridSpan w:val="2"/>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植物措施费</w:t>
            </w:r>
          </w:p>
        </w:tc>
        <w:tc>
          <w:tcPr>
            <w:tcW w:w="500" w:type="pct"/>
            <w:vMerge w:val="restar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独立费用</w:t>
            </w:r>
          </w:p>
        </w:tc>
        <w:tc>
          <w:tcPr>
            <w:tcW w:w="560" w:type="pct"/>
            <w:vMerge w:val="restar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新增合计</w:t>
            </w:r>
          </w:p>
        </w:tc>
        <w:tc>
          <w:tcPr>
            <w:tcW w:w="389"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8"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71"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74"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0"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栽（种）植费</w:t>
            </w:r>
          </w:p>
        </w:tc>
        <w:tc>
          <w:tcPr>
            <w:tcW w:w="499"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苗木草种费</w:t>
            </w:r>
          </w:p>
        </w:tc>
        <w:tc>
          <w:tcPr>
            <w:tcW w:w="500"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60"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389"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8"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645"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第一部分工程措施</w:t>
            </w: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0.00</w:t>
            </w:r>
          </w:p>
        </w:tc>
        <w:tc>
          <w:tcPr>
            <w:tcW w:w="3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2.34</w:t>
            </w:r>
          </w:p>
        </w:tc>
        <w:tc>
          <w:tcPr>
            <w:tcW w:w="4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2.34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7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1374"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管道工程区</w:t>
            </w: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0.00</w:t>
            </w:r>
          </w:p>
        </w:tc>
        <w:tc>
          <w:tcPr>
            <w:tcW w:w="3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2.18</w:t>
            </w:r>
          </w:p>
        </w:tc>
        <w:tc>
          <w:tcPr>
            <w:tcW w:w="4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2.18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7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1374"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管道附属区</w:t>
            </w: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0.00</w:t>
            </w:r>
          </w:p>
        </w:tc>
        <w:tc>
          <w:tcPr>
            <w:tcW w:w="3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0.17</w:t>
            </w:r>
          </w:p>
        </w:tc>
        <w:tc>
          <w:tcPr>
            <w:tcW w:w="4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645"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第二部分植物措施</w:t>
            </w: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0.00</w:t>
            </w:r>
          </w:p>
        </w:tc>
        <w:tc>
          <w:tcPr>
            <w:tcW w:w="3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645"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第三部分临时措施</w:t>
            </w: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4.22</w:t>
            </w: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4.22</w:t>
            </w:r>
          </w:p>
        </w:tc>
        <w:tc>
          <w:tcPr>
            <w:tcW w:w="3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4.22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7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1374"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管道工程区</w:t>
            </w: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4.03</w:t>
            </w: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4.03</w:t>
            </w:r>
          </w:p>
        </w:tc>
        <w:tc>
          <w:tcPr>
            <w:tcW w:w="3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4.03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7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1374"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管道附属区</w:t>
            </w: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0.19</w:t>
            </w: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0.19</w:t>
            </w:r>
          </w:p>
        </w:tc>
        <w:tc>
          <w:tcPr>
            <w:tcW w:w="3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7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w:t>
            </w:r>
          </w:p>
        </w:tc>
        <w:tc>
          <w:tcPr>
            <w:tcW w:w="137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其他临时措施</w:t>
            </w: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0.00</w:t>
            </w: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0.00</w:t>
            </w:r>
          </w:p>
        </w:tc>
        <w:tc>
          <w:tcPr>
            <w:tcW w:w="3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645"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第四部分独立费用</w:t>
            </w: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11.63</w:t>
            </w:r>
          </w:p>
        </w:tc>
        <w:tc>
          <w:tcPr>
            <w:tcW w:w="5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11.63</w:t>
            </w:r>
          </w:p>
        </w:tc>
        <w:tc>
          <w:tcPr>
            <w:tcW w:w="3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11.63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7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137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建设单位管理费</w:t>
            </w: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0.13</w:t>
            </w:r>
          </w:p>
        </w:tc>
        <w:tc>
          <w:tcPr>
            <w:tcW w:w="5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0.13</w:t>
            </w:r>
          </w:p>
        </w:tc>
        <w:tc>
          <w:tcPr>
            <w:tcW w:w="3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7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137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科研勘测设计费</w:t>
            </w: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6.00</w:t>
            </w:r>
          </w:p>
        </w:tc>
        <w:tc>
          <w:tcPr>
            <w:tcW w:w="5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6.00</w:t>
            </w:r>
          </w:p>
        </w:tc>
        <w:tc>
          <w:tcPr>
            <w:tcW w:w="3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6.00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7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w:t>
            </w:r>
          </w:p>
        </w:tc>
        <w:tc>
          <w:tcPr>
            <w:tcW w:w="137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水土保持监理费</w:t>
            </w: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0.50</w:t>
            </w:r>
          </w:p>
        </w:tc>
        <w:tc>
          <w:tcPr>
            <w:tcW w:w="5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0.50</w:t>
            </w:r>
          </w:p>
        </w:tc>
        <w:tc>
          <w:tcPr>
            <w:tcW w:w="3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7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w:t>
            </w:r>
          </w:p>
        </w:tc>
        <w:tc>
          <w:tcPr>
            <w:tcW w:w="137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水土保持监测费</w:t>
            </w: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0.00</w:t>
            </w:r>
          </w:p>
        </w:tc>
        <w:tc>
          <w:tcPr>
            <w:tcW w:w="5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0.00</w:t>
            </w:r>
          </w:p>
        </w:tc>
        <w:tc>
          <w:tcPr>
            <w:tcW w:w="3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7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w:t>
            </w:r>
          </w:p>
        </w:tc>
        <w:tc>
          <w:tcPr>
            <w:tcW w:w="137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水土保持设施验收报告编制费</w:t>
            </w: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5.00</w:t>
            </w:r>
          </w:p>
        </w:tc>
        <w:tc>
          <w:tcPr>
            <w:tcW w:w="5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5.00</w:t>
            </w:r>
          </w:p>
        </w:tc>
        <w:tc>
          <w:tcPr>
            <w:tcW w:w="3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645"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一至四部分合计</w:t>
            </w: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4.22</w:t>
            </w: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11.63</w:t>
            </w:r>
          </w:p>
        </w:tc>
        <w:tc>
          <w:tcPr>
            <w:tcW w:w="5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15.85</w:t>
            </w:r>
          </w:p>
        </w:tc>
        <w:tc>
          <w:tcPr>
            <w:tcW w:w="3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2.34</w:t>
            </w:r>
          </w:p>
        </w:tc>
        <w:tc>
          <w:tcPr>
            <w:tcW w:w="4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18.19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645"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基本预备费</w:t>
            </w: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0.95</w:t>
            </w:r>
          </w:p>
        </w:tc>
        <w:tc>
          <w:tcPr>
            <w:tcW w:w="3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0.95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645"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水土保持补偿费</w:t>
            </w: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0.86</w:t>
            </w:r>
          </w:p>
        </w:tc>
        <w:tc>
          <w:tcPr>
            <w:tcW w:w="3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0.86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645"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水土保持投资合计</w:t>
            </w: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17.66</w:t>
            </w:r>
          </w:p>
        </w:tc>
        <w:tc>
          <w:tcPr>
            <w:tcW w:w="3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2.34</w:t>
            </w:r>
          </w:p>
        </w:tc>
        <w:tc>
          <w:tcPr>
            <w:tcW w:w="4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20.01</w:t>
            </w:r>
          </w:p>
        </w:tc>
      </w:tr>
    </w:tbl>
    <w:p>
      <w:pPr>
        <w:pStyle w:val="86"/>
        <w:spacing w:line="240" w:lineRule="auto"/>
        <w:rPr>
          <w:rFonts w:eastAsia="仿宋_GB2312"/>
        </w:rPr>
      </w:pPr>
    </w:p>
    <w:p>
      <w:pPr>
        <w:pStyle w:val="86"/>
        <w:spacing w:line="240" w:lineRule="auto"/>
        <w:rPr>
          <w:rFonts w:eastAsia="仿宋_GB2312"/>
        </w:rPr>
      </w:pPr>
      <w:r>
        <w:rPr>
          <w:rFonts w:hint="eastAsia" w:eastAsia="仿宋_GB2312"/>
        </w:rPr>
        <w:t xml:space="preserve">表7.1-3   </w:t>
      </w:r>
      <w:r>
        <w:rPr>
          <w:rFonts w:eastAsia="仿宋_GB2312"/>
        </w:rPr>
        <w:t>水土保持</w:t>
      </w:r>
      <w:r>
        <w:rPr>
          <w:rFonts w:hint="eastAsia" w:eastAsia="仿宋_GB2312"/>
        </w:rPr>
        <w:t>新增分部工程</w:t>
      </w:r>
      <w:r>
        <w:rPr>
          <w:rFonts w:eastAsia="仿宋_GB2312"/>
        </w:rPr>
        <w:t>投资总表单位：万元</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55"/>
        <w:gridCol w:w="2267"/>
        <w:gridCol w:w="855"/>
        <w:gridCol w:w="855"/>
        <w:gridCol w:w="1703"/>
        <w:gridCol w:w="198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02" w:type="pct"/>
            <w:shd w:val="clear" w:color="auto" w:fill="auto"/>
            <w:noWrap/>
            <w:vAlign w:val="center"/>
          </w:tcPr>
          <w:p>
            <w:pPr>
              <w:widowControl/>
              <w:topLinePunct w:val="0"/>
              <w:adjustRightInd/>
              <w:snapToGrid/>
              <w:spacing w:line="240" w:lineRule="auto"/>
              <w:ind w:firstLine="0" w:firstLineChars="0"/>
              <w:rPr>
                <w:rFonts w:eastAsia="仿宋_GB2312"/>
                <w:b/>
                <w:bCs/>
                <w:color w:val="000000"/>
                <w:sz w:val="21"/>
                <w:szCs w:val="21"/>
              </w:rPr>
            </w:pPr>
            <w:r>
              <w:rPr>
                <w:rFonts w:eastAsia="仿宋_GB2312"/>
                <w:b/>
                <w:bCs/>
                <w:color w:val="000000"/>
                <w:sz w:val="21"/>
                <w:szCs w:val="21"/>
              </w:rPr>
              <w:t>序号</w:t>
            </w:r>
          </w:p>
        </w:tc>
        <w:tc>
          <w:tcPr>
            <w:tcW w:w="1331"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工程或费用名称</w:t>
            </w: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单位</w:t>
            </w: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数量</w:t>
            </w:r>
          </w:p>
        </w:tc>
        <w:tc>
          <w:tcPr>
            <w:tcW w:w="1000"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单价（元）</w:t>
            </w:r>
          </w:p>
        </w:tc>
        <w:tc>
          <w:tcPr>
            <w:tcW w:w="1165"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合计（万元）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832"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第一部分工程措施</w:t>
            </w: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000"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165"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832"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第二部分：植物措施</w:t>
            </w: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000"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165"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832"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第三部分临时措施</w:t>
            </w: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000"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165"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4.22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一</w:t>
            </w:r>
          </w:p>
        </w:tc>
        <w:tc>
          <w:tcPr>
            <w:tcW w:w="1331"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管道工程区</w:t>
            </w: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1000"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1165"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4.03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133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防尘网苫盖</w:t>
            </w: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r>
              <w:rPr>
                <w:rFonts w:eastAsia="宋体"/>
                <w:color w:val="000000"/>
                <w:sz w:val="21"/>
                <w:szCs w:val="21"/>
              </w:rPr>
              <w:t>²</w:t>
            </w: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4629</w:t>
            </w:r>
          </w:p>
        </w:tc>
        <w:tc>
          <w:tcPr>
            <w:tcW w:w="1000"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4.72</w:t>
            </w:r>
          </w:p>
        </w:tc>
        <w:tc>
          <w:tcPr>
            <w:tcW w:w="1165"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2.18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133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洒水</w:t>
            </w: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r>
              <w:rPr>
                <w:rFonts w:eastAsia="宋体"/>
                <w:color w:val="000000"/>
                <w:sz w:val="21"/>
                <w:szCs w:val="21"/>
              </w:rPr>
              <w:t>³</w:t>
            </w: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46</w:t>
            </w:r>
          </w:p>
        </w:tc>
        <w:tc>
          <w:tcPr>
            <w:tcW w:w="1000"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26.67</w:t>
            </w:r>
          </w:p>
        </w:tc>
        <w:tc>
          <w:tcPr>
            <w:tcW w:w="1165"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w:t>
            </w:r>
          </w:p>
        </w:tc>
        <w:tc>
          <w:tcPr>
            <w:tcW w:w="133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彩条旗限界</w:t>
            </w: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9258</w:t>
            </w:r>
          </w:p>
        </w:tc>
        <w:tc>
          <w:tcPr>
            <w:tcW w:w="1000"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1.75</w:t>
            </w:r>
          </w:p>
        </w:tc>
        <w:tc>
          <w:tcPr>
            <w:tcW w:w="1165"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1.62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w:t>
            </w:r>
          </w:p>
        </w:tc>
        <w:tc>
          <w:tcPr>
            <w:tcW w:w="133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宣传牌</w:t>
            </w: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块</w:t>
            </w: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1000"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1000.00</w:t>
            </w:r>
          </w:p>
        </w:tc>
        <w:tc>
          <w:tcPr>
            <w:tcW w:w="1165"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二</w:t>
            </w:r>
          </w:p>
        </w:tc>
        <w:tc>
          <w:tcPr>
            <w:tcW w:w="1331"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管道附属区</w:t>
            </w: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1000"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1165"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0.19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133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防尘网苫盖</w:t>
            </w: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r>
              <w:rPr>
                <w:rFonts w:eastAsia="宋体"/>
                <w:color w:val="000000"/>
                <w:sz w:val="21"/>
                <w:szCs w:val="21"/>
              </w:rPr>
              <w:t>²</w:t>
            </w: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406</w:t>
            </w:r>
          </w:p>
        </w:tc>
        <w:tc>
          <w:tcPr>
            <w:tcW w:w="1000"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4.72</w:t>
            </w:r>
          </w:p>
        </w:tc>
        <w:tc>
          <w:tcPr>
            <w:tcW w:w="1165"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五</w:t>
            </w:r>
          </w:p>
        </w:tc>
        <w:tc>
          <w:tcPr>
            <w:tcW w:w="1331"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其他临时措施</w:t>
            </w: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502"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2%</w:t>
            </w:r>
          </w:p>
        </w:tc>
        <w:tc>
          <w:tcPr>
            <w:tcW w:w="1000"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1165"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0.00</w:t>
            </w:r>
          </w:p>
        </w:tc>
      </w:tr>
    </w:tbl>
    <w:p>
      <w:pPr>
        <w:pStyle w:val="86"/>
        <w:spacing w:line="240" w:lineRule="auto"/>
        <w:rPr>
          <w:rFonts w:eastAsia="仿宋_GB2312"/>
        </w:rPr>
        <w:sectPr>
          <w:pgSz w:w="11906" w:h="16838"/>
          <w:pgMar w:top="1440" w:right="1803" w:bottom="1440" w:left="1803" w:header="851" w:footer="992" w:gutter="0"/>
          <w:cols w:space="720" w:num="1"/>
          <w:docGrid w:linePitch="326" w:charSpace="0"/>
        </w:sectPr>
      </w:pPr>
    </w:p>
    <w:p>
      <w:pPr>
        <w:pStyle w:val="86"/>
        <w:spacing w:line="240" w:lineRule="auto"/>
        <w:rPr>
          <w:rFonts w:eastAsia="仿宋_GB2312"/>
        </w:rPr>
      </w:pPr>
      <w:r>
        <w:rPr>
          <w:rFonts w:hint="eastAsia" w:eastAsia="仿宋_GB2312"/>
        </w:rPr>
        <w:t xml:space="preserve">表7.1-4   </w:t>
      </w:r>
      <w:r>
        <w:rPr>
          <w:rFonts w:eastAsia="仿宋_GB2312"/>
        </w:rPr>
        <w:t>分年度水土保持措施投资总表单位：万元</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50"/>
        <w:gridCol w:w="4406"/>
        <w:gridCol w:w="1265"/>
        <w:gridCol w:w="189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58" w:type="pct"/>
            <w:vMerge w:val="restart"/>
            <w:shd w:val="clear" w:color="auto" w:fill="auto"/>
            <w:vAlign w:val="center"/>
          </w:tcPr>
          <w:p>
            <w:pPr>
              <w:widowControl/>
              <w:topLinePunct w:val="0"/>
              <w:adjustRightInd/>
              <w:snapToGrid/>
              <w:spacing w:line="240" w:lineRule="auto"/>
              <w:ind w:firstLine="0" w:firstLineChars="0"/>
              <w:rPr>
                <w:rFonts w:eastAsia="仿宋_GB2312"/>
                <w:color w:val="000000"/>
                <w:sz w:val="21"/>
                <w:szCs w:val="21"/>
              </w:rPr>
            </w:pPr>
            <w:r>
              <w:rPr>
                <w:rFonts w:eastAsia="仿宋_GB2312"/>
                <w:color w:val="000000"/>
                <w:sz w:val="21"/>
                <w:szCs w:val="21"/>
              </w:rPr>
              <w:t>序号</w:t>
            </w:r>
          </w:p>
        </w:tc>
        <w:tc>
          <w:tcPr>
            <w:tcW w:w="2587" w:type="pct"/>
            <w:vMerge w:val="restar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工程或费用名称</w:t>
            </w:r>
          </w:p>
        </w:tc>
        <w:tc>
          <w:tcPr>
            <w:tcW w:w="743" w:type="pct"/>
            <w:vMerge w:val="restar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总投资</w:t>
            </w:r>
          </w:p>
        </w:tc>
        <w:tc>
          <w:tcPr>
            <w:tcW w:w="111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分年度投资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58"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2587"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43"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11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2020年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3145"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第一部分工程措施</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2.34</w:t>
            </w:r>
          </w:p>
        </w:tc>
        <w:tc>
          <w:tcPr>
            <w:tcW w:w="111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2.34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5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258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管道工程区</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2.18</w:t>
            </w:r>
          </w:p>
        </w:tc>
        <w:tc>
          <w:tcPr>
            <w:tcW w:w="111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2.18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5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258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管道附属区</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0.17</w:t>
            </w:r>
          </w:p>
        </w:tc>
        <w:tc>
          <w:tcPr>
            <w:tcW w:w="111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3145"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第二部分植物措施</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0.00</w:t>
            </w:r>
          </w:p>
        </w:tc>
        <w:tc>
          <w:tcPr>
            <w:tcW w:w="111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3145"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第三部分临时措施</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4.22</w:t>
            </w:r>
          </w:p>
        </w:tc>
        <w:tc>
          <w:tcPr>
            <w:tcW w:w="111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4.22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5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258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管道工程区</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4.03</w:t>
            </w:r>
          </w:p>
        </w:tc>
        <w:tc>
          <w:tcPr>
            <w:tcW w:w="111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4.03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5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258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管道附属区</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0.19</w:t>
            </w:r>
          </w:p>
        </w:tc>
        <w:tc>
          <w:tcPr>
            <w:tcW w:w="111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5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w:t>
            </w:r>
          </w:p>
        </w:tc>
        <w:tc>
          <w:tcPr>
            <w:tcW w:w="258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其他临时措施</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0.00</w:t>
            </w:r>
          </w:p>
        </w:tc>
        <w:tc>
          <w:tcPr>
            <w:tcW w:w="111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3145"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第四部分独立费用</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11.63</w:t>
            </w:r>
          </w:p>
        </w:tc>
        <w:tc>
          <w:tcPr>
            <w:tcW w:w="111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11.63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5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258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建设单位管理费</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0.13</w:t>
            </w:r>
          </w:p>
        </w:tc>
        <w:tc>
          <w:tcPr>
            <w:tcW w:w="111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5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258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科研勘测设计费</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6.00</w:t>
            </w:r>
          </w:p>
        </w:tc>
        <w:tc>
          <w:tcPr>
            <w:tcW w:w="111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6.00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5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w:t>
            </w:r>
          </w:p>
        </w:tc>
        <w:tc>
          <w:tcPr>
            <w:tcW w:w="258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水土保持监理费</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0.50</w:t>
            </w:r>
          </w:p>
        </w:tc>
        <w:tc>
          <w:tcPr>
            <w:tcW w:w="111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5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w:t>
            </w:r>
          </w:p>
        </w:tc>
        <w:tc>
          <w:tcPr>
            <w:tcW w:w="258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水土保持监测费</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0.00</w:t>
            </w:r>
          </w:p>
        </w:tc>
        <w:tc>
          <w:tcPr>
            <w:tcW w:w="111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5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w:t>
            </w:r>
          </w:p>
        </w:tc>
        <w:tc>
          <w:tcPr>
            <w:tcW w:w="258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水土保持设施验收报告编制费</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5.00</w:t>
            </w:r>
          </w:p>
        </w:tc>
        <w:tc>
          <w:tcPr>
            <w:tcW w:w="111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3145"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一至四部分合计</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18.19</w:t>
            </w:r>
          </w:p>
        </w:tc>
        <w:tc>
          <w:tcPr>
            <w:tcW w:w="111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18.19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3145"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基本预备费</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0.95</w:t>
            </w:r>
          </w:p>
        </w:tc>
        <w:tc>
          <w:tcPr>
            <w:tcW w:w="111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0.95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3145"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水土保持补偿费</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0.86</w:t>
            </w:r>
          </w:p>
        </w:tc>
        <w:tc>
          <w:tcPr>
            <w:tcW w:w="111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0.86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3145"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水土保持投资合计</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20.01</w:t>
            </w:r>
          </w:p>
        </w:tc>
        <w:tc>
          <w:tcPr>
            <w:tcW w:w="111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20.01</w:t>
            </w:r>
          </w:p>
        </w:tc>
      </w:tr>
    </w:tbl>
    <w:p>
      <w:pPr>
        <w:pStyle w:val="86"/>
        <w:spacing w:line="240" w:lineRule="auto"/>
        <w:rPr>
          <w:rFonts w:eastAsia="仿宋_GB2312"/>
        </w:rPr>
      </w:pPr>
    </w:p>
    <w:p>
      <w:pPr>
        <w:pStyle w:val="86"/>
        <w:spacing w:line="240" w:lineRule="auto"/>
        <w:rPr>
          <w:b w:val="0"/>
          <w:szCs w:val="24"/>
        </w:rPr>
      </w:pPr>
      <w:r>
        <w:rPr>
          <w:rFonts w:hint="eastAsia" w:eastAsia="仿宋_GB2312"/>
        </w:rPr>
        <w:t>表7.1-5   独立费用计算</w:t>
      </w:r>
      <w:r>
        <w:rPr>
          <w:rFonts w:eastAsia="仿宋_GB2312"/>
        </w:rPr>
        <w:t>表单位：万元</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17"/>
        <w:gridCol w:w="1843"/>
        <w:gridCol w:w="4677"/>
        <w:gridCol w:w="117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10" w:hRule="atLeast"/>
        </w:trPr>
        <w:tc>
          <w:tcPr>
            <w:tcW w:w="48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序号</w:t>
            </w:r>
          </w:p>
        </w:tc>
        <w:tc>
          <w:tcPr>
            <w:tcW w:w="10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费用名称</w:t>
            </w:r>
          </w:p>
        </w:tc>
        <w:tc>
          <w:tcPr>
            <w:tcW w:w="274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编制依据及计算公式</w:t>
            </w:r>
          </w:p>
        </w:tc>
        <w:tc>
          <w:tcPr>
            <w:tcW w:w="69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金额</w:t>
            </w:r>
          </w:p>
          <w:p>
            <w:pPr>
              <w:spacing w:line="240" w:lineRule="auto"/>
              <w:ind w:firstLine="0" w:firstLineChars="0"/>
              <w:jc w:val="center"/>
              <w:rPr>
                <w:rFonts w:eastAsia="仿宋_GB2312"/>
                <w:color w:val="000000"/>
                <w:sz w:val="21"/>
                <w:szCs w:val="21"/>
              </w:rPr>
            </w:pPr>
            <w:r>
              <w:rPr>
                <w:rFonts w:eastAsia="仿宋_GB2312"/>
                <w:color w:val="000000"/>
                <w:sz w:val="21"/>
                <w:szCs w:val="21"/>
              </w:rPr>
              <w:t>(万元)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308" w:type="pct"/>
            <w:gridSpan w:val="3"/>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第四部分：独立费用</w:t>
            </w:r>
          </w:p>
        </w:tc>
        <w:tc>
          <w:tcPr>
            <w:tcW w:w="69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8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10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建设管理费</w:t>
            </w:r>
          </w:p>
        </w:tc>
        <w:tc>
          <w:tcPr>
            <w:tcW w:w="274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按水土保持投资中第一至第三部分之和的2%计取</w:t>
            </w:r>
          </w:p>
        </w:tc>
        <w:tc>
          <w:tcPr>
            <w:tcW w:w="69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0.13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8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10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科研勘测设计费</w:t>
            </w:r>
          </w:p>
        </w:tc>
        <w:tc>
          <w:tcPr>
            <w:tcW w:w="274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建设部〔2002〕10号文颁发的《工程勘察设计收费标准》计取的，按实际情况进行调整。</w:t>
            </w:r>
          </w:p>
        </w:tc>
        <w:tc>
          <w:tcPr>
            <w:tcW w:w="69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6.00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8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w:t>
            </w:r>
          </w:p>
        </w:tc>
        <w:tc>
          <w:tcPr>
            <w:tcW w:w="10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水土保持监理费</w:t>
            </w:r>
          </w:p>
        </w:tc>
        <w:tc>
          <w:tcPr>
            <w:tcW w:w="274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由主体监理代监</w:t>
            </w:r>
          </w:p>
        </w:tc>
        <w:tc>
          <w:tcPr>
            <w:tcW w:w="69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0.5</w:t>
            </w:r>
            <w:r>
              <w:rPr>
                <w:rFonts w:eastAsia="仿宋_GB2312"/>
                <w:color w:val="000000"/>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8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w:t>
            </w:r>
          </w:p>
        </w:tc>
        <w:tc>
          <w:tcPr>
            <w:tcW w:w="108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水土保持监测费</w:t>
            </w:r>
          </w:p>
        </w:tc>
        <w:tc>
          <w:tcPr>
            <w:tcW w:w="274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按监测土建设施费、消耗性材料费、仪器设备折旧费和监测人员费计取。</w:t>
            </w:r>
          </w:p>
        </w:tc>
        <w:tc>
          <w:tcPr>
            <w:tcW w:w="69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8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w:t>
            </w:r>
          </w:p>
        </w:tc>
        <w:tc>
          <w:tcPr>
            <w:tcW w:w="10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水土保持设施验收报告编制费</w:t>
            </w:r>
          </w:p>
        </w:tc>
        <w:tc>
          <w:tcPr>
            <w:tcW w:w="274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参照有关规定计列，并根据实际工作量复核。</w:t>
            </w:r>
          </w:p>
        </w:tc>
        <w:tc>
          <w:tcPr>
            <w:tcW w:w="69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8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合计</w:t>
            </w:r>
          </w:p>
        </w:tc>
        <w:tc>
          <w:tcPr>
            <w:tcW w:w="10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274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69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11.63</w:t>
            </w:r>
          </w:p>
        </w:tc>
      </w:tr>
    </w:tbl>
    <w:p>
      <w:pPr>
        <w:pStyle w:val="86"/>
        <w:spacing w:line="240" w:lineRule="auto"/>
        <w:rPr>
          <w:rFonts w:eastAsia="仿宋_GB2312"/>
        </w:rPr>
        <w:sectPr>
          <w:pgSz w:w="11906" w:h="16838"/>
          <w:pgMar w:top="1440" w:right="1803" w:bottom="1440" w:left="1803" w:header="851" w:footer="992" w:gutter="0"/>
          <w:cols w:space="720" w:num="1"/>
          <w:docGrid w:linePitch="326" w:charSpace="0"/>
        </w:sectPr>
      </w:pPr>
    </w:p>
    <w:p>
      <w:pPr>
        <w:pStyle w:val="86"/>
        <w:spacing w:line="240" w:lineRule="auto"/>
        <w:ind w:right="480"/>
        <w:jc w:val="right"/>
        <w:rPr>
          <w:rFonts w:eastAsia="仿宋_GB2312"/>
        </w:rPr>
      </w:pPr>
      <w:r>
        <w:rPr>
          <w:rFonts w:hint="eastAsia" w:eastAsia="仿宋_GB2312"/>
        </w:rPr>
        <w:t>表7.1-6</w:t>
      </w:r>
      <w:r>
        <w:rPr>
          <w:rFonts w:eastAsia="仿宋_GB2312"/>
        </w:rPr>
        <w:t>水土保持补偿费</w:t>
      </w:r>
      <w:r>
        <w:rPr>
          <w:rFonts w:eastAsia="仿宋_GB2312"/>
        </w:rPr>
        <w:tab/>
      </w:r>
      <w:r>
        <w:rPr>
          <w:rFonts w:eastAsia="仿宋_GB2312"/>
        </w:rPr>
        <w:tab/>
      </w:r>
      <w:r>
        <w:rPr>
          <w:rFonts w:eastAsia="仿宋_GB2312"/>
        </w:rPr>
        <w:t>单位:</w:t>
      </w:r>
      <w:r>
        <w:rPr>
          <w:rFonts w:hint="eastAsia" w:eastAsia="仿宋_GB2312"/>
        </w:rPr>
        <w:t>万</w:t>
      </w:r>
      <w:r>
        <w:rPr>
          <w:rFonts w:eastAsia="仿宋_GB2312"/>
        </w:rPr>
        <w:t>元</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42"/>
        <w:gridCol w:w="1082"/>
        <w:gridCol w:w="1234"/>
        <w:gridCol w:w="1851"/>
        <w:gridCol w:w="16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609"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行政区域</w:t>
            </w:r>
          </w:p>
        </w:tc>
        <w:tc>
          <w:tcPr>
            <w:tcW w:w="635"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单位</w:t>
            </w:r>
          </w:p>
        </w:tc>
        <w:tc>
          <w:tcPr>
            <w:tcW w:w="724"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数量</w:t>
            </w:r>
          </w:p>
        </w:tc>
        <w:tc>
          <w:tcPr>
            <w:tcW w:w="1086"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单价(元/m</w:t>
            </w:r>
            <w:r>
              <w:rPr>
                <w:rFonts w:eastAsia="仿宋_GB2312"/>
                <w:sz w:val="21"/>
                <w:szCs w:val="21"/>
                <w:vertAlign w:val="superscript"/>
              </w:rPr>
              <w:t>2</w:t>
            </w:r>
            <w:r>
              <w:rPr>
                <w:rFonts w:eastAsia="仿宋_GB2312"/>
                <w:sz w:val="21"/>
                <w:szCs w:val="21"/>
              </w:rPr>
              <w:t>)</w:t>
            </w:r>
          </w:p>
        </w:tc>
        <w:tc>
          <w:tcPr>
            <w:tcW w:w="946"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合价(</w:t>
            </w:r>
            <w:r>
              <w:rPr>
                <w:rFonts w:hint="eastAsia" w:eastAsia="仿宋_GB2312"/>
                <w:sz w:val="21"/>
                <w:szCs w:val="21"/>
              </w:rPr>
              <w:t>万</w:t>
            </w:r>
            <w:r>
              <w:rPr>
                <w:rFonts w:eastAsia="仿宋_GB2312"/>
                <w:sz w:val="21"/>
                <w:szCs w:val="21"/>
              </w:rPr>
              <w:t>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609"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第十四师224团</w:t>
            </w:r>
          </w:p>
        </w:tc>
        <w:tc>
          <w:tcPr>
            <w:tcW w:w="635"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h</w:t>
            </w:r>
            <w:r>
              <w:rPr>
                <w:rFonts w:eastAsia="仿宋_GB2312"/>
                <w:sz w:val="21"/>
                <w:szCs w:val="21"/>
              </w:rPr>
              <w:t>m</w:t>
            </w:r>
            <w:r>
              <w:rPr>
                <w:rFonts w:eastAsia="仿宋_GB2312"/>
                <w:sz w:val="21"/>
                <w:szCs w:val="21"/>
                <w:vertAlign w:val="superscript"/>
              </w:rPr>
              <w:t>2</w:t>
            </w:r>
          </w:p>
        </w:tc>
        <w:tc>
          <w:tcPr>
            <w:tcW w:w="724" w:type="pct"/>
            <w:shd w:val="clear" w:color="auto" w:fill="auto"/>
            <w:vAlign w:val="center"/>
          </w:tcPr>
          <w:p>
            <w:pPr>
              <w:adjustRightInd/>
              <w:snapToGrid/>
              <w:spacing w:line="240" w:lineRule="auto"/>
              <w:ind w:firstLine="0" w:firstLineChars="0"/>
              <w:jc w:val="center"/>
              <w:rPr>
                <w:rFonts w:eastAsia="仿宋_GB2312"/>
                <w:sz w:val="21"/>
                <w:szCs w:val="21"/>
              </w:rPr>
            </w:pPr>
            <w:r>
              <w:rPr>
                <w:rFonts w:hint="eastAsia" w:eastAsia="仿宋_GB2312"/>
                <w:sz w:val="21"/>
                <w:szCs w:val="21"/>
              </w:rPr>
              <w:t>15.63</w:t>
            </w:r>
          </w:p>
        </w:tc>
        <w:tc>
          <w:tcPr>
            <w:tcW w:w="1086" w:type="pct"/>
            <w:shd w:val="clear" w:color="auto" w:fill="auto"/>
            <w:vAlign w:val="center"/>
          </w:tcPr>
          <w:p>
            <w:pPr>
              <w:adjustRightInd/>
              <w:snapToGrid/>
              <w:spacing w:line="240" w:lineRule="auto"/>
              <w:ind w:firstLine="0" w:firstLineChars="0"/>
              <w:jc w:val="center"/>
              <w:rPr>
                <w:rFonts w:eastAsia="仿宋_GB2312"/>
                <w:sz w:val="21"/>
                <w:szCs w:val="21"/>
              </w:rPr>
            </w:pPr>
            <w:r>
              <w:rPr>
                <w:rFonts w:hint="eastAsia" w:eastAsia="仿宋_GB2312"/>
                <w:sz w:val="21"/>
                <w:szCs w:val="21"/>
              </w:rPr>
              <w:t>0.3</w:t>
            </w:r>
          </w:p>
        </w:tc>
        <w:tc>
          <w:tcPr>
            <w:tcW w:w="946" w:type="pct"/>
            <w:shd w:val="clear" w:color="auto" w:fill="auto"/>
            <w:vAlign w:val="center"/>
          </w:tcPr>
          <w:p>
            <w:pPr>
              <w:adjustRightInd/>
              <w:snapToGrid/>
              <w:spacing w:line="240" w:lineRule="auto"/>
              <w:ind w:firstLine="0" w:firstLineChars="0"/>
              <w:jc w:val="center"/>
              <w:rPr>
                <w:rFonts w:eastAsia="仿宋_GB2312"/>
                <w:sz w:val="21"/>
                <w:szCs w:val="21"/>
              </w:rPr>
            </w:pPr>
            <w:r>
              <w:rPr>
                <w:rFonts w:hint="eastAsia" w:eastAsia="仿宋_GB2312"/>
                <w:sz w:val="21"/>
                <w:szCs w:val="21"/>
              </w:rPr>
              <w:t>4.69</w:t>
            </w:r>
          </w:p>
        </w:tc>
      </w:tr>
    </w:tbl>
    <w:p>
      <w:pPr>
        <w:pStyle w:val="86"/>
        <w:spacing w:line="240" w:lineRule="auto"/>
        <w:rPr>
          <w:rFonts w:eastAsia="仿宋_GB2312"/>
        </w:rPr>
      </w:pPr>
    </w:p>
    <w:p>
      <w:pPr>
        <w:pStyle w:val="86"/>
        <w:spacing w:line="240" w:lineRule="auto"/>
        <w:rPr>
          <w:rFonts w:eastAsia="仿宋_GB2312"/>
        </w:rPr>
      </w:pPr>
      <w:r>
        <w:rPr>
          <w:rFonts w:hint="eastAsia" w:eastAsia="仿宋_GB2312"/>
        </w:rPr>
        <w:t>表7.1-7工程单价汇总</w:t>
      </w:r>
      <w:r>
        <w:rPr>
          <w:rFonts w:eastAsia="仿宋_GB2312"/>
        </w:rPr>
        <w:t>表</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17"/>
        <w:gridCol w:w="1279"/>
        <w:gridCol w:w="991"/>
        <w:gridCol w:w="990"/>
        <w:gridCol w:w="994"/>
        <w:gridCol w:w="849"/>
        <w:gridCol w:w="850"/>
        <w:gridCol w:w="842"/>
        <w:gridCol w:w="91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79"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定额编号</w:t>
            </w:r>
          </w:p>
        </w:tc>
        <w:tc>
          <w:tcPr>
            <w:tcW w:w="750"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工程名称</w:t>
            </w:r>
          </w:p>
        </w:tc>
        <w:tc>
          <w:tcPr>
            <w:tcW w:w="581"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单位</w:t>
            </w:r>
          </w:p>
        </w:tc>
        <w:tc>
          <w:tcPr>
            <w:tcW w:w="581"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单价</w:t>
            </w:r>
          </w:p>
        </w:tc>
        <w:tc>
          <w:tcPr>
            <w:tcW w:w="2608" w:type="pct"/>
            <w:gridSpan w:val="5"/>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其中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79"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50"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81"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81"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8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直接工程费</w:t>
            </w:r>
          </w:p>
        </w:tc>
        <w:tc>
          <w:tcPr>
            <w:tcW w:w="49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间接费</w:t>
            </w: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企业利润</w:t>
            </w:r>
          </w:p>
        </w:tc>
        <w:tc>
          <w:tcPr>
            <w:tcW w:w="49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税金</w:t>
            </w:r>
          </w:p>
        </w:tc>
        <w:tc>
          <w:tcPr>
            <w:tcW w:w="53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扩大10%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79"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参照定额</w:t>
            </w:r>
          </w:p>
        </w:tc>
        <w:tc>
          <w:tcPr>
            <w:tcW w:w="75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洒水降尘</w:t>
            </w:r>
          </w:p>
        </w:tc>
        <w:tc>
          <w:tcPr>
            <w:tcW w:w="5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100m</w:t>
            </w:r>
            <w:r>
              <w:rPr>
                <w:rFonts w:eastAsia="宋体"/>
                <w:color w:val="000000"/>
                <w:sz w:val="21"/>
                <w:szCs w:val="21"/>
              </w:rPr>
              <w:t>³</w:t>
            </w:r>
          </w:p>
        </w:tc>
        <w:tc>
          <w:tcPr>
            <w:tcW w:w="5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2667.21</w:t>
            </w:r>
          </w:p>
        </w:tc>
        <w:tc>
          <w:tcPr>
            <w:tcW w:w="58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1991.38</w:t>
            </w:r>
          </w:p>
        </w:tc>
        <w:tc>
          <w:tcPr>
            <w:tcW w:w="49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87.62</w:t>
            </w: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145.53</w:t>
            </w:r>
          </w:p>
        </w:tc>
        <w:tc>
          <w:tcPr>
            <w:tcW w:w="49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200.21</w:t>
            </w:r>
          </w:p>
        </w:tc>
        <w:tc>
          <w:tcPr>
            <w:tcW w:w="53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242.47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79"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03005</w:t>
            </w:r>
          </w:p>
        </w:tc>
        <w:tc>
          <w:tcPr>
            <w:tcW w:w="75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防尘网苫盖</w:t>
            </w:r>
          </w:p>
        </w:tc>
        <w:tc>
          <w:tcPr>
            <w:tcW w:w="5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100m</w:t>
            </w:r>
            <w:r>
              <w:rPr>
                <w:rFonts w:eastAsia="宋体"/>
                <w:color w:val="000000"/>
                <w:sz w:val="21"/>
                <w:szCs w:val="21"/>
              </w:rPr>
              <w:t>²</w:t>
            </w:r>
          </w:p>
        </w:tc>
        <w:tc>
          <w:tcPr>
            <w:tcW w:w="5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471.69</w:t>
            </w:r>
          </w:p>
        </w:tc>
        <w:tc>
          <w:tcPr>
            <w:tcW w:w="58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352.17</w:t>
            </w:r>
          </w:p>
        </w:tc>
        <w:tc>
          <w:tcPr>
            <w:tcW w:w="49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15.50</w:t>
            </w: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25.74</w:t>
            </w:r>
          </w:p>
        </w:tc>
        <w:tc>
          <w:tcPr>
            <w:tcW w:w="49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35.41</w:t>
            </w:r>
          </w:p>
        </w:tc>
        <w:tc>
          <w:tcPr>
            <w:tcW w:w="53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42.88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79"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参照定额</w:t>
            </w:r>
          </w:p>
        </w:tc>
        <w:tc>
          <w:tcPr>
            <w:tcW w:w="75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彩条旗限界</w:t>
            </w:r>
          </w:p>
        </w:tc>
        <w:tc>
          <w:tcPr>
            <w:tcW w:w="5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100m</w:t>
            </w:r>
          </w:p>
        </w:tc>
        <w:tc>
          <w:tcPr>
            <w:tcW w:w="5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175.05</w:t>
            </w:r>
          </w:p>
        </w:tc>
        <w:tc>
          <w:tcPr>
            <w:tcW w:w="58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130.70</w:t>
            </w:r>
          </w:p>
        </w:tc>
        <w:tc>
          <w:tcPr>
            <w:tcW w:w="49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5.75</w:t>
            </w: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9.55</w:t>
            </w:r>
          </w:p>
        </w:tc>
        <w:tc>
          <w:tcPr>
            <w:tcW w:w="49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13.14</w:t>
            </w:r>
          </w:p>
        </w:tc>
        <w:tc>
          <w:tcPr>
            <w:tcW w:w="53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15.91</w:t>
            </w:r>
          </w:p>
        </w:tc>
      </w:tr>
    </w:tbl>
    <w:p>
      <w:pPr>
        <w:spacing w:line="240" w:lineRule="auto"/>
        <w:ind w:firstLine="480"/>
      </w:pPr>
    </w:p>
    <w:p>
      <w:pPr>
        <w:pStyle w:val="86"/>
        <w:spacing w:line="240" w:lineRule="auto"/>
        <w:rPr>
          <w:rFonts w:eastAsia="仿宋_GB2312"/>
        </w:rPr>
      </w:pPr>
      <w:r>
        <w:rPr>
          <w:rFonts w:hint="eastAsia" w:eastAsia="仿宋_GB2312"/>
        </w:rPr>
        <w:t>表7.1-8施工机械台时费汇总</w:t>
      </w:r>
      <w:r>
        <w:rPr>
          <w:rFonts w:eastAsia="仿宋_GB2312"/>
        </w:rPr>
        <w:t>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8"/>
        <w:gridCol w:w="1457"/>
        <w:gridCol w:w="850"/>
        <w:gridCol w:w="983"/>
        <w:gridCol w:w="1282"/>
        <w:gridCol w:w="994"/>
        <w:gridCol w:w="1052"/>
        <w:gridCol w:w="12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4"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序号</w:t>
            </w:r>
          </w:p>
        </w:tc>
        <w:tc>
          <w:tcPr>
            <w:tcW w:w="855"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名称及规格</w:t>
            </w:r>
          </w:p>
        </w:tc>
        <w:tc>
          <w:tcPr>
            <w:tcW w:w="499"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台时费</w:t>
            </w:r>
          </w:p>
        </w:tc>
        <w:tc>
          <w:tcPr>
            <w:tcW w:w="3272" w:type="pct"/>
            <w:gridSpan w:val="5"/>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其中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4"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855"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折旧费</w:t>
            </w:r>
          </w:p>
        </w:tc>
        <w:tc>
          <w:tcPr>
            <w:tcW w:w="75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修理及替换设备费</w:t>
            </w:r>
          </w:p>
        </w:tc>
        <w:tc>
          <w:tcPr>
            <w:tcW w:w="58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安拆费</w:t>
            </w:r>
          </w:p>
        </w:tc>
        <w:tc>
          <w:tcPr>
            <w:tcW w:w="61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人工费</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动力燃料费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1</w:t>
            </w:r>
          </w:p>
        </w:tc>
        <w:tc>
          <w:tcPr>
            <w:tcW w:w="85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洒水车（8m</w:t>
            </w:r>
            <w:r>
              <w:rPr>
                <w:rFonts w:eastAsia="仿宋_GB2312"/>
                <w:color w:val="000000"/>
                <w:sz w:val="21"/>
                <w:szCs w:val="21"/>
              </w:rPr>
              <w:t>³</w:t>
            </w:r>
            <w:r>
              <w:rPr>
                <w:rFonts w:hint="eastAsia" w:eastAsia="仿宋_GB2312"/>
                <w:color w:val="000000"/>
                <w:sz w:val="21"/>
                <w:szCs w:val="21"/>
              </w:rPr>
              <w:t>）</w:t>
            </w: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106.18</w:t>
            </w:r>
          </w:p>
        </w:tc>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14.06</w:t>
            </w:r>
          </w:p>
        </w:tc>
        <w:tc>
          <w:tcPr>
            <w:tcW w:w="75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20.12</w:t>
            </w:r>
          </w:p>
        </w:tc>
        <w:tc>
          <w:tcPr>
            <w:tcW w:w="58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61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10.49</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61.51</w:t>
            </w:r>
          </w:p>
        </w:tc>
      </w:tr>
    </w:tbl>
    <w:p>
      <w:pPr>
        <w:pStyle w:val="86"/>
        <w:spacing w:line="240" w:lineRule="auto"/>
        <w:rPr>
          <w:rFonts w:eastAsia="仿宋_GB2312"/>
        </w:rPr>
      </w:pPr>
    </w:p>
    <w:p>
      <w:pPr>
        <w:pStyle w:val="86"/>
        <w:spacing w:line="240" w:lineRule="auto"/>
        <w:rPr>
          <w:rFonts w:eastAsia="仿宋_GB2312"/>
        </w:rPr>
      </w:pPr>
      <w:r>
        <w:rPr>
          <w:rFonts w:hint="eastAsia" w:eastAsia="仿宋_GB2312"/>
        </w:rPr>
        <w:t>表7.1-9主要材料单价汇总</w:t>
      </w:r>
      <w:r>
        <w:rPr>
          <w:rFonts w:eastAsia="仿宋_GB2312"/>
        </w:rPr>
        <w:t>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83"/>
        <w:gridCol w:w="1266"/>
        <w:gridCol w:w="980"/>
        <w:gridCol w:w="656"/>
        <w:gridCol w:w="983"/>
        <w:gridCol w:w="1336"/>
        <w:gridCol w:w="1144"/>
        <w:gridCol w:w="11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7"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编号</w:t>
            </w:r>
          </w:p>
        </w:tc>
        <w:tc>
          <w:tcPr>
            <w:tcW w:w="743"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名称及规格</w:t>
            </w:r>
          </w:p>
        </w:tc>
        <w:tc>
          <w:tcPr>
            <w:tcW w:w="575"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单位</w:t>
            </w:r>
          </w:p>
        </w:tc>
        <w:tc>
          <w:tcPr>
            <w:tcW w:w="2416" w:type="pct"/>
            <w:gridSpan w:val="4"/>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其中</w:t>
            </w:r>
          </w:p>
        </w:tc>
        <w:tc>
          <w:tcPr>
            <w:tcW w:w="689" w:type="pct"/>
            <w:vMerge w:val="restar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预算价格(元)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7"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743"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575"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38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原价</w:t>
            </w:r>
          </w:p>
        </w:tc>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运杂费</w:t>
            </w:r>
          </w:p>
        </w:tc>
        <w:tc>
          <w:tcPr>
            <w:tcW w:w="784"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到工地价格</w:t>
            </w:r>
          </w:p>
        </w:tc>
        <w:tc>
          <w:tcPr>
            <w:tcW w:w="671"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采保费</w:t>
            </w:r>
          </w:p>
        </w:tc>
        <w:tc>
          <w:tcPr>
            <w:tcW w:w="689"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汽油</w:t>
            </w:r>
          </w:p>
        </w:tc>
        <w:tc>
          <w:tcPr>
            <w:tcW w:w="57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kg</w:t>
            </w:r>
          </w:p>
        </w:tc>
        <w:tc>
          <w:tcPr>
            <w:tcW w:w="2416" w:type="pct"/>
            <w:gridSpan w:val="4"/>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采用工程主体单价</w:t>
            </w:r>
          </w:p>
        </w:tc>
        <w:tc>
          <w:tcPr>
            <w:tcW w:w="6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7.08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柴油</w:t>
            </w:r>
          </w:p>
        </w:tc>
        <w:tc>
          <w:tcPr>
            <w:tcW w:w="57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kg</w:t>
            </w:r>
          </w:p>
        </w:tc>
        <w:tc>
          <w:tcPr>
            <w:tcW w:w="2416" w:type="pct"/>
            <w:gridSpan w:val="4"/>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6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6.99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电</w:t>
            </w:r>
          </w:p>
        </w:tc>
        <w:tc>
          <w:tcPr>
            <w:tcW w:w="57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kw.h</w:t>
            </w:r>
          </w:p>
        </w:tc>
        <w:tc>
          <w:tcPr>
            <w:tcW w:w="2416" w:type="pct"/>
            <w:gridSpan w:val="4"/>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6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w:t>
            </w:r>
          </w:p>
        </w:tc>
        <w:tc>
          <w:tcPr>
            <w:tcW w:w="57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r>
              <w:rPr>
                <w:rFonts w:eastAsia="宋体"/>
                <w:color w:val="000000"/>
                <w:sz w:val="21"/>
                <w:szCs w:val="21"/>
              </w:rPr>
              <w:t>³</w:t>
            </w:r>
          </w:p>
        </w:tc>
        <w:tc>
          <w:tcPr>
            <w:tcW w:w="2416" w:type="pct"/>
            <w:gridSpan w:val="4"/>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6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3.57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5</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防尘网</w:t>
            </w:r>
          </w:p>
        </w:tc>
        <w:tc>
          <w:tcPr>
            <w:tcW w:w="57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r>
              <w:rPr>
                <w:rFonts w:eastAsia="宋体"/>
                <w:color w:val="000000"/>
                <w:sz w:val="21"/>
                <w:szCs w:val="21"/>
              </w:rPr>
              <w:t>²</w:t>
            </w:r>
          </w:p>
        </w:tc>
        <w:tc>
          <w:tcPr>
            <w:tcW w:w="38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2</w:t>
            </w:r>
          </w:p>
        </w:tc>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0.02</w:t>
            </w:r>
          </w:p>
        </w:tc>
        <w:tc>
          <w:tcPr>
            <w:tcW w:w="78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2.02</w:t>
            </w:r>
          </w:p>
        </w:tc>
        <w:tc>
          <w:tcPr>
            <w:tcW w:w="67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0.02</w:t>
            </w:r>
          </w:p>
        </w:tc>
        <w:tc>
          <w:tcPr>
            <w:tcW w:w="6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2.04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6</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彩条旗</w:t>
            </w:r>
          </w:p>
        </w:tc>
        <w:tc>
          <w:tcPr>
            <w:tcW w:w="57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p>
        </w:tc>
        <w:tc>
          <w:tcPr>
            <w:tcW w:w="38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0.5</w:t>
            </w:r>
          </w:p>
        </w:tc>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0.02</w:t>
            </w:r>
          </w:p>
        </w:tc>
        <w:tc>
          <w:tcPr>
            <w:tcW w:w="78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0.52</w:t>
            </w:r>
          </w:p>
        </w:tc>
        <w:tc>
          <w:tcPr>
            <w:tcW w:w="67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0.01</w:t>
            </w:r>
          </w:p>
        </w:tc>
        <w:tc>
          <w:tcPr>
            <w:tcW w:w="6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7</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木条</w:t>
            </w:r>
          </w:p>
        </w:tc>
        <w:tc>
          <w:tcPr>
            <w:tcW w:w="57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根</w:t>
            </w:r>
          </w:p>
        </w:tc>
        <w:tc>
          <w:tcPr>
            <w:tcW w:w="38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2</w:t>
            </w:r>
          </w:p>
        </w:tc>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0.02</w:t>
            </w:r>
          </w:p>
        </w:tc>
        <w:tc>
          <w:tcPr>
            <w:tcW w:w="78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2.0152</w:t>
            </w:r>
          </w:p>
        </w:tc>
        <w:tc>
          <w:tcPr>
            <w:tcW w:w="67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0.02</w:t>
            </w:r>
          </w:p>
        </w:tc>
        <w:tc>
          <w:tcPr>
            <w:tcW w:w="6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2.04</w:t>
            </w:r>
          </w:p>
        </w:tc>
      </w:tr>
    </w:tbl>
    <w:p>
      <w:pPr>
        <w:pStyle w:val="3"/>
        <w:widowControl/>
        <w:numPr>
          <w:ilvl w:val="1"/>
          <w:numId w:val="1"/>
        </w:numPr>
        <w:tabs>
          <w:tab w:val="clear" w:pos="1002"/>
        </w:tabs>
        <w:topLinePunct w:val="0"/>
        <w:adjustRightInd/>
        <w:snapToGrid/>
        <w:spacing w:beforeLines="50"/>
        <w:ind w:left="0" w:firstLine="0"/>
        <w:jc w:val="both"/>
        <w:rPr>
          <w:rFonts w:eastAsia="仿宋_GB2312"/>
        </w:rPr>
      </w:pPr>
      <w:bookmarkStart w:id="324" w:name="_Toc211401611"/>
      <w:bookmarkStart w:id="325" w:name="_Toc50221523"/>
      <w:bookmarkStart w:id="326" w:name="_Toc255304639"/>
      <w:bookmarkStart w:id="327" w:name="_Toc7801484"/>
      <w:bookmarkStart w:id="328" w:name="_Toc7801577"/>
      <w:bookmarkStart w:id="329" w:name="_Toc7801417"/>
      <w:r>
        <w:rPr>
          <w:rFonts w:eastAsia="仿宋_GB2312"/>
        </w:rPr>
        <w:t>效益分析</w:t>
      </w:r>
      <w:bookmarkEnd w:id="324"/>
      <w:bookmarkEnd w:id="325"/>
      <w:bookmarkEnd w:id="326"/>
      <w:bookmarkEnd w:id="327"/>
      <w:bookmarkEnd w:id="328"/>
      <w:bookmarkEnd w:id="329"/>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效益分析原则</w:t>
      </w:r>
    </w:p>
    <w:p>
      <w:pPr>
        <w:pStyle w:val="15"/>
        <w:ind w:firstLine="480"/>
        <w:rPr>
          <w:rFonts w:eastAsia="仿宋_GB2312"/>
        </w:rPr>
      </w:pPr>
      <w:r>
        <w:rPr>
          <w:rFonts w:eastAsia="仿宋_GB2312"/>
        </w:rPr>
        <w:t>（1）首先考虑水土保持措施的基础效益、生态效益和社会效益，在此基础上考虑经济效益。</w:t>
      </w:r>
    </w:p>
    <w:p>
      <w:pPr>
        <w:pStyle w:val="15"/>
        <w:ind w:firstLine="480"/>
        <w:rPr>
          <w:rFonts w:eastAsia="仿宋_GB2312"/>
        </w:rPr>
      </w:pPr>
      <w:r>
        <w:rPr>
          <w:rFonts w:eastAsia="仿宋_GB2312"/>
        </w:rPr>
        <w:t>（2）水土保持的效益既是多方面的，也是有限度的，要实事求是、客观地、恰如其分地进行水土保持效益分析。</w:t>
      </w:r>
    </w:p>
    <w:p>
      <w:pPr>
        <w:pStyle w:val="15"/>
        <w:ind w:firstLine="480"/>
        <w:rPr>
          <w:rFonts w:eastAsia="仿宋_GB2312"/>
        </w:rPr>
      </w:pPr>
      <w:r>
        <w:rPr>
          <w:rFonts w:eastAsia="仿宋_GB2312"/>
        </w:rPr>
        <w:t>（3）基础效益采用定量和定性相结合分析，生态效益、社会效益作定性描述分析。</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防治效果预测</w:t>
      </w:r>
    </w:p>
    <w:p>
      <w:pPr>
        <w:pStyle w:val="15"/>
        <w:ind w:firstLine="480"/>
        <w:rPr>
          <w:rFonts w:eastAsia="仿宋_GB2312"/>
        </w:rPr>
      </w:pPr>
      <w:r>
        <w:rPr>
          <w:rFonts w:eastAsia="仿宋_GB2312"/>
        </w:rPr>
        <w:t>水土流失的防治效果预测，主要是指对照方案采取的水土流失防治措施，预测可能达到的防治效果。具体的量化指标为水土流失治理度、土壤流失控制比、渣土防护率、表土保护率、林草植被恢复率和林草覆盖率等六大指标。</w:t>
      </w:r>
    </w:p>
    <w:p>
      <w:pPr>
        <w:pStyle w:val="15"/>
        <w:ind w:firstLine="480"/>
        <w:rPr>
          <w:rFonts w:eastAsia="仿宋_GB2312"/>
        </w:rPr>
      </w:pPr>
      <w:r>
        <w:rPr>
          <w:rFonts w:eastAsia="仿宋_GB2312"/>
        </w:rPr>
        <w:t>根据以上分析，结合方案设计的各项水保措施的防治效果，本工程水土保持措施实施后，防治目标预计的达标情况见表7.2-1、7.2-2。</w:t>
      </w:r>
    </w:p>
    <w:p>
      <w:pPr>
        <w:pStyle w:val="15"/>
        <w:spacing w:line="240" w:lineRule="auto"/>
        <w:ind w:firstLine="480"/>
        <w:jc w:val="center"/>
        <w:rPr>
          <w:rFonts w:eastAsia="仿宋_GB2312"/>
          <w:b/>
        </w:rPr>
      </w:pPr>
      <w:r>
        <w:rPr>
          <w:rFonts w:eastAsia="仿宋_GB2312"/>
          <w:b/>
        </w:rPr>
        <w:t>7.2</w:t>
      </w:r>
      <w:r>
        <w:rPr>
          <w:rFonts w:hint="eastAsia" w:eastAsia="仿宋_GB2312"/>
          <w:b/>
        </w:rPr>
        <w:t>-</w:t>
      </w:r>
      <w:r>
        <w:rPr>
          <w:rFonts w:eastAsia="仿宋_GB2312"/>
          <w:b/>
        </w:rPr>
        <w:t>1 相关面积统计表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99"/>
        <w:gridCol w:w="1437"/>
        <w:gridCol w:w="1352"/>
        <w:gridCol w:w="1352"/>
        <w:gridCol w:w="1353"/>
        <w:gridCol w:w="12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6" w:type="pct"/>
            <w:vMerge w:val="restar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防治分区</w:t>
            </w:r>
          </w:p>
        </w:tc>
        <w:tc>
          <w:tcPr>
            <w:tcW w:w="843" w:type="pct"/>
            <w:vMerge w:val="restar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扰动面积</w:t>
            </w:r>
            <w:r>
              <w:rPr>
                <w:rFonts w:hint="eastAsia" w:eastAsia="仿宋_GB2312"/>
                <w:sz w:val="21"/>
                <w:szCs w:val="21"/>
              </w:rPr>
              <w:t>（hm</w:t>
            </w:r>
            <w:r>
              <w:rPr>
                <w:rFonts w:hint="eastAsia" w:eastAsia="仿宋_GB2312"/>
                <w:sz w:val="21"/>
                <w:szCs w:val="21"/>
                <w:vertAlign w:val="superscript"/>
              </w:rPr>
              <w:t>2</w:t>
            </w:r>
            <w:r>
              <w:rPr>
                <w:rFonts w:hint="eastAsia" w:eastAsia="仿宋_GB2312"/>
                <w:sz w:val="21"/>
                <w:szCs w:val="21"/>
              </w:rPr>
              <w:t>）</w:t>
            </w:r>
          </w:p>
        </w:tc>
        <w:tc>
          <w:tcPr>
            <w:tcW w:w="2380" w:type="pct"/>
            <w:gridSpan w:val="3"/>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水土保持措施面积</w:t>
            </w:r>
            <w:r>
              <w:rPr>
                <w:rFonts w:hint="eastAsia" w:eastAsia="仿宋_GB2312"/>
                <w:sz w:val="21"/>
                <w:szCs w:val="21"/>
              </w:rPr>
              <w:t>（hm</w:t>
            </w:r>
            <w:r>
              <w:rPr>
                <w:rFonts w:hint="eastAsia" w:eastAsia="仿宋_GB2312"/>
                <w:sz w:val="21"/>
                <w:szCs w:val="21"/>
                <w:vertAlign w:val="superscript"/>
              </w:rPr>
              <w:t>2</w:t>
            </w:r>
            <w:r>
              <w:rPr>
                <w:rFonts w:hint="eastAsia" w:eastAsia="仿宋_GB2312"/>
                <w:sz w:val="21"/>
                <w:szCs w:val="21"/>
              </w:rPr>
              <w:t>）</w:t>
            </w:r>
          </w:p>
        </w:tc>
        <w:tc>
          <w:tcPr>
            <w:tcW w:w="721" w:type="pct"/>
            <w:vMerge w:val="restar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建构筑物及硬化面积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6"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843"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9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工程措施</w:t>
            </w:r>
          </w:p>
        </w:tc>
        <w:tc>
          <w:tcPr>
            <w:tcW w:w="79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植物措施</w:t>
            </w:r>
          </w:p>
        </w:tc>
        <w:tc>
          <w:tcPr>
            <w:tcW w:w="794"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小计</w:t>
            </w:r>
          </w:p>
        </w:tc>
        <w:tc>
          <w:tcPr>
            <w:tcW w:w="721"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6"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管道工程区</w:t>
            </w:r>
          </w:p>
        </w:tc>
        <w:tc>
          <w:tcPr>
            <w:tcW w:w="843"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2.71</w:t>
            </w:r>
          </w:p>
        </w:tc>
        <w:tc>
          <w:tcPr>
            <w:tcW w:w="793"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1.81</w:t>
            </w:r>
          </w:p>
        </w:tc>
        <w:tc>
          <w:tcPr>
            <w:tcW w:w="793"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p>
        </w:tc>
        <w:tc>
          <w:tcPr>
            <w:tcW w:w="794"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1.81</w:t>
            </w:r>
          </w:p>
        </w:tc>
        <w:tc>
          <w:tcPr>
            <w:tcW w:w="721"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0.88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6"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附属构筑物区</w:t>
            </w:r>
          </w:p>
        </w:tc>
        <w:tc>
          <w:tcPr>
            <w:tcW w:w="843"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0.17</w:t>
            </w:r>
          </w:p>
        </w:tc>
        <w:tc>
          <w:tcPr>
            <w:tcW w:w="793"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0.14</w:t>
            </w:r>
          </w:p>
        </w:tc>
        <w:tc>
          <w:tcPr>
            <w:tcW w:w="793"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p>
        </w:tc>
        <w:tc>
          <w:tcPr>
            <w:tcW w:w="794"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0.14</w:t>
            </w:r>
          </w:p>
        </w:tc>
        <w:tc>
          <w:tcPr>
            <w:tcW w:w="721"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6"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合计</w:t>
            </w:r>
          </w:p>
        </w:tc>
        <w:tc>
          <w:tcPr>
            <w:tcW w:w="843"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2.88</w:t>
            </w:r>
          </w:p>
        </w:tc>
        <w:tc>
          <w:tcPr>
            <w:tcW w:w="793"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1.95</w:t>
            </w:r>
          </w:p>
        </w:tc>
        <w:tc>
          <w:tcPr>
            <w:tcW w:w="793"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0</w:t>
            </w:r>
          </w:p>
        </w:tc>
        <w:tc>
          <w:tcPr>
            <w:tcW w:w="794"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1.95</w:t>
            </w:r>
          </w:p>
        </w:tc>
        <w:tc>
          <w:tcPr>
            <w:tcW w:w="721"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0.9</w:t>
            </w:r>
          </w:p>
        </w:tc>
      </w:tr>
    </w:tbl>
    <w:p>
      <w:pPr>
        <w:pStyle w:val="15"/>
        <w:spacing w:line="240" w:lineRule="auto"/>
        <w:ind w:firstLine="480"/>
        <w:rPr>
          <w:rFonts w:eastAsia="仿宋_GB2312"/>
        </w:rPr>
      </w:pPr>
    </w:p>
    <w:p>
      <w:pPr>
        <w:pStyle w:val="15"/>
        <w:spacing w:line="240" w:lineRule="auto"/>
        <w:ind w:firstLine="480"/>
        <w:jc w:val="center"/>
        <w:rPr>
          <w:rFonts w:eastAsia="仿宋_GB2312"/>
          <w:b/>
        </w:rPr>
      </w:pPr>
      <w:r>
        <w:rPr>
          <w:rFonts w:eastAsia="仿宋_GB2312"/>
          <w:b/>
        </w:rPr>
        <w:t>7.2-2设计水平年本方案水土流失防治效果分析结果表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55"/>
        <w:gridCol w:w="791"/>
        <w:gridCol w:w="3400"/>
        <w:gridCol w:w="707"/>
        <w:gridCol w:w="711"/>
        <w:gridCol w:w="7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4"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防治目标</w:t>
            </w:r>
          </w:p>
        </w:tc>
        <w:tc>
          <w:tcPr>
            <w:tcW w:w="464"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目标值</w:t>
            </w:r>
          </w:p>
        </w:tc>
        <w:tc>
          <w:tcPr>
            <w:tcW w:w="199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评估依据</w:t>
            </w:r>
          </w:p>
        </w:tc>
        <w:tc>
          <w:tcPr>
            <w:tcW w:w="41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数量</w:t>
            </w:r>
          </w:p>
        </w:tc>
        <w:tc>
          <w:tcPr>
            <w:tcW w:w="417"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达到值</w:t>
            </w:r>
          </w:p>
        </w:tc>
        <w:tc>
          <w:tcPr>
            <w:tcW w:w="44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评估</w:t>
            </w:r>
          </w:p>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4"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水土流失治理度（%）</w:t>
            </w:r>
          </w:p>
        </w:tc>
        <w:tc>
          <w:tcPr>
            <w:tcW w:w="464"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85</w:t>
            </w:r>
          </w:p>
        </w:tc>
        <w:tc>
          <w:tcPr>
            <w:tcW w:w="199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水土流失治理</w:t>
            </w:r>
            <w:r>
              <w:rPr>
                <w:rFonts w:hint="eastAsia" w:eastAsia="仿宋_GB2312"/>
                <w:sz w:val="21"/>
                <w:szCs w:val="21"/>
              </w:rPr>
              <w:t>达标</w:t>
            </w:r>
            <w:r>
              <w:rPr>
                <w:rFonts w:eastAsia="仿宋_GB2312"/>
                <w:sz w:val="21"/>
                <w:szCs w:val="21"/>
              </w:rPr>
              <w:t>面积(</w:t>
            </w:r>
            <w:r>
              <w:rPr>
                <w:rFonts w:hint="eastAsia" w:eastAsia="仿宋_GB2312"/>
                <w:sz w:val="21"/>
                <w:szCs w:val="21"/>
              </w:rPr>
              <w:t>h</w:t>
            </w:r>
            <w:r>
              <w:rPr>
                <w:rFonts w:eastAsia="仿宋_GB2312"/>
                <w:sz w:val="21"/>
                <w:szCs w:val="21"/>
              </w:rPr>
              <w:t>m</w:t>
            </w:r>
            <w:r>
              <w:rPr>
                <w:rFonts w:eastAsia="宋体"/>
                <w:sz w:val="21"/>
                <w:szCs w:val="21"/>
              </w:rPr>
              <w:t>²</w:t>
            </w:r>
            <w:r>
              <w:rPr>
                <w:rFonts w:eastAsia="仿宋_GB2312"/>
                <w:sz w:val="21"/>
                <w:szCs w:val="21"/>
              </w:rPr>
              <w:t>)</w:t>
            </w:r>
          </w:p>
        </w:tc>
        <w:tc>
          <w:tcPr>
            <w:tcW w:w="41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2.85</w:t>
            </w:r>
          </w:p>
        </w:tc>
        <w:tc>
          <w:tcPr>
            <w:tcW w:w="417"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9</w:t>
            </w:r>
            <w:r>
              <w:rPr>
                <w:rFonts w:hint="eastAsia" w:eastAsia="仿宋_GB2312"/>
                <w:sz w:val="21"/>
                <w:szCs w:val="21"/>
              </w:rPr>
              <w:t>8.96</w:t>
            </w:r>
          </w:p>
        </w:tc>
        <w:tc>
          <w:tcPr>
            <w:tcW w:w="445"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4"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464"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99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水土流失总面积(</w:t>
            </w:r>
            <w:r>
              <w:rPr>
                <w:rFonts w:hint="eastAsia" w:eastAsia="仿宋_GB2312"/>
                <w:sz w:val="21"/>
                <w:szCs w:val="21"/>
              </w:rPr>
              <w:t>h</w:t>
            </w:r>
            <w:r>
              <w:rPr>
                <w:rFonts w:eastAsia="仿宋_GB2312"/>
                <w:sz w:val="21"/>
                <w:szCs w:val="21"/>
              </w:rPr>
              <w:t>m</w:t>
            </w:r>
            <w:r>
              <w:rPr>
                <w:rFonts w:eastAsia="宋体"/>
                <w:sz w:val="21"/>
                <w:szCs w:val="21"/>
              </w:rPr>
              <w:t>²</w:t>
            </w:r>
            <w:r>
              <w:rPr>
                <w:rFonts w:eastAsia="仿宋_GB2312"/>
                <w:sz w:val="21"/>
                <w:szCs w:val="21"/>
              </w:rPr>
              <w:t>)</w:t>
            </w:r>
          </w:p>
        </w:tc>
        <w:tc>
          <w:tcPr>
            <w:tcW w:w="41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2.88</w:t>
            </w:r>
          </w:p>
        </w:tc>
        <w:tc>
          <w:tcPr>
            <w:tcW w:w="417"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445"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4"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土壤</w:t>
            </w:r>
            <w:r>
              <w:rPr>
                <w:rFonts w:eastAsia="仿宋_GB2312"/>
                <w:sz w:val="21"/>
                <w:szCs w:val="21"/>
              </w:rPr>
              <w:t>流失控制比（%）</w:t>
            </w:r>
          </w:p>
        </w:tc>
        <w:tc>
          <w:tcPr>
            <w:tcW w:w="464"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1.0</w:t>
            </w:r>
          </w:p>
        </w:tc>
        <w:tc>
          <w:tcPr>
            <w:tcW w:w="199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容许</w:t>
            </w:r>
            <w:r>
              <w:rPr>
                <w:rFonts w:eastAsia="仿宋_GB2312"/>
                <w:sz w:val="21"/>
                <w:szCs w:val="21"/>
              </w:rPr>
              <w:t>土壤</w:t>
            </w:r>
            <w:r>
              <w:rPr>
                <w:rFonts w:hint="eastAsia" w:eastAsia="仿宋_GB2312"/>
                <w:sz w:val="21"/>
                <w:szCs w:val="21"/>
              </w:rPr>
              <w:t>流失量</w:t>
            </w:r>
            <w:r>
              <w:rPr>
                <w:rFonts w:eastAsia="仿宋_GB2312"/>
                <w:sz w:val="21"/>
                <w:szCs w:val="21"/>
              </w:rPr>
              <w:t>(t/km²·a)</w:t>
            </w:r>
          </w:p>
        </w:tc>
        <w:tc>
          <w:tcPr>
            <w:tcW w:w="41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1500</w:t>
            </w:r>
          </w:p>
        </w:tc>
        <w:tc>
          <w:tcPr>
            <w:tcW w:w="417"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1</w:t>
            </w:r>
          </w:p>
        </w:tc>
        <w:tc>
          <w:tcPr>
            <w:tcW w:w="445"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4"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464"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99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治理后平均土壤侵蚀模数(t/km²·a)</w:t>
            </w:r>
          </w:p>
        </w:tc>
        <w:tc>
          <w:tcPr>
            <w:tcW w:w="41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1500</w:t>
            </w:r>
          </w:p>
        </w:tc>
        <w:tc>
          <w:tcPr>
            <w:tcW w:w="417"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445"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4"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渣土防护率（%）</w:t>
            </w:r>
          </w:p>
        </w:tc>
        <w:tc>
          <w:tcPr>
            <w:tcW w:w="464"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87</w:t>
            </w:r>
          </w:p>
        </w:tc>
        <w:tc>
          <w:tcPr>
            <w:tcW w:w="199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采取拦挡的堆土量（</w:t>
            </w:r>
            <w:r>
              <w:rPr>
                <w:rFonts w:hint="eastAsia" w:eastAsia="仿宋_GB2312"/>
                <w:sz w:val="21"/>
                <w:szCs w:val="21"/>
              </w:rPr>
              <w:t>万</w:t>
            </w:r>
            <w:r>
              <w:rPr>
                <w:rFonts w:eastAsia="仿宋_GB2312"/>
                <w:sz w:val="21"/>
                <w:szCs w:val="21"/>
              </w:rPr>
              <w:t>m</w:t>
            </w:r>
            <w:r>
              <w:rPr>
                <w:rFonts w:eastAsia="宋体"/>
                <w:sz w:val="21"/>
                <w:szCs w:val="21"/>
              </w:rPr>
              <w:t>³</w:t>
            </w:r>
            <w:r>
              <w:rPr>
                <w:rFonts w:eastAsia="仿宋_GB2312"/>
                <w:sz w:val="21"/>
                <w:szCs w:val="21"/>
              </w:rPr>
              <w:t>）</w:t>
            </w:r>
          </w:p>
        </w:tc>
        <w:tc>
          <w:tcPr>
            <w:tcW w:w="415" w:type="pct"/>
            <w:shd w:val="clear" w:color="000000" w:fill="FFFFFF"/>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1.86</w:t>
            </w:r>
          </w:p>
        </w:tc>
        <w:tc>
          <w:tcPr>
            <w:tcW w:w="417"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97.</w:t>
            </w:r>
            <w:r>
              <w:rPr>
                <w:rFonts w:hint="eastAsia" w:eastAsia="仿宋_GB2312"/>
                <w:sz w:val="21"/>
                <w:szCs w:val="21"/>
              </w:rPr>
              <w:t>89</w:t>
            </w:r>
          </w:p>
        </w:tc>
        <w:tc>
          <w:tcPr>
            <w:tcW w:w="445"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4"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464"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99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临时堆土总量（</w:t>
            </w:r>
            <w:r>
              <w:rPr>
                <w:rFonts w:hint="eastAsia" w:eastAsia="仿宋_GB2312"/>
                <w:sz w:val="21"/>
                <w:szCs w:val="21"/>
              </w:rPr>
              <w:t>万</w:t>
            </w:r>
            <w:r>
              <w:rPr>
                <w:rFonts w:eastAsia="仿宋_GB2312"/>
                <w:sz w:val="21"/>
                <w:szCs w:val="21"/>
              </w:rPr>
              <w:t>m</w:t>
            </w:r>
            <w:r>
              <w:rPr>
                <w:rFonts w:eastAsia="宋体"/>
                <w:sz w:val="21"/>
                <w:szCs w:val="21"/>
              </w:rPr>
              <w:t>³</w:t>
            </w:r>
            <w:r>
              <w:rPr>
                <w:rFonts w:eastAsia="仿宋_GB2312"/>
                <w:sz w:val="21"/>
                <w:szCs w:val="21"/>
              </w:rPr>
              <w:t>）</w:t>
            </w:r>
          </w:p>
        </w:tc>
        <w:tc>
          <w:tcPr>
            <w:tcW w:w="415" w:type="pct"/>
            <w:shd w:val="clear" w:color="000000" w:fill="FFFFFF"/>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1.9</w:t>
            </w:r>
          </w:p>
        </w:tc>
        <w:tc>
          <w:tcPr>
            <w:tcW w:w="417"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445"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r>
    </w:tbl>
    <w:p>
      <w:pPr>
        <w:pStyle w:val="15"/>
        <w:spacing w:beforeLines="100"/>
        <w:ind w:firstLine="480"/>
        <w:rPr>
          <w:rFonts w:eastAsia="仿宋_GB2312"/>
        </w:rPr>
      </w:pPr>
      <w:r>
        <w:rPr>
          <w:rFonts w:eastAsia="仿宋_GB2312"/>
        </w:rPr>
        <w:t>经初步计算，水土保持措施实施后，工程区内水土流失治理度达到</w:t>
      </w:r>
      <w:r>
        <w:rPr>
          <w:rFonts w:hint="eastAsia" w:eastAsia="仿宋_GB2312"/>
        </w:rPr>
        <w:t>98.96</w:t>
      </w:r>
      <w:r>
        <w:rPr>
          <w:rFonts w:eastAsia="仿宋_GB2312"/>
        </w:rPr>
        <w:t>%，土壤流失控制比达到1.0，渣土防护</w:t>
      </w:r>
      <w:r>
        <w:rPr>
          <w:rFonts w:hint="eastAsia" w:eastAsia="仿宋_GB2312"/>
        </w:rPr>
        <w:t>率</w:t>
      </w:r>
      <w:r>
        <w:rPr>
          <w:rFonts w:eastAsia="仿宋_GB2312"/>
        </w:rPr>
        <w:t>达到</w:t>
      </w:r>
      <w:r>
        <w:rPr>
          <w:rFonts w:hint="eastAsia" w:eastAsia="仿宋_GB2312"/>
        </w:rPr>
        <w:t>97.89</w:t>
      </w:r>
      <w:r>
        <w:rPr>
          <w:rFonts w:eastAsia="仿宋_GB2312"/>
        </w:rPr>
        <w:t>%，</w:t>
      </w:r>
      <w:r>
        <w:rPr>
          <w:rFonts w:hint="eastAsia" w:eastAsia="仿宋_GB2312"/>
        </w:rPr>
        <w:t>林草植被恢复率、林草覆盖率、</w:t>
      </w:r>
      <w:r>
        <w:rPr>
          <w:rFonts w:eastAsia="仿宋_GB2312"/>
        </w:rPr>
        <w:t>表土保护率不作要求</w:t>
      </w:r>
      <w:r>
        <w:rPr>
          <w:rFonts w:hint="eastAsia" w:eastAsia="仿宋_GB2312"/>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hint="eastAsia" w:eastAsia="仿宋_GB2312"/>
        </w:rPr>
        <w:t>综合效益分析</w:t>
      </w:r>
    </w:p>
    <w:p>
      <w:pPr>
        <w:pStyle w:val="15"/>
        <w:ind w:firstLine="480"/>
        <w:rPr>
          <w:rFonts w:eastAsia="仿宋_GB2312"/>
        </w:rPr>
      </w:pPr>
      <w:r>
        <w:rPr>
          <w:rFonts w:eastAsia="仿宋_GB2312"/>
        </w:rPr>
        <w:t>（1）水土保持效益</w:t>
      </w:r>
    </w:p>
    <w:p>
      <w:pPr>
        <w:pStyle w:val="15"/>
        <w:ind w:firstLine="480"/>
        <w:rPr>
          <w:rFonts w:eastAsia="仿宋_GB2312"/>
        </w:rPr>
      </w:pPr>
      <w:r>
        <w:rPr>
          <w:rFonts w:hint="eastAsia" w:ascii="宋体" w:hAnsi="宋体" w:eastAsia="宋体" w:cs="宋体"/>
        </w:rPr>
        <w:t>①</w:t>
      </w:r>
      <w:r>
        <w:rPr>
          <w:rFonts w:eastAsia="仿宋_GB2312"/>
        </w:rPr>
        <w:t>治理后及新增水土流失有效控制率</w:t>
      </w:r>
    </w:p>
    <w:p>
      <w:pPr>
        <w:pStyle w:val="15"/>
        <w:ind w:firstLine="480"/>
        <w:rPr>
          <w:rFonts w:eastAsia="仿宋_GB2312"/>
        </w:rPr>
      </w:pPr>
      <w:r>
        <w:rPr>
          <w:rFonts w:eastAsia="仿宋_GB2312"/>
        </w:rPr>
        <w:t>通过本水保方案实施后，项目建设区内水土流失得到基本治理，可治理水土流失面积为</w:t>
      </w:r>
      <w:r>
        <w:rPr>
          <w:rFonts w:hint="eastAsia" w:eastAsia="仿宋_GB2312"/>
        </w:rPr>
        <w:t>2.85h</w:t>
      </w:r>
      <w:r>
        <w:rPr>
          <w:rFonts w:eastAsia="仿宋_GB2312"/>
        </w:rPr>
        <w:t>m</w:t>
      </w:r>
      <w:r>
        <w:rPr>
          <w:rFonts w:eastAsia="仿宋_GB2312"/>
          <w:vertAlign w:val="superscript"/>
        </w:rPr>
        <w:t>2</w:t>
      </w:r>
      <w:r>
        <w:rPr>
          <w:rFonts w:eastAsia="仿宋_GB2312"/>
        </w:rPr>
        <w:t>，使工程区内水土流失治理度达到了</w:t>
      </w:r>
      <w:r>
        <w:rPr>
          <w:rFonts w:hint="eastAsia" w:eastAsia="仿宋_GB2312"/>
        </w:rPr>
        <w:t>98.96</w:t>
      </w:r>
      <w:r>
        <w:rPr>
          <w:rFonts w:eastAsia="仿宋_GB2312"/>
        </w:rPr>
        <w:t>%。</w:t>
      </w:r>
    </w:p>
    <w:p>
      <w:pPr>
        <w:pStyle w:val="15"/>
        <w:ind w:firstLine="480"/>
        <w:rPr>
          <w:rFonts w:eastAsia="仿宋_GB2312"/>
        </w:rPr>
      </w:pPr>
      <w:r>
        <w:rPr>
          <w:rFonts w:hint="eastAsia" w:ascii="宋体" w:hAnsi="宋体" w:eastAsia="宋体" w:cs="宋体"/>
        </w:rPr>
        <w:t>②</w:t>
      </w:r>
      <w:r>
        <w:rPr>
          <w:rFonts w:eastAsia="仿宋_GB2312"/>
        </w:rPr>
        <w:t>保土效益</w:t>
      </w:r>
    </w:p>
    <w:p>
      <w:pPr>
        <w:pStyle w:val="15"/>
        <w:ind w:firstLine="480"/>
        <w:rPr>
          <w:rFonts w:eastAsia="仿宋_GB2312"/>
        </w:rPr>
      </w:pPr>
      <w:r>
        <w:rPr>
          <w:rFonts w:eastAsia="仿宋_GB2312"/>
        </w:rPr>
        <w:t>根据水土流失预测可知，本工程建设区损坏水保设施面积</w:t>
      </w:r>
      <w:r>
        <w:rPr>
          <w:rFonts w:hint="eastAsia" w:eastAsia="仿宋_GB2312"/>
        </w:rPr>
        <w:t>2.88h</w:t>
      </w:r>
      <w:r>
        <w:rPr>
          <w:rFonts w:eastAsia="仿宋_GB2312"/>
        </w:rPr>
        <w:t>m</w:t>
      </w:r>
      <w:r>
        <w:rPr>
          <w:rFonts w:eastAsia="仿宋_GB2312"/>
          <w:vertAlign w:val="superscript"/>
        </w:rPr>
        <w:t>2</w:t>
      </w:r>
      <w:r>
        <w:rPr>
          <w:rFonts w:eastAsia="仿宋_GB2312"/>
        </w:rPr>
        <w:t>，在没有任何水土保持措施的情况下，工程建设水土流失总量</w:t>
      </w:r>
      <w:r>
        <w:rPr>
          <w:rFonts w:hint="eastAsia" w:eastAsia="仿宋_GB2312"/>
        </w:rPr>
        <w:t>191</w:t>
      </w:r>
      <w:r>
        <w:rPr>
          <w:rFonts w:eastAsia="仿宋_GB2312"/>
        </w:rPr>
        <w:t>t，工程施工中破坏的原地貌通过采取水土保持措施后，大部分区域得以恢复。</w:t>
      </w:r>
    </w:p>
    <w:p>
      <w:pPr>
        <w:pStyle w:val="15"/>
        <w:ind w:firstLine="480"/>
        <w:rPr>
          <w:rFonts w:eastAsia="仿宋_GB2312"/>
        </w:rPr>
      </w:pPr>
      <w:r>
        <w:rPr>
          <w:rFonts w:eastAsia="仿宋_GB2312"/>
        </w:rPr>
        <w:t>（2）生态效益</w:t>
      </w:r>
    </w:p>
    <w:p>
      <w:pPr>
        <w:pStyle w:val="15"/>
        <w:ind w:firstLine="480"/>
        <w:rPr>
          <w:rFonts w:eastAsia="仿宋_GB2312"/>
        </w:rPr>
      </w:pPr>
      <w:r>
        <w:rPr>
          <w:rFonts w:eastAsia="仿宋_GB2312"/>
        </w:rPr>
        <w:t>经预测分析表明，水土保持措施实施后，防治责任范围内易发生水土流失的区域得到治理，原有水土流失程度得到有效控制，因工程建设而产生的弃渣也将得到有效防护，减轻因工程建设等人为活动对自然环境的破坏，为恢复和改善区域生态环境创造有利条件。</w:t>
      </w:r>
    </w:p>
    <w:p>
      <w:pPr>
        <w:pStyle w:val="15"/>
        <w:ind w:firstLine="480"/>
        <w:rPr>
          <w:rFonts w:eastAsia="仿宋_GB2312"/>
        </w:rPr>
      </w:pPr>
      <w:r>
        <w:rPr>
          <w:rFonts w:eastAsia="仿宋_GB2312"/>
        </w:rPr>
        <w:t>（3）社会效益</w:t>
      </w:r>
    </w:p>
    <w:p>
      <w:pPr>
        <w:pStyle w:val="15"/>
        <w:ind w:firstLine="480"/>
        <w:sectPr>
          <w:pgSz w:w="11906" w:h="16838"/>
          <w:pgMar w:top="1440" w:right="1800" w:bottom="1440" w:left="1800" w:header="851" w:footer="992" w:gutter="0"/>
          <w:cols w:space="720" w:num="1"/>
          <w:docGrid w:linePitch="326" w:charSpace="0"/>
        </w:sectPr>
      </w:pPr>
      <w:r>
        <w:rPr>
          <w:rFonts w:eastAsia="仿宋_GB2312"/>
        </w:rPr>
        <w:t>随着本项目水土保持措施的全方位实施，不仅使项目区内的水土流失得到有效控制，项目区生态环境得到改善，而且有利于促进土地利用结构调整，适应社会经济发展的需要。提高环境容量，促进实施区经济的可持续发展。随着生态环境的改善、经济的持续增长，本项目可促进社会进步、稳定生产，对于建立安定团结的社会局面具有重要的意义。</w:t>
      </w:r>
      <w:bookmarkStart w:id="330" w:name="_Toc255304643"/>
      <w:bookmarkStart w:id="331" w:name="_Toc211401615"/>
    </w:p>
    <w:bookmarkEnd w:id="330"/>
    <w:bookmarkEnd w:id="331"/>
    <w:p>
      <w:pPr>
        <w:pStyle w:val="50"/>
        <w:widowControl/>
        <w:numPr>
          <w:ilvl w:val="0"/>
          <w:numId w:val="1"/>
        </w:numPr>
        <w:tabs>
          <w:tab w:val="clear" w:pos="432"/>
        </w:tabs>
        <w:spacing w:beforeLines="100" w:afterLines="100"/>
        <w:rPr>
          <w:rFonts w:eastAsia="仿宋_GB2312"/>
          <w:sz w:val="32"/>
          <w:szCs w:val="32"/>
        </w:rPr>
      </w:pPr>
      <w:bookmarkStart w:id="332" w:name="_Toc50221524"/>
      <w:bookmarkStart w:id="333" w:name="_Toc7801418"/>
      <w:bookmarkStart w:id="334" w:name="_Toc7801578"/>
      <w:bookmarkStart w:id="335" w:name="_Toc7801485"/>
      <w:r>
        <w:rPr>
          <w:rFonts w:eastAsia="仿宋_GB2312"/>
          <w:sz w:val="32"/>
          <w:szCs w:val="32"/>
        </w:rPr>
        <w:t>水土保持管理</w:t>
      </w:r>
      <w:bookmarkEnd w:id="332"/>
      <w:bookmarkEnd w:id="333"/>
      <w:bookmarkEnd w:id="334"/>
      <w:bookmarkEnd w:id="335"/>
    </w:p>
    <w:p>
      <w:pPr>
        <w:pStyle w:val="15"/>
        <w:ind w:firstLine="480"/>
        <w:rPr>
          <w:rFonts w:eastAsia="仿宋_GB2312"/>
        </w:rPr>
      </w:pPr>
      <w:r>
        <w:rPr>
          <w:rFonts w:hint="eastAsia" w:eastAsia="仿宋_GB2312"/>
        </w:rPr>
        <w:t>为贯彻落实《中华人民共和国水土保持法》、《中华人民共和国水土保持法实施条例》和国家计委、水利部、国家环保局发布的《开发建设项目水土保持方案管理办法》，确保水土保持方案落到实处，在本方案实施过程中，项目建设单位应切实做好水土保持工程的招投标工作，落实工程的设计、施工、监理、监测工作，要求项目施工单位具有相应的专业资质，尤其要注意在承包合同中明确水土流失防治责任，并依法成立水土保持方案实施领导小组，配合水行政主管部门做好水土保持工程的竣工验收工作。</w:t>
      </w:r>
    </w:p>
    <w:p>
      <w:pPr>
        <w:pStyle w:val="3"/>
        <w:widowControl/>
        <w:numPr>
          <w:ilvl w:val="1"/>
          <w:numId w:val="1"/>
        </w:numPr>
        <w:tabs>
          <w:tab w:val="clear" w:pos="1002"/>
        </w:tabs>
        <w:topLinePunct w:val="0"/>
        <w:adjustRightInd/>
        <w:snapToGrid/>
        <w:ind w:left="0" w:firstLine="0"/>
        <w:jc w:val="both"/>
        <w:rPr>
          <w:rFonts w:eastAsia="仿宋_GB2312"/>
        </w:rPr>
      </w:pPr>
      <w:bookmarkStart w:id="336" w:name="_Toc50221525"/>
      <w:bookmarkStart w:id="337" w:name="_Toc47381554"/>
      <w:bookmarkStart w:id="338" w:name="_Toc7801486"/>
      <w:bookmarkStart w:id="339" w:name="_Toc7801579"/>
      <w:bookmarkStart w:id="340" w:name="_Toc7801419"/>
      <w:bookmarkStart w:id="341" w:name="_Toc211401617"/>
      <w:bookmarkStart w:id="342" w:name="_Toc255304645"/>
      <w:bookmarkStart w:id="343" w:name="_Toc178850616"/>
      <w:r>
        <w:rPr>
          <w:rFonts w:eastAsia="仿宋_GB2312"/>
        </w:rPr>
        <w:t>组织管理</w:t>
      </w:r>
      <w:bookmarkEnd w:id="336"/>
      <w:bookmarkEnd w:id="337"/>
      <w:bookmarkEnd w:id="338"/>
      <w:bookmarkEnd w:id="339"/>
      <w:bookmarkEnd w:id="340"/>
    </w:p>
    <w:p>
      <w:pPr>
        <w:pStyle w:val="15"/>
        <w:ind w:firstLine="480"/>
        <w:rPr>
          <w:rFonts w:eastAsia="仿宋_GB2312"/>
          <w:b/>
        </w:rPr>
      </w:pPr>
      <w:r>
        <w:rPr>
          <w:rFonts w:eastAsia="仿宋_GB2312"/>
          <w:b/>
        </w:rPr>
        <w:t>1、</w:t>
      </w:r>
      <w:r>
        <w:rPr>
          <w:rFonts w:hint="eastAsia" w:eastAsia="仿宋_GB2312"/>
          <w:b/>
        </w:rPr>
        <w:t>组织机构与人员</w:t>
      </w:r>
    </w:p>
    <w:p>
      <w:pPr>
        <w:pStyle w:val="15"/>
        <w:ind w:firstLine="480"/>
        <w:rPr>
          <w:rFonts w:eastAsia="仿宋_GB2312"/>
        </w:rPr>
      </w:pPr>
      <w:r>
        <w:rPr>
          <w:rFonts w:hint="eastAsia" w:eastAsia="仿宋_GB2312"/>
        </w:rPr>
        <w:t>本项目应成立</w:t>
      </w:r>
      <w:r>
        <w:rPr>
          <w:rFonts w:eastAsia="仿宋_GB2312"/>
        </w:rPr>
        <w:t>“</w:t>
      </w:r>
      <w:r>
        <w:rPr>
          <w:rFonts w:hint="eastAsia" w:eastAsia="仿宋_GB2312"/>
        </w:rPr>
        <w:t>第十四师224团团部污水管网改造项目水土保持方案</w:t>
      </w:r>
      <w:r>
        <w:rPr>
          <w:rFonts w:eastAsia="仿宋_GB2312"/>
        </w:rPr>
        <w:t>”</w:t>
      </w:r>
      <w:r>
        <w:rPr>
          <w:rFonts w:hint="eastAsia" w:eastAsia="仿宋_GB2312"/>
        </w:rPr>
        <w:t>实施机构，由专人负责水土保持工作的组织、管理和落实。方案实施机构负责协调水土保持方案与主体工程的关系，统一领导，规范施工，制定方案实施的目标责任制，提出方案的实施、检查、验收方法和要求，严格按照设计要求与标准组织施工。</w:t>
      </w:r>
    </w:p>
    <w:p>
      <w:pPr>
        <w:pStyle w:val="15"/>
        <w:ind w:firstLine="480"/>
        <w:rPr>
          <w:rFonts w:eastAsia="仿宋_GB2312"/>
          <w:b/>
        </w:rPr>
      </w:pPr>
      <w:r>
        <w:rPr>
          <w:rFonts w:eastAsia="仿宋_GB2312"/>
          <w:b/>
        </w:rPr>
        <w:t>2、</w:t>
      </w:r>
      <w:r>
        <w:rPr>
          <w:rFonts w:hint="eastAsia" w:eastAsia="仿宋_GB2312"/>
          <w:b/>
        </w:rPr>
        <w:t>组织管理</w:t>
      </w:r>
    </w:p>
    <w:p>
      <w:pPr>
        <w:pStyle w:val="15"/>
        <w:ind w:firstLine="480"/>
        <w:rPr>
          <w:rFonts w:eastAsia="仿宋_GB2312"/>
          <w:color w:val="000000"/>
        </w:rPr>
      </w:pPr>
      <w:r>
        <w:rPr>
          <w:rFonts w:hint="eastAsia" w:eastAsia="仿宋_GB2312"/>
          <w:color w:val="000000"/>
        </w:rPr>
        <w:t>建设单位在工程设计施工管理和质量保障体系中充分考虑水土保持设计、施工和质量保障的要求。在工程设计与施工的招标投标书、承发包书中每一标段的水土保持工程应至少作为一个完整的分部工程，有关合同条款中应明确设计单位、施工单位、监理单位水土流失防治责任、义务，并制定相应奖惩制度。同时，加强对施工技术人员水土保持法律、法规的宣传工作，提高其水土保持法律意识。</w:t>
      </w:r>
    </w:p>
    <w:p>
      <w:pPr>
        <w:pStyle w:val="15"/>
        <w:ind w:firstLine="480"/>
        <w:rPr>
          <w:rFonts w:eastAsia="仿宋_GB2312"/>
          <w:color w:val="000000"/>
        </w:rPr>
      </w:pPr>
      <w:r>
        <w:rPr>
          <w:rFonts w:hint="eastAsia" w:eastAsia="仿宋_GB2312"/>
          <w:color w:val="000000"/>
        </w:rPr>
        <w:t>自觉接受水行政主管部门的监督检查，与当地水行政主管部门保持密切联系，工程开工前向当地水行政主管部门或者有关流域管理机构书面报告开工信息。开工信息主要包括：项目名称、开工时间、施工期、建设单位及联系人、联系方式、水土保持后续设计单位、水土保持施工单位、水土保持监测单位、水土保持监理单位、水土保持补偿费缴纳情况等。</w:t>
      </w:r>
    </w:p>
    <w:p>
      <w:pPr>
        <w:pStyle w:val="15"/>
        <w:ind w:firstLine="480"/>
        <w:rPr>
          <w:rFonts w:eastAsia="仿宋_GB2312"/>
          <w:color w:val="000000"/>
        </w:rPr>
      </w:pPr>
      <w:r>
        <w:rPr>
          <w:rFonts w:hint="eastAsia" w:eastAsia="仿宋_GB2312"/>
          <w:color w:val="000000"/>
        </w:rPr>
        <w:t>建立健全水土保持规章制度，做好水土保持施工记录和其它资料</w:t>
      </w:r>
      <w:r>
        <w:rPr>
          <w:rFonts w:eastAsia="仿宋_GB2312"/>
          <w:color w:val="000000"/>
        </w:rPr>
        <w:t>(</w:t>
      </w:r>
      <w:r>
        <w:rPr>
          <w:rFonts w:hint="eastAsia" w:eastAsia="仿宋_GB2312"/>
          <w:color w:val="000000"/>
        </w:rPr>
        <w:t>如临时措施的影像资料、照片等</w:t>
      </w:r>
      <w:r>
        <w:rPr>
          <w:rFonts w:eastAsia="仿宋_GB2312"/>
          <w:color w:val="000000"/>
        </w:rPr>
        <w:t>)</w:t>
      </w:r>
      <w:r>
        <w:rPr>
          <w:rFonts w:hint="eastAsia" w:eastAsia="仿宋_GB2312"/>
          <w:color w:val="000000"/>
        </w:rPr>
        <w:t>的管理、存档，以备监督检查和验收时查阅。</w:t>
      </w:r>
    </w:p>
    <w:p>
      <w:pPr>
        <w:pStyle w:val="3"/>
        <w:widowControl/>
        <w:numPr>
          <w:ilvl w:val="1"/>
          <w:numId w:val="1"/>
        </w:numPr>
        <w:tabs>
          <w:tab w:val="clear" w:pos="1002"/>
        </w:tabs>
        <w:topLinePunct w:val="0"/>
        <w:adjustRightInd/>
        <w:snapToGrid/>
        <w:ind w:left="0" w:firstLine="0"/>
        <w:jc w:val="both"/>
        <w:rPr>
          <w:rFonts w:eastAsia="仿宋_GB2312"/>
        </w:rPr>
      </w:pPr>
      <w:bookmarkStart w:id="344" w:name="_Toc7801580"/>
      <w:bookmarkStart w:id="345" w:name="_Toc455747798"/>
      <w:bookmarkStart w:id="346" w:name="_Toc7801420"/>
      <w:bookmarkStart w:id="347" w:name="_Toc7801487"/>
      <w:bookmarkStart w:id="348" w:name="_Toc47381555"/>
      <w:bookmarkStart w:id="349" w:name="_Toc50221526"/>
      <w:r>
        <w:rPr>
          <w:rFonts w:eastAsia="仿宋_GB2312"/>
        </w:rPr>
        <w:t>后续设计</w:t>
      </w:r>
      <w:bookmarkEnd w:id="344"/>
      <w:bookmarkEnd w:id="345"/>
      <w:bookmarkEnd w:id="346"/>
      <w:bookmarkEnd w:id="347"/>
      <w:bookmarkEnd w:id="348"/>
      <w:bookmarkEnd w:id="349"/>
    </w:p>
    <w:p>
      <w:pPr>
        <w:pStyle w:val="15"/>
        <w:ind w:firstLine="480"/>
        <w:rPr>
          <w:rFonts w:ascii="仿宋_GB2312" w:eastAsia="仿宋_GB2312"/>
          <w:color w:val="000000"/>
        </w:rPr>
      </w:pPr>
      <w:r>
        <w:rPr>
          <w:rFonts w:hint="eastAsia" w:ascii="仿宋_GB2312" w:eastAsia="仿宋_GB2312"/>
          <w:color w:val="000000"/>
        </w:rPr>
        <w:t>水土保持方案批复后，将方案制订的防治措施纳入主体工程施工图中，以便水土保持措施能按详细的设计要求顺利实施。</w:t>
      </w:r>
    </w:p>
    <w:p>
      <w:pPr>
        <w:pStyle w:val="15"/>
        <w:ind w:firstLine="480"/>
        <w:rPr>
          <w:rFonts w:ascii="仿宋_GB2312" w:eastAsia="仿宋_GB2312"/>
          <w:color w:val="000000"/>
        </w:rPr>
      </w:pPr>
      <w:r>
        <w:rPr>
          <w:rFonts w:hint="eastAsia" w:eastAsia="仿宋_GB2312"/>
        </w:rPr>
        <w:t>第十四师224团团部污水管网改造项目</w:t>
      </w:r>
      <w:r>
        <w:rPr>
          <w:rFonts w:hint="eastAsia" w:ascii="仿宋_GB2312" w:eastAsia="仿宋_GB2312"/>
          <w:color w:val="000000"/>
        </w:rPr>
        <w:t>实施过程中，若出现因主体工程施工布置、施工工艺以及施工占地面积变化而导致水土保持防治措施的数量、类型等发生重大变化的情况，建设单位需委托相关设计单位编制该工程的水土保持设计变更报告书，并上报原水土保持方案报告书审批机关进行审查。</w:t>
      </w:r>
    </w:p>
    <w:p>
      <w:pPr>
        <w:pStyle w:val="3"/>
        <w:widowControl/>
        <w:numPr>
          <w:ilvl w:val="1"/>
          <w:numId w:val="1"/>
        </w:numPr>
        <w:tabs>
          <w:tab w:val="clear" w:pos="1002"/>
        </w:tabs>
        <w:topLinePunct w:val="0"/>
        <w:adjustRightInd/>
        <w:snapToGrid/>
        <w:ind w:left="0" w:firstLine="0"/>
        <w:jc w:val="both"/>
        <w:rPr>
          <w:rFonts w:eastAsia="仿宋_GB2312"/>
        </w:rPr>
      </w:pPr>
      <w:bookmarkStart w:id="350" w:name="_Toc7801421"/>
      <w:bookmarkStart w:id="351" w:name="_Toc7801488"/>
      <w:bookmarkStart w:id="352" w:name="_Toc7801581"/>
      <w:bookmarkStart w:id="353" w:name="_Toc47381556"/>
      <w:bookmarkStart w:id="354" w:name="_Toc50221527"/>
      <w:bookmarkStart w:id="355" w:name="_Toc452729622"/>
      <w:r>
        <w:rPr>
          <w:rFonts w:eastAsia="仿宋_GB2312"/>
        </w:rPr>
        <w:t>水土保持监测</w:t>
      </w:r>
      <w:bookmarkEnd w:id="350"/>
      <w:bookmarkEnd w:id="351"/>
      <w:bookmarkEnd w:id="352"/>
      <w:bookmarkEnd w:id="353"/>
      <w:bookmarkEnd w:id="354"/>
    </w:p>
    <w:p>
      <w:pPr>
        <w:pStyle w:val="15"/>
        <w:ind w:firstLine="480"/>
        <w:rPr>
          <w:rFonts w:eastAsia="仿宋_GB2312"/>
        </w:rPr>
      </w:pPr>
      <w:r>
        <w:rPr>
          <w:rFonts w:ascii="仿宋_GB2312" w:eastAsia="仿宋_GB2312"/>
          <w:kern w:val="10"/>
        </w:rPr>
        <w:t>根据《新疆生产建设兵团实施</w:t>
      </w:r>
      <w:r>
        <w:rPr>
          <w:rFonts w:eastAsia="仿宋_GB2312"/>
          <w:kern w:val="10"/>
        </w:rPr>
        <w:t>&lt;</w:t>
      </w:r>
      <w:r>
        <w:rPr>
          <w:rFonts w:ascii="仿宋_GB2312" w:eastAsia="仿宋_GB2312"/>
          <w:kern w:val="10"/>
        </w:rPr>
        <w:t>中华人民共和国水土保持法</w:t>
      </w:r>
      <w:r>
        <w:rPr>
          <w:rFonts w:eastAsia="仿宋_GB2312"/>
          <w:kern w:val="10"/>
        </w:rPr>
        <w:t>&gt;</w:t>
      </w:r>
      <w:r>
        <w:rPr>
          <w:rFonts w:ascii="仿宋_GB2312" w:eastAsia="仿宋_GB2312"/>
          <w:kern w:val="10"/>
        </w:rPr>
        <w:t>办法》和《</w:t>
      </w:r>
      <w:r>
        <w:rPr>
          <w:rFonts w:ascii="仿宋_GB2312" w:eastAsia="仿宋_GB2312"/>
          <w:color w:val="000000"/>
        </w:rPr>
        <w:t>新疆生产建设兵团生产建设项目水土保持方案管理办法</w:t>
      </w:r>
      <w:r>
        <w:rPr>
          <w:rFonts w:ascii="仿宋_GB2312" w:eastAsia="仿宋_GB2312"/>
          <w:kern w:val="10"/>
        </w:rPr>
        <w:t>》，</w:t>
      </w:r>
      <w:r>
        <w:rPr>
          <w:rFonts w:ascii="仿宋_GB2312" w:eastAsia="仿宋_GB2312"/>
        </w:rPr>
        <w:t>本项目</w:t>
      </w:r>
      <w:r>
        <w:rPr>
          <w:rFonts w:ascii="仿宋_GB2312" w:eastAsia="仿宋_GB2312"/>
          <w:kern w:val="10"/>
        </w:rPr>
        <w:t>水土保持方案报告表对水土保持监测不做具体要求</w:t>
      </w:r>
      <w:r>
        <w:rPr>
          <w:rFonts w:ascii="仿宋_GB2312" w:eastAsia="仿宋_GB2312"/>
        </w:rPr>
        <w:t>。</w:t>
      </w:r>
    </w:p>
    <w:p>
      <w:pPr>
        <w:pStyle w:val="3"/>
        <w:widowControl/>
        <w:numPr>
          <w:ilvl w:val="1"/>
          <w:numId w:val="1"/>
        </w:numPr>
        <w:tabs>
          <w:tab w:val="clear" w:pos="1002"/>
        </w:tabs>
        <w:topLinePunct w:val="0"/>
        <w:adjustRightInd/>
        <w:snapToGrid/>
        <w:ind w:left="0" w:firstLine="0"/>
        <w:jc w:val="both"/>
        <w:rPr>
          <w:rFonts w:eastAsia="仿宋_GB2312"/>
        </w:rPr>
      </w:pPr>
      <w:bookmarkStart w:id="356" w:name="_Toc7801582"/>
      <w:bookmarkStart w:id="357" w:name="_Toc7801422"/>
      <w:bookmarkStart w:id="358" w:name="_Toc7801489"/>
      <w:bookmarkStart w:id="359" w:name="_Toc47381557"/>
      <w:bookmarkStart w:id="360" w:name="_Toc50221528"/>
      <w:r>
        <w:rPr>
          <w:rFonts w:eastAsia="仿宋_GB2312"/>
        </w:rPr>
        <w:t>水土保持监理</w:t>
      </w:r>
      <w:bookmarkEnd w:id="355"/>
      <w:bookmarkEnd w:id="356"/>
      <w:bookmarkEnd w:id="357"/>
      <w:bookmarkEnd w:id="358"/>
      <w:bookmarkEnd w:id="359"/>
      <w:bookmarkEnd w:id="360"/>
    </w:p>
    <w:p>
      <w:pPr>
        <w:pStyle w:val="15"/>
        <w:ind w:firstLine="480"/>
        <w:rPr>
          <w:rFonts w:eastAsia="仿宋_GB2312"/>
        </w:rPr>
      </w:pPr>
      <w:bookmarkStart w:id="361" w:name="_Toc452729623"/>
      <w:r>
        <w:rPr>
          <w:rFonts w:eastAsia="仿宋_GB2312"/>
        </w:rPr>
        <w:t>建设单位应落实并做好水土保持监理工作，对水土保持工程从质量、进度和投资等方面实行全方位、全过程控制，切实把水土保持方案落到实处。</w:t>
      </w:r>
    </w:p>
    <w:p>
      <w:pPr>
        <w:pStyle w:val="15"/>
        <w:ind w:firstLine="480"/>
        <w:rPr>
          <w:rFonts w:eastAsia="仿宋_GB2312"/>
        </w:rPr>
      </w:pPr>
      <w:r>
        <w:rPr>
          <w:rFonts w:eastAsia="仿宋_GB2312"/>
        </w:rPr>
        <w:t>根据水保〔20</w:t>
      </w:r>
      <w:r>
        <w:rPr>
          <w:rFonts w:hint="eastAsia" w:eastAsia="仿宋_GB2312"/>
        </w:rPr>
        <w:t>19</w:t>
      </w:r>
      <w:r>
        <w:rPr>
          <w:rFonts w:eastAsia="仿宋_GB2312"/>
        </w:rPr>
        <w:t>〕</w:t>
      </w:r>
      <w:r>
        <w:rPr>
          <w:rFonts w:hint="eastAsia" w:eastAsia="仿宋_GB2312"/>
        </w:rPr>
        <w:t>160</w:t>
      </w:r>
      <w:r>
        <w:rPr>
          <w:rFonts w:eastAsia="仿宋_GB2312"/>
        </w:rPr>
        <w:t>号《</w:t>
      </w:r>
      <w:r>
        <w:rPr>
          <w:rFonts w:hint="eastAsia" w:eastAsia="仿宋_GB2312"/>
        </w:rPr>
        <w:t>水利部关于进一步深化“放管服”改革全面加强水土保持监管的意见</w:t>
      </w:r>
      <w:r>
        <w:rPr>
          <w:rFonts w:eastAsia="仿宋_GB2312"/>
        </w:rPr>
        <w:t>》的要求，</w:t>
      </w:r>
      <w:r>
        <w:rPr>
          <w:rFonts w:hint="eastAsia" w:eastAsia="仿宋_GB2312"/>
        </w:rPr>
        <w:t>凡主体工程开展监理工作的项目，应当按照水土保持监理标准和规范开展水土保持工程施工监理。其中，征占地面积在20公顷以上或挖填方在20万立方米以上的项目，应当配备具有水土保持专业监理资格的工程师；征占地面积在200公顷以上或者挖填土石方总量在200万立方米以上的项目，应当由具有水土保持工程施工监理专业资质的单位承担监理任务。</w:t>
      </w:r>
    </w:p>
    <w:p>
      <w:pPr>
        <w:pStyle w:val="15"/>
        <w:ind w:firstLine="480"/>
        <w:rPr>
          <w:rFonts w:eastAsia="仿宋_GB2312"/>
        </w:rPr>
      </w:pPr>
      <w:r>
        <w:rPr>
          <w:rFonts w:eastAsia="仿宋_GB2312"/>
        </w:rPr>
        <w:t>本项目水土保持方案经批准后，为确保方案如期实施和方案实施质量，将实行工程监理制，并接受各级水行政主管部门的监督和检查。水土保持监理单位要对水土保持方案的落实情况进行验收，确保水土保持各项措施的数量和质量，监理单位定期向建设单位提交水土保持工程监理报告。水土保持监理单位应收集施工过程的影像资料，作为备查和自验报告的依据。</w:t>
      </w:r>
    </w:p>
    <w:p>
      <w:pPr>
        <w:ind w:firstLine="480"/>
        <w:rPr>
          <w:rFonts w:eastAsia="仿宋_GB2312"/>
        </w:rPr>
      </w:pPr>
      <w:r>
        <w:rPr>
          <w:rFonts w:eastAsia="仿宋_GB2312"/>
        </w:rPr>
        <w:t>应在开工前及时委托水土保持监理单位开展本工程的水土保持监理工作。</w:t>
      </w:r>
    </w:p>
    <w:p>
      <w:pPr>
        <w:pStyle w:val="15"/>
        <w:ind w:firstLine="480"/>
        <w:rPr>
          <w:rFonts w:eastAsia="仿宋_GB2312"/>
        </w:rPr>
      </w:pPr>
      <w:r>
        <w:rPr>
          <w:rFonts w:eastAsia="仿宋_GB2312"/>
        </w:rPr>
        <w:t>水土保持监理单位在监理过程中，应对水土保持建设进行质量、进度和投资控制，建立施工过程中临时措施影像、照片等档案资料和质量评定的原始资料。承担水土保持工程监理工作的单位根据监理合同开展工作，并及时编制工程项目水土保持工程监理规划及实施细则，在施工建设各阶段随时进行质量监督。在监理过程中，将出现的问题及时向建设单位汇报，对水土保持设施的单元工程、分部工程、单位工程提出质量评定意见，并指导施工，接受当地水行政主管部门的监督检查，定期将监理成果向建设单位报告。</w:t>
      </w:r>
    </w:p>
    <w:p>
      <w:pPr>
        <w:pStyle w:val="3"/>
        <w:widowControl/>
        <w:numPr>
          <w:ilvl w:val="1"/>
          <w:numId w:val="1"/>
        </w:numPr>
        <w:tabs>
          <w:tab w:val="clear" w:pos="1002"/>
        </w:tabs>
        <w:topLinePunct w:val="0"/>
        <w:adjustRightInd/>
        <w:snapToGrid/>
        <w:ind w:left="0" w:firstLine="0"/>
        <w:jc w:val="both"/>
        <w:rPr>
          <w:rFonts w:eastAsia="仿宋_GB2312"/>
        </w:rPr>
      </w:pPr>
      <w:bookmarkStart w:id="362" w:name="_Toc452729621"/>
      <w:bookmarkStart w:id="363" w:name="_Toc7801490"/>
      <w:bookmarkStart w:id="364" w:name="_Toc7801583"/>
      <w:bookmarkStart w:id="365" w:name="_Toc7801423"/>
      <w:bookmarkStart w:id="366" w:name="_Toc47381558"/>
      <w:bookmarkStart w:id="367" w:name="_Toc50221529"/>
      <w:r>
        <w:rPr>
          <w:rFonts w:eastAsia="仿宋_GB2312"/>
        </w:rPr>
        <w:t>水土保持施工</w:t>
      </w:r>
      <w:bookmarkEnd w:id="362"/>
      <w:bookmarkEnd w:id="363"/>
      <w:bookmarkEnd w:id="364"/>
      <w:bookmarkEnd w:id="365"/>
      <w:bookmarkEnd w:id="366"/>
      <w:bookmarkEnd w:id="367"/>
    </w:p>
    <w:bookmarkEnd w:id="361"/>
    <w:p>
      <w:pPr>
        <w:pStyle w:val="15"/>
        <w:ind w:firstLine="480"/>
        <w:rPr>
          <w:rFonts w:eastAsia="仿宋_GB2312"/>
        </w:rPr>
      </w:pPr>
      <w:bookmarkStart w:id="368" w:name="_Toc452729624"/>
      <w:r>
        <w:rPr>
          <w:rFonts w:eastAsia="仿宋_GB2312"/>
        </w:rPr>
        <w:t>严格控制施工扰动范围，禁止随意占压破坏地表植被。生产建设单位应当加强对施工单位的管理，在招投标文件和施工合同中明确施工单位的水土保持责任，强化奖惩制度，规范施工行为。</w:t>
      </w:r>
    </w:p>
    <w:p>
      <w:pPr>
        <w:pStyle w:val="15"/>
        <w:ind w:firstLine="480"/>
        <w:rPr>
          <w:rFonts w:eastAsia="仿宋_GB2312"/>
        </w:rPr>
      </w:pPr>
      <w:r>
        <w:rPr>
          <w:rFonts w:eastAsia="仿宋_GB2312"/>
        </w:rPr>
        <w:t>水土保持方案实施领导小组要配备具有水土保持专业</w:t>
      </w:r>
      <w:r>
        <w:rPr>
          <w:rFonts w:hint="eastAsia" w:eastAsia="仿宋_GB2312"/>
        </w:rPr>
        <w:t>知识</w:t>
      </w:r>
      <w:r>
        <w:rPr>
          <w:rFonts w:eastAsia="仿宋_GB2312"/>
        </w:rPr>
        <w:t>的人员至少1名。在工程施工招标说明书中，应对施工单位的技术力量作出规定，施工单位除了具有一般工程技术人员负责水土保持工程措施的施工外，还应具有水土保持专业的工程技术人员，解决技术难题及现场指导施工。对施工单位组织《中华人民共和国水土保持法》学习、宣传工作，提高工程建设者的水土保持自觉行动意识，并接受当地水行政主管部门的监督检查。施工管理应满足下列要求：</w:t>
      </w:r>
    </w:p>
    <w:p>
      <w:pPr>
        <w:pStyle w:val="15"/>
        <w:ind w:firstLine="480"/>
        <w:rPr>
          <w:rFonts w:eastAsia="仿宋_GB2312"/>
        </w:rPr>
      </w:pPr>
      <w:r>
        <w:rPr>
          <w:rFonts w:eastAsia="仿宋_GB2312"/>
        </w:rPr>
        <w:t>(1) 施工期应首先制定严格的施工管理运行条例，运用管理措施减少地表的扰动面积；合理安排施工，缩短临时弃土、弃渣的堆置时间，尽量缩短松散土的暴露时间，降低产生水土流失的时段；</w:t>
      </w:r>
    </w:p>
    <w:p>
      <w:pPr>
        <w:pStyle w:val="15"/>
        <w:ind w:firstLine="480"/>
        <w:rPr>
          <w:rFonts w:eastAsia="仿宋_GB2312"/>
        </w:rPr>
      </w:pPr>
      <w:r>
        <w:rPr>
          <w:rFonts w:eastAsia="仿宋_GB2312"/>
        </w:rPr>
        <w:t>(2) 做好临时弃土施工期间的临时防护，减少水土流失的发生；</w:t>
      </w:r>
    </w:p>
    <w:p>
      <w:pPr>
        <w:pStyle w:val="15"/>
        <w:ind w:firstLine="480"/>
        <w:rPr>
          <w:rFonts w:eastAsia="仿宋_GB2312"/>
        </w:rPr>
      </w:pPr>
      <w:r>
        <w:rPr>
          <w:rFonts w:eastAsia="仿宋_GB2312"/>
        </w:rPr>
        <w:t>(3) 施工期间车辆运输土石方，运输车辆的车厢应采取蓬布遮盖，减少风蚀；</w:t>
      </w:r>
    </w:p>
    <w:p>
      <w:pPr>
        <w:pStyle w:val="15"/>
        <w:ind w:firstLine="480"/>
        <w:rPr>
          <w:rFonts w:eastAsia="仿宋_GB2312"/>
        </w:rPr>
      </w:pPr>
      <w:r>
        <w:rPr>
          <w:rFonts w:eastAsia="仿宋_GB2312"/>
        </w:rPr>
        <w:t>(4) 大风或暴雨时应禁止在可能引发新的水土流失的区域或工作面施工。</w:t>
      </w:r>
    </w:p>
    <w:p>
      <w:pPr>
        <w:pStyle w:val="15"/>
        <w:ind w:firstLine="480"/>
        <w:rPr>
          <w:rFonts w:eastAsia="仿宋_GB2312"/>
        </w:rPr>
      </w:pPr>
      <w:r>
        <w:rPr>
          <w:rFonts w:eastAsia="仿宋_GB2312"/>
        </w:rPr>
        <w:t>对水土保持监测设施予以保护的要求，以保证监测数据的完整性。</w:t>
      </w:r>
    </w:p>
    <w:p>
      <w:pPr>
        <w:pStyle w:val="3"/>
        <w:widowControl/>
        <w:numPr>
          <w:ilvl w:val="1"/>
          <w:numId w:val="1"/>
        </w:numPr>
        <w:tabs>
          <w:tab w:val="clear" w:pos="1002"/>
        </w:tabs>
        <w:topLinePunct w:val="0"/>
        <w:adjustRightInd/>
        <w:snapToGrid/>
        <w:ind w:left="0" w:firstLine="0"/>
        <w:jc w:val="both"/>
        <w:rPr>
          <w:rFonts w:eastAsia="仿宋_GB2312"/>
        </w:rPr>
      </w:pPr>
      <w:bookmarkStart w:id="369" w:name="_Toc7801424"/>
      <w:bookmarkStart w:id="370" w:name="_Toc7801584"/>
      <w:bookmarkStart w:id="371" w:name="_Toc7801491"/>
      <w:bookmarkStart w:id="372" w:name="_Toc47381559"/>
      <w:bookmarkStart w:id="373" w:name="_Toc50221530"/>
      <w:r>
        <w:rPr>
          <w:rFonts w:eastAsia="仿宋_GB2312"/>
        </w:rPr>
        <w:t>水土保持设施验收</w:t>
      </w:r>
      <w:bookmarkEnd w:id="368"/>
      <w:bookmarkEnd w:id="369"/>
      <w:bookmarkEnd w:id="370"/>
      <w:bookmarkEnd w:id="371"/>
      <w:bookmarkEnd w:id="372"/>
      <w:bookmarkEnd w:id="373"/>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bookmarkStart w:id="374" w:name="_Toc391024592"/>
      <w:bookmarkStart w:id="375" w:name="_Toc303184138"/>
      <w:r>
        <w:rPr>
          <w:rFonts w:eastAsia="仿宋_GB2312"/>
        </w:rPr>
        <w:t>检查监督</w:t>
      </w:r>
      <w:bookmarkEnd w:id="374"/>
      <w:bookmarkEnd w:id="375"/>
    </w:p>
    <w:p>
      <w:pPr>
        <w:pStyle w:val="15"/>
        <w:ind w:firstLine="480"/>
        <w:rPr>
          <w:rFonts w:eastAsia="仿宋_GB2312"/>
        </w:rPr>
      </w:pPr>
      <w:r>
        <w:rPr>
          <w:rFonts w:eastAsia="仿宋_GB2312"/>
        </w:rPr>
        <w:t>为防止水土保持方案流于形式，在工程实施过程中，建设单位应与水行政主管部门积极配合，成立专门管理机构，负责对工程水土保持方案的实施进度、质量、资金落实等情况进行监督，保证水土保持方案高标准、高质量、按进度完成。强化责任，加强检查力度，杜绝施工过程中各种不规范、不文明的行为发生，严防对当地生态环境造成严重破坏。</w:t>
      </w:r>
      <w:bookmarkEnd w:id="341"/>
      <w:bookmarkEnd w:id="342"/>
      <w:bookmarkEnd w:id="343"/>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竣工验收</w:t>
      </w:r>
    </w:p>
    <w:p>
      <w:pPr>
        <w:pStyle w:val="15"/>
        <w:ind w:firstLine="480"/>
        <w:rPr>
          <w:rFonts w:eastAsia="仿宋_GB2312"/>
        </w:rPr>
      </w:pPr>
      <w:r>
        <w:rPr>
          <w:rFonts w:eastAsia="仿宋_GB2312"/>
        </w:rPr>
        <w:t>根据水利部关于加强事中事后监管规范生产建设项目水土保持设施自主验收的通知(水利部[2017]365号)文和水利部关于进一步深化“放管服”改革全面加强水土保持监管的意见(水保[2019]160号)的要求，生产建设项目水土保持设施由业主自主验收。</w:t>
      </w:r>
    </w:p>
    <w:p>
      <w:pPr>
        <w:pStyle w:val="15"/>
        <w:ind w:firstLine="480"/>
        <w:rPr>
          <w:rFonts w:eastAsia="仿宋_GB2312"/>
        </w:rPr>
      </w:pPr>
      <w:r>
        <w:rPr>
          <w:rFonts w:eastAsia="仿宋_GB2312"/>
        </w:rPr>
        <w:t>(一)组织第三方机构编制水土保持设施验收报告。依法编制水土保持方案报告书的生产建设项目投产使用前，生产建设单位应当根据水土保持方案及其审批决定等，组织第三方机构编制水土保持设施验收报告。第三方机构是指具有独立承担民事责任能力且具有相应水土保持技术条件的企业法人、事业单位法人或其他组织。各级水行政主管部门和流域管理机构不得以任何形式推荐、建议和要求生产建设单位委托特定第三方机构提供水土保持设施验收报告编制服务。</w:t>
      </w:r>
    </w:p>
    <w:p>
      <w:pPr>
        <w:pStyle w:val="15"/>
        <w:ind w:firstLine="480"/>
        <w:rPr>
          <w:rFonts w:eastAsia="仿宋_GB2312"/>
        </w:rPr>
      </w:pPr>
      <w:r>
        <w:rPr>
          <w:rFonts w:eastAsia="仿宋_GB2312"/>
        </w:rPr>
        <w:t>（二）明确验收结论。水土保持设施验收报告编制完成后，生产建设单位应当按照水土保持法律法规、标准规范、水土保持方案及其审批决定、水土保持后续设计等，组织水土保持设施验收工作，形成水土保持设施验收鉴定书，明确水土保持设施验收合格的结论。水土保持设施验收合格后，生产建设项目方可通过竣工验收和投产使用。</w:t>
      </w:r>
    </w:p>
    <w:p>
      <w:pPr>
        <w:pStyle w:val="15"/>
        <w:ind w:firstLine="480"/>
        <w:rPr>
          <w:rFonts w:eastAsia="仿宋_GB2312"/>
        </w:rPr>
      </w:pPr>
      <w:r>
        <w:rPr>
          <w:rFonts w:eastAsia="仿宋_GB2312"/>
        </w:rPr>
        <w:t>（三）公开验收情况。除按照国家规定需要保密的情形外，生产建设单位应当在水土保持设施验收合格后，通过其官方网站或者其他便于公众知悉的方式向社会公开水土保持设施验收鉴定书、水土保持设施验收报告和水土保持监测总结报告。对于公众反映的主要问题和意见，生产建设单位应当及时给予处理或者回应。</w:t>
      </w:r>
    </w:p>
    <w:p>
      <w:pPr>
        <w:pStyle w:val="15"/>
        <w:ind w:firstLine="480"/>
        <w:rPr>
          <w:rFonts w:eastAsia="仿宋_GB2312"/>
          <w:color w:val="FF0000"/>
        </w:rPr>
      </w:pPr>
      <w:r>
        <w:rPr>
          <w:rFonts w:eastAsia="仿宋_GB2312"/>
        </w:rPr>
        <w:t>（四）报备验收材料。生产建设单位应在向社会公开水土保持设施验收材料后、生产建设项目投产使用前，向水土保持方案审批机关报备水土保持设施验收材料。报备材料包括水土保持设施验收鉴定书、水土保持设施验收报告和水土保持监测总结报告。其中，实行承诺制或者备案制管理的项目，只需要提交水土保持设施验收鉴定书，其水土保持设施验收组中应当至少一名省级水行政主管部门水土保持专家库专家。生产建设单位、第三方机构和水土保持监测机构分别对水土保持设施验收鉴定书、水土保持设施验收报告和水土保持监测总结报告等材料的真实性负责。</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bookmarkStart w:id="376" w:name="_Toc515445997"/>
      <w:bookmarkStart w:id="377" w:name="_Toc517947255"/>
      <w:bookmarkStart w:id="378" w:name="_Toc482366487"/>
      <w:bookmarkStart w:id="379" w:name="_Toc517946693"/>
      <w:bookmarkStart w:id="380" w:name="_Toc391024594"/>
      <w:bookmarkStart w:id="381" w:name="_Toc435625183"/>
      <w:bookmarkStart w:id="382" w:name="_Toc470096601"/>
      <w:r>
        <w:rPr>
          <w:rFonts w:eastAsia="仿宋_GB2312"/>
        </w:rPr>
        <w:t>资金来源及使用管理</w:t>
      </w:r>
      <w:bookmarkEnd w:id="376"/>
      <w:bookmarkEnd w:id="377"/>
      <w:bookmarkEnd w:id="378"/>
      <w:bookmarkEnd w:id="379"/>
      <w:bookmarkEnd w:id="380"/>
      <w:bookmarkEnd w:id="381"/>
      <w:bookmarkEnd w:id="382"/>
    </w:p>
    <w:p>
      <w:pPr>
        <w:pStyle w:val="15"/>
        <w:ind w:firstLine="480"/>
        <w:rPr>
          <w:rFonts w:eastAsia="仿宋_GB2312"/>
        </w:rPr>
      </w:pPr>
      <w:r>
        <w:rPr>
          <w:rFonts w:eastAsia="仿宋_GB2312"/>
        </w:rPr>
        <w:t>根据《中华人民共和国水土保持法》规定“建设项目的水土流失防治费从基本建设投资中列出，生产运行中的项目其水土流失防治费从生产费中列出”和“谁开发谁保护，谁造成水土流失谁负责治理”的原则，并根据项目协议中的有关规定，本方案水土保持措施实施所需费用，建设期水土保持投资建议从主体工程总投资中列支，并与主体工程资金同时调拨，建立水土保持财务档案。生产期的水土保持投资从生产费中列支，计入生产成本。工程建设单位应做到专款专用，保证投入，严格资金管理和使用。充分保证资金的供应与到位条件，参照本方案水土保持措施安排的进度逐年落实，确保水土保持措施保质保量按期完成。并且检查方案的实施过程，确保方案的充分执行以及处罚违反规定的相关人员。通过安排定期、不定期的抽查进行监督，对违反规定的给予批评、警告、甚至惩罚，保证所需资金及时、足额到位，专款专用，以达到本水土保持方案的目标。</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hint="eastAsia" w:eastAsia="仿宋_GB2312"/>
        </w:rPr>
        <w:t>水土保持设施后续管理</w:t>
      </w:r>
    </w:p>
    <w:p>
      <w:pPr>
        <w:pStyle w:val="15"/>
        <w:ind w:firstLine="480"/>
        <w:rPr>
          <w:rFonts w:eastAsia="仿宋_GB2312"/>
        </w:rPr>
        <w:sectPr>
          <w:headerReference r:id="rId25" w:type="default"/>
          <w:pgSz w:w="11906" w:h="16838"/>
          <w:pgMar w:top="1440" w:right="1803" w:bottom="1440" w:left="1803" w:header="851" w:footer="992" w:gutter="0"/>
          <w:cols w:space="720" w:num="1"/>
          <w:docGrid w:linePitch="326" w:charSpace="0"/>
        </w:sectPr>
      </w:pPr>
      <w:r>
        <w:rPr>
          <w:rFonts w:hint="eastAsia" w:eastAsia="仿宋_GB2312"/>
        </w:rPr>
        <w:t>水土保持工程验收后，应由项目法人负责对永久占地范围内水土保持设施进行后续管护与维修，运行管护维修费用从生产运行费中列支。临时占地内的水土保持设施由项目法人移交给土地权属单位继续管理维护。</w:t>
      </w:r>
    </w:p>
    <w:p>
      <w:pPr>
        <w:ind w:firstLine="0" w:firstLineChars="0"/>
        <w:rPr>
          <w:rFonts w:eastAsia="仿宋_GB2312"/>
          <w:b/>
          <w:sz w:val="28"/>
          <w:szCs w:val="28"/>
        </w:rPr>
      </w:pPr>
      <w:r>
        <w:rPr>
          <w:rFonts w:eastAsia="仿宋_GB2312"/>
          <w:b/>
          <w:sz w:val="28"/>
          <w:szCs w:val="28"/>
        </w:rPr>
        <w:t>附表：</w:t>
      </w:r>
    </w:p>
    <w:p>
      <w:pPr>
        <w:spacing w:line="240" w:lineRule="auto"/>
        <w:ind w:firstLine="0" w:firstLineChars="0"/>
        <w:jc w:val="center"/>
        <w:rPr>
          <w:rFonts w:eastAsia="仿宋_GB2312"/>
          <w:b/>
        </w:rPr>
      </w:pPr>
      <w:r>
        <w:rPr>
          <w:rFonts w:hint="eastAsia" w:eastAsia="仿宋_GB2312"/>
          <w:b/>
        </w:rPr>
        <w:t>表1   防尘网苫盖</w:t>
      </w:r>
      <w:r>
        <w:rPr>
          <w:rFonts w:eastAsia="仿宋_GB2312"/>
          <w:b/>
        </w:rPr>
        <w:t>单价分析</w:t>
      </w:r>
      <w:r>
        <w:rPr>
          <w:rFonts w:hint="eastAsia" w:eastAsia="仿宋_GB2312"/>
          <w:b/>
        </w:rPr>
        <w:t>表</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57"/>
        <w:gridCol w:w="2303"/>
        <w:gridCol w:w="957"/>
        <w:gridCol w:w="957"/>
        <w:gridCol w:w="1671"/>
        <w:gridCol w:w="167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000" w:type="pct"/>
            <w:gridSpan w:val="6"/>
            <w:shd w:val="clear" w:color="auto" w:fill="auto"/>
            <w:noWrap/>
            <w:vAlign w:val="center"/>
          </w:tcPr>
          <w:p>
            <w:pPr>
              <w:widowControl/>
              <w:topLinePunct w:val="0"/>
              <w:adjustRightInd/>
              <w:snapToGrid/>
              <w:spacing w:line="240" w:lineRule="auto"/>
              <w:ind w:firstLine="0" w:firstLineChars="0"/>
              <w:rPr>
                <w:rFonts w:eastAsia="仿宋_GB2312"/>
                <w:color w:val="000000"/>
                <w:sz w:val="21"/>
                <w:szCs w:val="21"/>
              </w:rPr>
            </w:pPr>
            <w:r>
              <w:rPr>
                <w:rFonts w:eastAsia="仿宋_GB2312"/>
                <w:color w:val="000000"/>
                <w:sz w:val="21"/>
                <w:szCs w:val="21"/>
              </w:rPr>
              <w:t>定额编号：03005       定额单位：100m</w:t>
            </w:r>
            <w:r>
              <w:rPr>
                <w:rFonts w:eastAsia="仿宋_GB2312"/>
                <w:color w:val="000000"/>
                <w:sz w:val="21"/>
                <w:szCs w:val="21"/>
                <w:vertAlign w:val="superscript"/>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000" w:type="pct"/>
            <w:gridSpan w:val="6"/>
            <w:shd w:val="clear" w:color="auto" w:fill="auto"/>
            <w:noWrap/>
            <w:vAlign w:val="center"/>
          </w:tcPr>
          <w:p>
            <w:pPr>
              <w:widowControl/>
              <w:topLinePunct w:val="0"/>
              <w:adjustRightInd/>
              <w:snapToGrid/>
              <w:spacing w:line="240" w:lineRule="auto"/>
              <w:ind w:firstLine="0" w:firstLineChars="0"/>
              <w:rPr>
                <w:rFonts w:eastAsia="仿宋_GB2312"/>
                <w:color w:val="000000"/>
                <w:sz w:val="21"/>
                <w:szCs w:val="21"/>
              </w:rPr>
            </w:pPr>
            <w:r>
              <w:rPr>
                <w:rFonts w:eastAsia="仿宋_GB2312"/>
                <w:color w:val="000000"/>
                <w:sz w:val="21"/>
                <w:szCs w:val="21"/>
              </w:rPr>
              <w:t>工作内容：场内运输、铺设、搭接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序号</w:t>
            </w: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名称及规格</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单位</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数量</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单价(元)</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合价(元)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一</w:t>
            </w: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直接工程费</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352.17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(一)</w:t>
            </w: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直接费</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323.09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人工费</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80.70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人工</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工时</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8.07</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80.70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材料费</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242.39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防尘网</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r>
              <w:rPr>
                <w:rFonts w:eastAsia="仿宋_GB2312"/>
                <w:color w:val="000000"/>
                <w:sz w:val="21"/>
                <w:szCs w:val="21"/>
                <w:vertAlign w:val="superscript"/>
              </w:rPr>
              <w:t>2</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113</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2.04</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229.99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小网袋</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个</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1.00</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其它材料费</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239.99</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(二)</w:t>
            </w: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其他直接费</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323.09</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12.92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(三)</w:t>
            </w: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现场经费</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323.09</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16.15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二</w:t>
            </w: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间接费</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4.4</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352.17</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三</w:t>
            </w: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企业利润</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7</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367.67</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25.74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四</w:t>
            </w: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税金</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9</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393.41</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35.41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扩大</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428.81</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42.88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914"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合计</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元</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471.69</w:t>
            </w:r>
          </w:p>
        </w:tc>
      </w:tr>
    </w:tbl>
    <w:p>
      <w:pPr>
        <w:spacing w:line="240" w:lineRule="auto"/>
        <w:ind w:firstLine="0" w:firstLineChars="0"/>
        <w:jc w:val="center"/>
        <w:rPr>
          <w:rFonts w:eastAsia="仿宋_GB2312"/>
          <w:b/>
        </w:rPr>
      </w:pPr>
    </w:p>
    <w:p>
      <w:pPr>
        <w:spacing w:line="240" w:lineRule="auto"/>
        <w:ind w:firstLine="0" w:firstLineChars="0"/>
        <w:jc w:val="center"/>
        <w:rPr>
          <w:rFonts w:eastAsia="仿宋_GB2312"/>
          <w:b/>
        </w:rPr>
      </w:pPr>
      <w:r>
        <w:rPr>
          <w:rFonts w:hint="eastAsia" w:eastAsia="仿宋_GB2312"/>
          <w:b/>
        </w:rPr>
        <w:t>表2   洒水</w:t>
      </w:r>
      <w:r>
        <w:rPr>
          <w:rFonts w:eastAsia="仿宋_GB2312"/>
          <w:b/>
        </w:rPr>
        <w:t>单价分析</w:t>
      </w:r>
      <w:r>
        <w:rPr>
          <w:rFonts w:hint="eastAsia" w:eastAsia="仿宋_GB2312"/>
          <w:b/>
        </w:rPr>
        <w:t>表</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21"/>
        <w:gridCol w:w="2316"/>
        <w:gridCol w:w="921"/>
        <w:gridCol w:w="1138"/>
        <w:gridCol w:w="1610"/>
        <w:gridCol w:w="161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000" w:type="pct"/>
            <w:gridSpan w:val="6"/>
            <w:shd w:val="clear" w:color="auto" w:fill="auto"/>
            <w:noWrap/>
            <w:vAlign w:val="center"/>
          </w:tcPr>
          <w:p>
            <w:pPr>
              <w:widowControl/>
              <w:topLinePunct w:val="0"/>
              <w:adjustRightInd/>
              <w:snapToGrid/>
              <w:spacing w:line="240" w:lineRule="auto"/>
              <w:ind w:firstLine="0" w:firstLineChars="0"/>
              <w:rPr>
                <w:rFonts w:eastAsia="仿宋_GB2312"/>
                <w:color w:val="000000"/>
                <w:sz w:val="21"/>
                <w:szCs w:val="21"/>
              </w:rPr>
            </w:pPr>
            <w:r>
              <w:rPr>
                <w:rFonts w:eastAsia="仿宋_GB2312"/>
                <w:color w:val="000000"/>
                <w:sz w:val="21"/>
                <w:szCs w:val="21"/>
              </w:rPr>
              <w:t>定额编号:参照定额定额单位：100m</w:t>
            </w:r>
            <w:r>
              <w:rPr>
                <w:rFonts w:eastAsia="仿宋_GB2312"/>
                <w:color w:val="000000"/>
                <w:sz w:val="21"/>
                <w:szCs w:val="21"/>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000" w:type="pct"/>
            <w:gridSpan w:val="6"/>
            <w:shd w:val="clear" w:color="auto" w:fill="auto"/>
            <w:noWrap/>
            <w:vAlign w:val="center"/>
          </w:tcPr>
          <w:p>
            <w:pPr>
              <w:widowControl/>
              <w:topLinePunct w:val="0"/>
              <w:adjustRightInd/>
              <w:snapToGrid/>
              <w:spacing w:line="240" w:lineRule="auto"/>
              <w:ind w:firstLine="0" w:firstLineChars="0"/>
              <w:rPr>
                <w:rFonts w:eastAsia="仿宋_GB2312"/>
                <w:color w:val="000000"/>
                <w:sz w:val="21"/>
                <w:szCs w:val="21"/>
              </w:rPr>
            </w:pPr>
            <w:r>
              <w:rPr>
                <w:rFonts w:eastAsia="仿宋_GB2312"/>
                <w:color w:val="000000"/>
                <w:sz w:val="21"/>
                <w:szCs w:val="21"/>
              </w:rPr>
              <w:t>工作内容：装水、洒水、返回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编号</w:t>
            </w: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名称及规格</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单位</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数量</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单价(元)</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合价(元)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一</w:t>
            </w: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直接工程费</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元</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1991.38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(一)</w:t>
            </w: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直接费</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元</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1826.95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人工费</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元</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131.14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人工</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工时</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16.25</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8.07</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131.14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材料费</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元</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368.51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r>
              <w:rPr>
                <w:rFonts w:eastAsia="仿宋_GB2312"/>
                <w:color w:val="000000"/>
                <w:sz w:val="21"/>
                <w:szCs w:val="21"/>
                <w:vertAlign w:val="superscript"/>
              </w:rPr>
              <w:t>2</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102</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3.57</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364.14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其他材料费</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1.2</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364.14</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4.37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w:t>
            </w: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机械使用费</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1327.30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洒水车(8m</w:t>
            </w:r>
            <w:r>
              <w:rPr>
                <w:rFonts w:eastAsia="仿宋_GB2312"/>
                <w:color w:val="000000"/>
                <w:sz w:val="21"/>
                <w:szCs w:val="21"/>
                <w:vertAlign w:val="superscript"/>
              </w:rPr>
              <w:t>3</w:t>
            </w:r>
            <w:r>
              <w:rPr>
                <w:rFonts w:eastAsia="仿宋_GB2312"/>
                <w:color w:val="000000"/>
                <w:sz w:val="21"/>
                <w:szCs w:val="21"/>
              </w:rPr>
              <w:t>)</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台时</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12.5</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106.18</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1327.30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(二)</w:t>
            </w: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其他直接费</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1826.95</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73.08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(三)</w:t>
            </w: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现场经费</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1826.95</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91.35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二</w:t>
            </w: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间接费</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4.4</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1991.38</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87.62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三</w:t>
            </w: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企业利润</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7</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2079.00</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145.53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四</w:t>
            </w: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税金</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9</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2224.53</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200.21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扩大</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2424.73</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242.47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合计</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2667.21</w:t>
            </w:r>
          </w:p>
        </w:tc>
      </w:tr>
    </w:tbl>
    <w:p>
      <w:pPr>
        <w:spacing w:line="240" w:lineRule="auto"/>
        <w:ind w:firstLine="0" w:firstLineChars="0"/>
        <w:jc w:val="center"/>
        <w:rPr>
          <w:rFonts w:eastAsia="仿宋_GB2312"/>
          <w:b/>
        </w:rPr>
      </w:pPr>
    </w:p>
    <w:p>
      <w:pPr>
        <w:spacing w:line="240" w:lineRule="auto"/>
        <w:ind w:firstLine="0" w:firstLineChars="0"/>
        <w:jc w:val="center"/>
        <w:rPr>
          <w:rFonts w:eastAsia="仿宋_GB2312"/>
          <w:b/>
        </w:rPr>
      </w:pPr>
      <w:r>
        <w:rPr>
          <w:rFonts w:hint="eastAsia" w:eastAsia="仿宋_GB2312"/>
          <w:b/>
        </w:rPr>
        <w:t>表3   彩条旗限界</w:t>
      </w:r>
      <w:r>
        <w:rPr>
          <w:rFonts w:eastAsia="仿宋_GB2312"/>
          <w:b/>
        </w:rPr>
        <w:t>单价分析</w:t>
      </w:r>
      <w:r>
        <w:rPr>
          <w:rFonts w:hint="eastAsia" w:eastAsia="仿宋_GB2312"/>
          <w:b/>
        </w:rPr>
        <w:t>表</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196"/>
        <w:gridCol w:w="1322"/>
        <w:gridCol w:w="1228"/>
        <w:gridCol w:w="1392"/>
        <w:gridCol w:w="1690"/>
        <w:gridCol w:w="168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00" w:type="pct"/>
            <w:gridSpan w:val="6"/>
            <w:shd w:val="clear" w:color="auto" w:fill="auto"/>
            <w:vAlign w:val="center"/>
          </w:tcPr>
          <w:p>
            <w:pPr>
              <w:widowControl/>
              <w:topLinePunct w:val="0"/>
              <w:adjustRightInd/>
              <w:snapToGrid/>
              <w:spacing w:line="240" w:lineRule="auto"/>
              <w:ind w:firstLine="0" w:firstLineChars="0"/>
              <w:rPr>
                <w:rFonts w:eastAsia="仿宋_GB2312"/>
                <w:color w:val="000000"/>
                <w:sz w:val="21"/>
                <w:szCs w:val="21"/>
              </w:rPr>
            </w:pPr>
            <w:r>
              <w:rPr>
                <w:rFonts w:eastAsia="仿宋_GB2312"/>
                <w:color w:val="000000"/>
                <w:sz w:val="21"/>
                <w:szCs w:val="21"/>
              </w:rPr>
              <w:t>定额编号：[2-13]b　　　　　定额单位：100m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序号</w:t>
            </w: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名称及规格</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单位</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数量</w:t>
            </w: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单价（元）</w:t>
            </w: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合价（元）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一</w:t>
            </w: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直接工程费</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130.70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（一）</w:t>
            </w: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直接费</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119.69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人工费</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40.35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人工</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工时</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w:t>
            </w: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8.07</w:t>
            </w: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40.35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材料费</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79.34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彩条旗</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105</w:t>
            </w: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0.52</w:t>
            </w: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54.64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木条</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根</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11</w:t>
            </w: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2.04</w:t>
            </w: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22.39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其他材料费</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w:t>
            </w: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77.03</w:t>
            </w: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2.31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（二）</w:t>
            </w: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其他直接费</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w:t>
            </w: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119.69</w:t>
            </w: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4.79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（三）</w:t>
            </w: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现场经费</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w:t>
            </w: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124.47</w:t>
            </w: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6.22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二</w:t>
            </w: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间接费</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4.4</w:t>
            </w: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130.70</w:t>
            </w: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5.75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三</w:t>
            </w: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企业利润</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7</w:t>
            </w: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136.45</w:t>
            </w: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9.55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四</w:t>
            </w: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税金</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9</w:t>
            </w: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146.00</w:t>
            </w: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13.14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478" w:type="pct"/>
            <w:gridSpan w:val="2"/>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扩大</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w:t>
            </w: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159.14</w:t>
            </w: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15.91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478" w:type="pct"/>
            <w:gridSpan w:val="2"/>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合计</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元</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175.05</w:t>
            </w:r>
          </w:p>
        </w:tc>
      </w:tr>
    </w:tbl>
    <w:p>
      <w:pPr>
        <w:spacing w:line="240" w:lineRule="auto"/>
        <w:ind w:firstLine="0" w:firstLineChars="0"/>
        <w:jc w:val="center"/>
        <w:rPr>
          <w:rFonts w:eastAsia="仿宋_GB2312"/>
          <w:b/>
        </w:rPr>
      </w:pPr>
    </w:p>
    <w:sectPr>
      <w:pgSz w:w="11906" w:h="16838"/>
      <w:pgMar w:top="1440" w:right="1803" w:bottom="1440" w:left="1803" w:header="851" w:footer="992" w:gutter="0"/>
      <w:pgNumType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ISOCT">
    <w:altName w:val="Segoe Print"/>
    <w:panose1 w:val="00000400000000000000"/>
    <w:charset w:val="00"/>
    <w:family w:val="auto"/>
    <w:pitch w:val="default"/>
    <w:sig w:usb0="00000000" w:usb1="00000000" w:usb2="00000000" w:usb3="00000000" w:csb0="000001F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647"/>
      </w:tabs>
      <w:ind w:firstLine="420"/>
      <w:jc w:val="center"/>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647"/>
      </w:tabs>
      <w:ind w:firstLine="420"/>
      <w:jc w:val="center"/>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3"/>
      </w:rPr>
    </w:pPr>
    <w:r>
      <w:rPr>
        <w:rStyle w:val="43"/>
      </w:rPr>
      <w:fldChar w:fldCharType="begin"/>
    </w:r>
    <w:r>
      <w:rPr>
        <w:rStyle w:val="43"/>
      </w:rPr>
      <w:instrText xml:space="preserve">PAGE  </w:instrText>
    </w:r>
    <w:r>
      <w:rPr>
        <w:rStyle w:val="43"/>
      </w:rPr>
      <w:fldChar w:fldCharType="separate"/>
    </w:r>
    <w:r>
      <w:rPr>
        <w:rStyle w:val="43"/>
      </w:rPr>
      <w:t>15</w:t>
    </w:r>
    <w:r>
      <w:rPr>
        <w:rStyle w:val="43"/>
      </w:rPr>
      <w:fldChar w:fldCharType="end"/>
    </w:r>
  </w:p>
  <w:p>
    <w:pPr>
      <w:pBdr>
        <w:top w:val="single" w:color="auto" w:sz="4" w:space="1"/>
      </w:pBdr>
      <w:ind w:firstLine="0" w:firstLineChars="0"/>
      <w:jc w:val="left"/>
      <w:rPr>
        <w:rFonts w:eastAsia="仿宋_GB2312"/>
        <w:sz w:val="18"/>
        <w:szCs w:val="18"/>
      </w:rPr>
    </w:pPr>
    <w:r>
      <w:rPr>
        <w:rFonts w:hint="eastAsia" w:eastAsia="仿宋_GB2312"/>
        <w:sz w:val="18"/>
        <w:szCs w:val="18"/>
      </w:rPr>
      <w:t>新疆新农丽景环境工程咨询有限公司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3"/>
      </w:rPr>
    </w:pPr>
    <w:r>
      <w:rPr>
        <w:rStyle w:val="43"/>
      </w:rPr>
      <w:fldChar w:fldCharType="begin"/>
    </w:r>
    <w:r>
      <w:rPr>
        <w:rStyle w:val="43"/>
      </w:rPr>
      <w:instrText xml:space="preserve">PAGE  </w:instrText>
    </w:r>
    <w:r>
      <w:rPr>
        <w:rStyle w:val="43"/>
      </w:rPr>
      <w:fldChar w:fldCharType="separate"/>
    </w:r>
    <w:r>
      <w:rPr>
        <w:rStyle w:val="43"/>
      </w:rPr>
      <w:t>xiv</w:t>
    </w:r>
    <w:r>
      <w:rPr>
        <w:rStyle w:val="43"/>
      </w:rPr>
      <w:fldChar w:fldCharType="end"/>
    </w:r>
  </w:p>
  <w:p>
    <w:pPr>
      <w:ind w:firstLine="480"/>
      <w:rPr>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3"/>
      </w:rPr>
    </w:pPr>
    <w:r>
      <w:rPr>
        <w:rStyle w:val="43"/>
      </w:rPr>
      <w:fldChar w:fldCharType="begin"/>
    </w:r>
    <w:r>
      <w:rPr>
        <w:rStyle w:val="43"/>
      </w:rPr>
      <w:instrText xml:space="preserve">PAGE  </w:instrText>
    </w:r>
    <w:r>
      <w:rPr>
        <w:rStyle w:val="43"/>
      </w:rPr>
      <w:fldChar w:fldCharType="separate"/>
    </w:r>
    <w:r>
      <w:rPr>
        <w:rStyle w:val="43"/>
      </w:rPr>
      <w:t>2</w:t>
    </w:r>
    <w:r>
      <w:rPr>
        <w:rStyle w:val="43"/>
      </w:rPr>
      <w:fldChar w:fldCharType="end"/>
    </w:r>
  </w:p>
  <w:p>
    <w:pPr>
      <w:pBdr>
        <w:top w:val="single" w:color="auto" w:sz="4" w:space="1"/>
      </w:pBdr>
      <w:ind w:firstLine="0" w:firstLineChars="0"/>
      <w:jc w:val="left"/>
      <w:rPr>
        <w:rFonts w:eastAsia="仿宋_GB2312"/>
        <w:sz w:val="18"/>
        <w:szCs w:val="18"/>
      </w:rPr>
    </w:pPr>
    <w:r>
      <w:rPr>
        <w:rFonts w:hint="eastAsia" w:eastAsia="仿宋_GB2312"/>
        <w:sz w:val="18"/>
        <w:szCs w:val="18"/>
      </w:rPr>
      <w:t>新疆新农丽景环境工程咨询有限公司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sz w:val="21"/>
        <w:szCs w:val="21"/>
      </w:rPr>
    </w:pPr>
    <w:r>
      <w:rPr>
        <w:rFonts w:hint="eastAsia" w:hAnsi="宋体"/>
        <w:sz w:val="21"/>
        <w:szCs w:val="21"/>
      </w:rPr>
      <w:t>5水土保持措施</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hAnsi="宋体"/>
      </w:rPr>
      <w:t>6水土保持监测</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hAnsi="宋体"/>
      </w:rPr>
      <w:t>7水土保持投资估算与效益分析</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hAnsi="宋体"/>
      </w:rPr>
      <w:t>8水土保持管理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spacing w:line="240" w:lineRule="auto"/>
      <w:ind w:firstLine="0" w:firstLineChars="0"/>
      <w:jc w:val="center"/>
      <w:rPr>
        <w:sz w:val="18"/>
        <w:szCs w:val="18"/>
      </w:rPr>
    </w:pPr>
    <w:r>
      <w:rPr>
        <w:rFonts w:hint="eastAsia" w:hAnsi="宋体"/>
        <w:sz w:val="18"/>
        <w:szCs w:val="18"/>
      </w:rPr>
      <w:t>目录</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eastAsia="仿宋_GB2312"/>
      </w:rPr>
    </w:pPr>
    <w:r>
      <w:rPr>
        <w:rFonts w:eastAsia="仿宋_GB2312"/>
      </w:rPr>
      <w:t>1综合说明</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hAnsi="宋体"/>
      </w:rPr>
      <w:t>2项目概况</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hAnsi="宋体"/>
      </w:rPr>
      <w:t>2项目概况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hAnsi="宋体"/>
      </w:rPr>
      <w:t>3项目水土保持评价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hAnsi="宋体"/>
      </w:rPr>
      <w:t>4水土流失分析与预测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274A2B"/>
    <w:multiLevelType w:val="multilevel"/>
    <w:tmpl w:val="39274A2B"/>
    <w:lvl w:ilvl="0" w:tentative="0">
      <w:start w:val="1"/>
      <w:numFmt w:val="decimal"/>
      <w:pStyle w:val="140"/>
      <w:lvlText w:val="%1"/>
      <w:lvlJc w:val="left"/>
      <w:pPr>
        <w:tabs>
          <w:tab w:val="left" w:pos="432"/>
        </w:tabs>
        <w:ind w:left="0" w:firstLine="0"/>
      </w:pPr>
      <w:rPr>
        <w:rFonts w:hint="eastAsia" w:eastAsia="仿宋_GB2312" w:cs="Times New Roman"/>
        <w:sz w:val="32"/>
        <w:szCs w:val="32"/>
      </w:rPr>
    </w:lvl>
    <w:lvl w:ilvl="1" w:tentative="0">
      <w:start w:val="1"/>
      <w:numFmt w:val="decimal"/>
      <w:lvlText w:val="%1.%2"/>
      <w:lvlJc w:val="left"/>
      <w:pPr>
        <w:tabs>
          <w:tab w:val="left" w:pos="1002"/>
        </w:tabs>
        <w:ind w:left="1002" w:hanging="576"/>
      </w:pPr>
      <w:rPr>
        <w:rFonts w:hint="eastAsia" w:cs="Times New Roman"/>
      </w:rPr>
    </w:lvl>
    <w:lvl w:ilvl="2" w:tentative="0">
      <w:start w:val="1"/>
      <w:numFmt w:val="decimal"/>
      <w:lvlText w:val="%1.%2.%3"/>
      <w:lvlJc w:val="left"/>
      <w:pPr>
        <w:tabs>
          <w:tab w:val="left" w:pos="720"/>
        </w:tabs>
        <w:ind w:left="720" w:hanging="720"/>
      </w:pPr>
      <w:rPr>
        <w:rFonts w:hint="eastAsia" w:ascii="Times New Roman" w:hAnsi="Times New Roman" w:cs="Times New Roman"/>
        <w:b/>
        <w:bCs w:val="0"/>
        <w:i w:val="0"/>
        <w:iCs w:val="0"/>
        <w:caps w:val="0"/>
        <w:smallCaps w:val="0"/>
        <w:strike w:val="0"/>
        <w:dstrike w:val="0"/>
        <w:vanish w:val="0"/>
        <w:color w:val="000000"/>
        <w:spacing w:val="0"/>
        <w:kern w:val="0"/>
        <w:position w:val="0"/>
        <w:u w:val="none"/>
        <w:vertAlign w:val="baseline"/>
      </w:rPr>
    </w:lvl>
    <w:lvl w:ilvl="3" w:tentative="0">
      <w:start w:val="1"/>
      <w:numFmt w:val="decimal"/>
      <w:pStyle w:val="5"/>
      <w:lvlText w:val="%1.%2.%3.%4"/>
      <w:lvlJc w:val="left"/>
      <w:pPr>
        <w:tabs>
          <w:tab w:val="left" w:pos="864"/>
        </w:tabs>
        <w:ind w:left="0" w:firstLine="0"/>
      </w:pPr>
      <w:rPr>
        <w:rFonts w:hint="eastAsia" w:ascii="Times New Roman" w:hAnsi="Times New Roman" w:cs="Times New Roman"/>
        <w:b/>
        <w:bCs w:val="0"/>
        <w:i w:val="0"/>
        <w:iCs w:val="0"/>
        <w:caps w:val="0"/>
        <w:smallCaps w:val="0"/>
        <w:strike w:val="0"/>
        <w:dstrike w:val="0"/>
        <w:snapToGrid w:val="0"/>
        <w:color w:val="000000"/>
        <w:spacing w:val="0"/>
        <w:w w:val="0"/>
        <w:kern w:val="0"/>
        <w:position w:val="0"/>
        <w:szCs w:val="16"/>
        <w:u w:val="none"/>
        <w:lang w:val="de-DE"/>
      </w:rPr>
    </w:lvl>
    <w:lvl w:ilvl="4" w:tentative="0">
      <w:start w:val="1"/>
      <w:numFmt w:val="decimal"/>
      <w:lvlText w:val="(%5)"/>
      <w:lvlJc w:val="left"/>
      <w:pPr>
        <w:ind w:left="750" w:hanging="750"/>
      </w:pPr>
      <w:rPr>
        <w:rFonts w:hint="default"/>
      </w:rPr>
    </w:lvl>
    <w:lvl w:ilvl="5" w:tentative="0">
      <w:start w:val="1"/>
      <w:numFmt w:val="decimal"/>
      <w:lvlText w:val="%1.%2.%3.%4.%5.%6"/>
      <w:lvlJc w:val="left"/>
      <w:pPr>
        <w:tabs>
          <w:tab w:val="left" w:pos="1152"/>
        </w:tabs>
        <w:ind w:left="1152" w:hanging="1152"/>
      </w:pPr>
      <w:rPr>
        <w:rFonts w:hint="eastAsia" w:cs="Times New Roman"/>
      </w:rPr>
    </w:lvl>
    <w:lvl w:ilvl="6" w:tentative="0">
      <w:start w:val="1"/>
      <w:numFmt w:val="decimal"/>
      <w:lvlText w:val="%1.%2.%3.%4.%5.%6.%7"/>
      <w:lvlJc w:val="left"/>
      <w:pPr>
        <w:tabs>
          <w:tab w:val="left" w:pos="1296"/>
        </w:tabs>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4"/>
        </w:tabs>
        <w:ind w:left="1584" w:hanging="1584"/>
      </w:pPr>
      <w:rPr>
        <w:rFonts w:hint="eastAsia" w:cs="Times New Roman"/>
      </w:rPr>
    </w:lvl>
  </w:abstractNum>
  <w:abstractNum w:abstractNumId="1">
    <w:nsid w:val="7C5B0F61"/>
    <w:multiLevelType w:val="multilevel"/>
    <w:tmpl w:val="7C5B0F61"/>
    <w:lvl w:ilvl="0" w:tentative="0">
      <w:start w:val="1"/>
      <w:numFmt w:val="decimal"/>
      <w:suff w:val="space"/>
      <w:lvlText w:val="%1"/>
      <w:lvlJc w:val="left"/>
      <w:pPr>
        <w:ind w:left="432" w:hanging="432"/>
      </w:pPr>
      <w:rPr>
        <w:rFonts w:hint="default" w:ascii="Times New Roman" w:hAnsi="Times New Roman" w:cs="Times New Roman"/>
      </w:rPr>
    </w:lvl>
    <w:lvl w:ilvl="1" w:tentative="0">
      <w:start w:val="1"/>
      <w:numFmt w:val="decimal"/>
      <w:suff w:val="space"/>
      <w:lvlText w:val="%1.%2"/>
      <w:lvlJc w:val="left"/>
      <w:pPr>
        <w:ind w:left="576" w:hanging="576"/>
      </w:pPr>
      <w:rPr>
        <w:rFonts w:hint="default" w:ascii="Times New Roman" w:hAnsi="Times New Roman" w:cs="Times New Roman"/>
      </w:rPr>
    </w:lvl>
    <w:lvl w:ilvl="2" w:tentative="0">
      <w:start w:val="1"/>
      <w:numFmt w:val="decimal"/>
      <w:suff w:val="space"/>
      <w:lvlText w:val="%1.%2.%3"/>
      <w:lvlJc w:val="left"/>
      <w:pPr>
        <w:ind w:left="720" w:hanging="720"/>
      </w:pPr>
      <w:rPr>
        <w:rFonts w:hint="default" w:ascii="Times New Roman" w:hAnsi="Times New Roman" w:eastAsia="宋体" w:cs="Times New Roman"/>
      </w:rPr>
    </w:lvl>
    <w:lvl w:ilvl="3" w:tentative="0">
      <w:start w:val="1"/>
      <w:numFmt w:val="decimal"/>
      <w:lvlText w:val="%1.%2.%3.%4"/>
      <w:lvlJc w:val="left"/>
      <w:pPr>
        <w:ind w:left="864" w:hanging="864"/>
      </w:pPr>
      <w:rPr>
        <w:rFonts w:hint="default" w:ascii="Times New Roman" w:hAnsi="Times New Roman" w:cs="Times New Roman"/>
      </w:rPr>
    </w:lvl>
    <w:lvl w:ilvl="4" w:tentative="0">
      <w:start w:val="1"/>
      <w:numFmt w:val="decimal"/>
      <w:pStyle w:val="6"/>
      <w:lvlText w:val="%1.%2.%3.%4.%5"/>
      <w:lvlJc w:val="left"/>
      <w:pPr>
        <w:ind w:left="1008" w:hanging="1008"/>
      </w:pPr>
      <w:rPr>
        <w:rFonts w:hint="eastAsia" w:cs="Times New Roman"/>
      </w:rPr>
    </w:lvl>
    <w:lvl w:ilvl="5" w:tentative="0">
      <w:start w:val="1"/>
      <w:numFmt w:val="decimal"/>
      <w:pStyle w:val="7"/>
      <w:lvlText w:val="%1.%2.%3.%4.%5.%6"/>
      <w:lvlJc w:val="left"/>
      <w:pPr>
        <w:ind w:left="1152" w:hanging="1152"/>
      </w:pPr>
      <w:rPr>
        <w:rFonts w:hint="eastAsia" w:cs="Times New Roman"/>
      </w:rPr>
    </w:lvl>
    <w:lvl w:ilvl="6" w:tentative="0">
      <w:start w:val="1"/>
      <w:numFmt w:val="decimal"/>
      <w:pStyle w:val="8"/>
      <w:lvlText w:val="%1.%2.%3.%4.%5.%6.%7"/>
      <w:lvlJc w:val="left"/>
      <w:pPr>
        <w:ind w:left="1296" w:hanging="1296"/>
      </w:pPr>
      <w:rPr>
        <w:rFonts w:hint="eastAsia" w:cs="Times New Roman"/>
      </w:rPr>
    </w:lvl>
    <w:lvl w:ilvl="7" w:tentative="0">
      <w:start w:val="1"/>
      <w:numFmt w:val="decimal"/>
      <w:pStyle w:val="9"/>
      <w:lvlText w:val="%1.%2.%3.%4.%5.%6.%7.%8"/>
      <w:lvlJc w:val="left"/>
      <w:pPr>
        <w:ind w:left="1440" w:hanging="1440"/>
      </w:pPr>
      <w:rPr>
        <w:rFonts w:hint="eastAsia" w:cs="Times New Roman"/>
      </w:rPr>
    </w:lvl>
    <w:lvl w:ilvl="8" w:tentative="0">
      <w:start w:val="1"/>
      <w:numFmt w:val="decimal"/>
      <w:pStyle w:val="10"/>
      <w:lvlText w:val="%1.%2.%3.%4.%5.%6.%7.%8.%9"/>
      <w:lvlJc w:val="left"/>
      <w:pPr>
        <w:ind w:left="1584" w:hanging="1584"/>
      </w:pPr>
      <w:rPr>
        <w:rFonts w:hint="eastAsia"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bordersDoNotSurroundHeader w:val="1"/>
  <w:bordersDoNotSurroundFooter w:val="1"/>
  <w:hideSpellingErrors/>
  <w:hideGrammaticalErrors/>
  <w:documentProtection w:enforcement="0"/>
  <w:defaultTabStop w:val="0"/>
  <w:autoHyphenation/>
  <w:hyphenationZone w:val="142"/>
  <w:drawingGridHorizontalSpacing w:val="120"/>
  <w:drawingGridVerticalSpacing w:val="163"/>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264F73"/>
    <w:rsid w:val="0000050D"/>
    <w:rsid w:val="000005D5"/>
    <w:rsid w:val="000008FE"/>
    <w:rsid w:val="00000D9B"/>
    <w:rsid w:val="00000DD0"/>
    <w:rsid w:val="00001D0A"/>
    <w:rsid w:val="0000229E"/>
    <w:rsid w:val="000025FF"/>
    <w:rsid w:val="00003394"/>
    <w:rsid w:val="00003979"/>
    <w:rsid w:val="00003C0E"/>
    <w:rsid w:val="00003F98"/>
    <w:rsid w:val="00004BA3"/>
    <w:rsid w:val="00005A94"/>
    <w:rsid w:val="00005B62"/>
    <w:rsid w:val="00005B6B"/>
    <w:rsid w:val="000062C7"/>
    <w:rsid w:val="000067D8"/>
    <w:rsid w:val="00006D71"/>
    <w:rsid w:val="00006E64"/>
    <w:rsid w:val="00006FB0"/>
    <w:rsid w:val="0001049A"/>
    <w:rsid w:val="000104AB"/>
    <w:rsid w:val="0001070B"/>
    <w:rsid w:val="00010931"/>
    <w:rsid w:val="00010BBB"/>
    <w:rsid w:val="00010F54"/>
    <w:rsid w:val="000111E5"/>
    <w:rsid w:val="00011434"/>
    <w:rsid w:val="00011CF3"/>
    <w:rsid w:val="00011D2C"/>
    <w:rsid w:val="00011FEA"/>
    <w:rsid w:val="0001212F"/>
    <w:rsid w:val="000123E1"/>
    <w:rsid w:val="00012682"/>
    <w:rsid w:val="0001271E"/>
    <w:rsid w:val="0001273A"/>
    <w:rsid w:val="00012B80"/>
    <w:rsid w:val="00012CB6"/>
    <w:rsid w:val="00012D53"/>
    <w:rsid w:val="00013010"/>
    <w:rsid w:val="000130BA"/>
    <w:rsid w:val="000130BF"/>
    <w:rsid w:val="0001312C"/>
    <w:rsid w:val="00013900"/>
    <w:rsid w:val="0001486E"/>
    <w:rsid w:val="0001549F"/>
    <w:rsid w:val="00015892"/>
    <w:rsid w:val="00015AA1"/>
    <w:rsid w:val="00015AED"/>
    <w:rsid w:val="00015F73"/>
    <w:rsid w:val="00016943"/>
    <w:rsid w:val="00016F79"/>
    <w:rsid w:val="00016FB7"/>
    <w:rsid w:val="000176DF"/>
    <w:rsid w:val="00017E8C"/>
    <w:rsid w:val="0002008A"/>
    <w:rsid w:val="0002029F"/>
    <w:rsid w:val="00020998"/>
    <w:rsid w:val="00021B6F"/>
    <w:rsid w:val="00021C23"/>
    <w:rsid w:val="00022072"/>
    <w:rsid w:val="000223BF"/>
    <w:rsid w:val="000231E1"/>
    <w:rsid w:val="0002323A"/>
    <w:rsid w:val="00023DAA"/>
    <w:rsid w:val="00023EEE"/>
    <w:rsid w:val="00024177"/>
    <w:rsid w:val="00024826"/>
    <w:rsid w:val="000250CF"/>
    <w:rsid w:val="00025A9C"/>
    <w:rsid w:val="00025ABA"/>
    <w:rsid w:val="00025B26"/>
    <w:rsid w:val="00025C5C"/>
    <w:rsid w:val="00025E60"/>
    <w:rsid w:val="00026428"/>
    <w:rsid w:val="000269A9"/>
    <w:rsid w:val="00026C49"/>
    <w:rsid w:val="00026DD8"/>
    <w:rsid w:val="00026F25"/>
    <w:rsid w:val="00027832"/>
    <w:rsid w:val="00027C9D"/>
    <w:rsid w:val="000302A8"/>
    <w:rsid w:val="0003058C"/>
    <w:rsid w:val="00030FC7"/>
    <w:rsid w:val="00031111"/>
    <w:rsid w:val="000316BE"/>
    <w:rsid w:val="00031C56"/>
    <w:rsid w:val="00031DE7"/>
    <w:rsid w:val="0003285F"/>
    <w:rsid w:val="00033662"/>
    <w:rsid w:val="00033D05"/>
    <w:rsid w:val="00034A6A"/>
    <w:rsid w:val="00034D57"/>
    <w:rsid w:val="000352BA"/>
    <w:rsid w:val="000359F8"/>
    <w:rsid w:val="00035EF7"/>
    <w:rsid w:val="00036794"/>
    <w:rsid w:val="000367A4"/>
    <w:rsid w:val="00036AFC"/>
    <w:rsid w:val="00036B60"/>
    <w:rsid w:val="00036CB3"/>
    <w:rsid w:val="00036E7F"/>
    <w:rsid w:val="0003749F"/>
    <w:rsid w:val="0004044C"/>
    <w:rsid w:val="000404D0"/>
    <w:rsid w:val="00040B9B"/>
    <w:rsid w:val="00041585"/>
    <w:rsid w:val="00041697"/>
    <w:rsid w:val="0004184A"/>
    <w:rsid w:val="00041A48"/>
    <w:rsid w:val="00041F15"/>
    <w:rsid w:val="0004285A"/>
    <w:rsid w:val="000434F0"/>
    <w:rsid w:val="00043715"/>
    <w:rsid w:val="00043E3A"/>
    <w:rsid w:val="000442E4"/>
    <w:rsid w:val="0004450C"/>
    <w:rsid w:val="0004497A"/>
    <w:rsid w:val="00044A6D"/>
    <w:rsid w:val="00044AA9"/>
    <w:rsid w:val="00044B0E"/>
    <w:rsid w:val="00044B97"/>
    <w:rsid w:val="0004543F"/>
    <w:rsid w:val="0004652F"/>
    <w:rsid w:val="000465B8"/>
    <w:rsid w:val="00046844"/>
    <w:rsid w:val="0004723E"/>
    <w:rsid w:val="000506F0"/>
    <w:rsid w:val="00050915"/>
    <w:rsid w:val="000512CD"/>
    <w:rsid w:val="00051AEC"/>
    <w:rsid w:val="00052503"/>
    <w:rsid w:val="00052BC0"/>
    <w:rsid w:val="00053757"/>
    <w:rsid w:val="0005395B"/>
    <w:rsid w:val="00054490"/>
    <w:rsid w:val="00054879"/>
    <w:rsid w:val="00054A96"/>
    <w:rsid w:val="00054F8C"/>
    <w:rsid w:val="0005547E"/>
    <w:rsid w:val="00055E4F"/>
    <w:rsid w:val="00055FBA"/>
    <w:rsid w:val="00055FD4"/>
    <w:rsid w:val="00056AAD"/>
    <w:rsid w:val="00056BDA"/>
    <w:rsid w:val="00056E7C"/>
    <w:rsid w:val="0005735F"/>
    <w:rsid w:val="000576A8"/>
    <w:rsid w:val="0006007A"/>
    <w:rsid w:val="00060E6A"/>
    <w:rsid w:val="00062409"/>
    <w:rsid w:val="00062425"/>
    <w:rsid w:val="00062654"/>
    <w:rsid w:val="00062811"/>
    <w:rsid w:val="000632D5"/>
    <w:rsid w:val="000634C6"/>
    <w:rsid w:val="00063E32"/>
    <w:rsid w:val="00063E7D"/>
    <w:rsid w:val="0006423A"/>
    <w:rsid w:val="00064887"/>
    <w:rsid w:val="0006503F"/>
    <w:rsid w:val="00065B59"/>
    <w:rsid w:val="00065C24"/>
    <w:rsid w:val="00066006"/>
    <w:rsid w:val="000662F9"/>
    <w:rsid w:val="000662FD"/>
    <w:rsid w:val="0006712C"/>
    <w:rsid w:val="00067269"/>
    <w:rsid w:val="00067DE0"/>
    <w:rsid w:val="000700A5"/>
    <w:rsid w:val="000704B3"/>
    <w:rsid w:val="00070FB5"/>
    <w:rsid w:val="00071627"/>
    <w:rsid w:val="00071657"/>
    <w:rsid w:val="00072418"/>
    <w:rsid w:val="00072870"/>
    <w:rsid w:val="00073286"/>
    <w:rsid w:val="000732D1"/>
    <w:rsid w:val="00073B5B"/>
    <w:rsid w:val="00073D5C"/>
    <w:rsid w:val="00074051"/>
    <w:rsid w:val="00074A29"/>
    <w:rsid w:val="00074CF3"/>
    <w:rsid w:val="00075288"/>
    <w:rsid w:val="000756FC"/>
    <w:rsid w:val="000764A5"/>
    <w:rsid w:val="0007675C"/>
    <w:rsid w:val="00076AC9"/>
    <w:rsid w:val="00077445"/>
    <w:rsid w:val="000805E4"/>
    <w:rsid w:val="00081944"/>
    <w:rsid w:val="00081C65"/>
    <w:rsid w:val="00081DE6"/>
    <w:rsid w:val="000824EA"/>
    <w:rsid w:val="0008251B"/>
    <w:rsid w:val="000827EA"/>
    <w:rsid w:val="00082CB6"/>
    <w:rsid w:val="00083049"/>
    <w:rsid w:val="0008325D"/>
    <w:rsid w:val="000834EC"/>
    <w:rsid w:val="0008387F"/>
    <w:rsid w:val="00084437"/>
    <w:rsid w:val="00085212"/>
    <w:rsid w:val="0008548E"/>
    <w:rsid w:val="00085D28"/>
    <w:rsid w:val="00085FB5"/>
    <w:rsid w:val="00086003"/>
    <w:rsid w:val="00086B2C"/>
    <w:rsid w:val="00087359"/>
    <w:rsid w:val="000877C4"/>
    <w:rsid w:val="00087D75"/>
    <w:rsid w:val="000908DB"/>
    <w:rsid w:val="00090A3E"/>
    <w:rsid w:val="00090AD1"/>
    <w:rsid w:val="00090F2B"/>
    <w:rsid w:val="00090FD3"/>
    <w:rsid w:val="00091249"/>
    <w:rsid w:val="000916E3"/>
    <w:rsid w:val="00091941"/>
    <w:rsid w:val="00091D29"/>
    <w:rsid w:val="00091E11"/>
    <w:rsid w:val="00091FD2"/>
    <w:rsid w:val="000929AA"/>
    <w:rsid w:val="000931E6"/>
    <w:rsid w:val="00093D54"/>
    <w:rsid w:val="00093E8A"/>
    <w:rsid w:val="0009403D"/>
    <w:rsid w:val="00094500"/>
    <w:rsid w:val="00094CDD"/>
    <w:rsid w:val="00094D9F"/>
    <w:rsid w:val="0009549A"/>
    <w:rsid w:val="000954E6"/>
    <w:rsid w:val="000957DC"/>
    <w:rsid w:val="00095806"/>
    <w:rsid w:val="00096552"/>
    <w:rsid w:val="00096C89"/>
    <w:rsid w:val="00096DBB"/>
    <w:rsid w:val="00096E36"/>
    <w:rsid w:val="00097198"/>
    <w:rsid w:val="00097298"/>
    <w:rsid w:val="0009795F"/>
    <w:rsid w:val="00097A61"/>
    <w:rsid w:val="000A01F8"/>
    <w:rsid w:val="000A0A7B"/>
    <w:rsid w:val="000A13BD"/>
    <w:rsid w:val="000A171F"/>
    <w:rsid w:val="000A172C"/>
    <w:rsid w:val="000A1957"/>
    <w:rsid w:val="000A195C"/>
    <w:rsid w:val="000A19B3"/>
    <w:rsid w:val="000A1AB1"/>
    <w:rsid w:val="000A259B"/>
    <w:rsid w:val="000A2995"/>
    <w:rsid w:val="000A2F4B"/>
    <w:rsid w:val="000A3157"/>
    <w:rsid w:val="000A329F"/>
    <w:rsid w:val="000A3662"/>
    <w:rsid w:val="000A3B61"/>
    <w:rsid w:val="000A3E04"/>
    <w:rsid w:val="000A3E5C"/>
    <w:rsid w:val="000A40DA"/>
    <w:rsid w:val="000A41EB"/>
    <w:rsid w:val="000A56D5"/>
    <w:rsid w:val="000A5D2D"/>
    <w:rsid w:val="000A5E23"/>
    <w:rsid w:val="000A6321"/>
    <w:rsid w:val="000A648A"/>
    <w:rsid w:val="000A68B5"/>
    <w:rsid w:val="000A6AF7"/>
    <w:rsid w:val="000A6DEE"/>
    <w:rsid w:val="000A6E8B"/>
    <w:rsid w:val="000A7286"/>
    <w:rsid w:val="000A75FC"/>
    <w:rsid w:val="000A7715"/>
    <w:rsid w:val="000A7A65"/>
    <w:rsid w:val="000B0AE1"/>
    <w:rsid w:val="000B0AEE"/>
    <w:rsid w:val="000B0B64"/>
    <w:rsid w:val="000B0EDD"/>
    <w:rsid w:val="000B1F16"/>
    <w:rsid w:val="000B1F3E"/>
    <w:rsid w:val="000B2F57"/>
    <w:rsid w:val="000B2FCF"/>
    <w:rsid w:val="000B3694"/>
    <w:rsid w:val="000B3BC1"/>
    <w:rsid w:val="000B40FB"/>
    <w:rsid w:val="000B4347"/>
    <w:rsid w:val="000B4B4A"/>
    <w:rsid w:val="000B53C0"/>
    <w:rsid w:val="000B56DB"/>
    <w:rsid w:val="000B61D2"/>
    <w:rsid w:val="000B664B"/>
    <w:rsid w:val="000B6727"/>
    <w:rsid w:val="000B6C92"/>
    <w:rsid w:val="000B6EA0"/>
    <w:rsid w:val="000B7734"/>
    <w:rsid w:val="000B7753"/>
    <w:rsid w:val="000B7E16"/>
    <w:rsid w:val="000B7EC3"/>
    <w:rsid w:val="000C04DA"/>
    <w:rsid w:val="000C05FA"/>
    <w:rsid w:val="000C124E"/>
    <w:rsid w:val="000C18A7"/>
    <w:rsid w:val="000C203C"/>
    <w:rsid w:val="000C2084"/>
    <w:rsid w:val="000C27A1"/>
    <w:rsid w:val="000C3152"/>
    <w:rsid w:val="000C3166"/>
    <w:rsid w:val="000C3249"/>
    <w:rsid w:val="000C337D"/>
    <w:rsid w:val="000C33C8"/>
    <w:rsid w:val="000C4571"/>
    <w:rsid w:val="000C4BC3"/>
    <w:rsid w:val="000C4C38"/>
    <w:rsid w:val="000C4D07"/>
    <w:rsid w:val="000C4DBC"/>
    <w:rsid w:val="000C4F5B"/>
    <w:rsid w:val="000C5394"/>
    <w:rsid w:val="000C573E"/>
    <w:rsid w:val="000C574A"/>
    <w:rsid w:val="000C7018"/>
    <w:rsid w:val="000D026B"/>
    <w:rsid w:val="000D0CA7"/>
    <w:rsid w:val="000D1038"/>
    <w:rsid w:val="000D151A"/>
    <w:rsid w:val="000D1D72"/>
    <w:rsid w:val="000D25ED"/>
    <w:rsid w:val="000D2864"/>
    <w:rsid w:val="000D3022"/>
    <w:rsid w:val="000D30A3"/>
    <w:rsid w:val="000D329A"/>
    <w:rsid w:val="000D3C60"/>
    <w:rsid w:val="000D44E7"/>
    <w:rsid w:val="000D45D3"/>
    <w:rsid w:val="000D473B"/>
    <w:rsid w:val="000D479C"/>
    <w:rsid w:val="000D483A"/>
    <w:rsid w:val="000D4846"/>
    <w:rsid w:val="000D4B1B"/>
    <w:rsid w:val="000D57A2"/>
    <w:rsid w:val="000D5A31"/>
    <w:rsid w:val="000D5BD6"/>
    <w:rsid w:val="000D5BD8"/>
    <w:rsid w:val="000D5C71"/>
    <w:rsid w:val="000D5D43"/>
    <w:rsid w:val="000D6247"/>
    <w:rsid w:val="000D6452"/>
    <w:rsid w:val="000D65CE"/>
    <w:rsid w:val="000D6641"/>
    <w:rsid w:val="000D69FD"/>
    <w:rsid w:val="000D6A1E"/>
    <w:rsid w:val="000D6C49"/>
    <w:rsid w:val="000D6E57"/>
    <w:rsid w:val="000E0237"/>
    <w:rsid w:val="000E0494"/>
    <w:rsid w:val="000E09C0"/>
    <w:rsid w:val="000E1098"/>
    <w:rsid w:val="000E174D"/>
    <w:rsid w:val="000E1F2E"/>
    <w:rsid w:val="000E25D7"/>
    <w:rsid w:val="000E26B8"/>
    <w:rsid w:val="000E2FAD"/>
    <w:rsid w:val="000E35E8"/>
    <w:rsid w:val="000E3713"/>
    <w:rsid w:val="000E3794"/>
    <w:rsid w:val="000E3991"/>
    <w:rsid w:val="000E3E9E"/>
    <w:rsid w:val="000E5A9B"/>
    <w:rsid w:val="000E6141"/>
    <w:rsid w:val="000E6688"/>
    <w:rsid w:val="000E6A36"/>
    <w:rsid w:val="000E6E10"/>
    <w:rsid w:val="000E7894"/>
    <w:rsid w:val="000E7F5F"/>
    <w:rsid w:val="000E7F6D"/>
    <w:rsid w:val="000F036C"/>
    <w:rsid w:val="000F1106"/>
    <w:rsid w:val="000F189D"/>
    <w:rsid w:val="000F212D"/>
    <w:rsid w:val="000F2784"/>
    <w:rsid w:val="000F2CE5"/>
    <w:rsid w:val="000F2F69"/>
    <w:rsid w:val="000F31F4"/>
    <w:rsid w:val="000F4034"/>
    <w:rsid w:val="000F4121"/>
    <w:rsid w:val="000F4CD8"/>
    <w:rsid w:val="000F564D"/>
    <w:rsid w:val="000F576B"/>
    <w:rsid w:val="000F5AA0"/>
    <w:rsid w:val="000F5AEA"/>
    <w:rsid w:val="000F636B"/>
    <w:rsid w:val="000F63A7"/>
    <w:rsid w:val="000F7E98"/>
    <w:rsid w:val="00100107"/>
    <w:rsid w:val="00100136"/>
    <w:rsid w:val="00100643"/>
    <w:rsid w:val="0010150A"/>
    <w:rsid w:val="001015FB"/>
    <w:rsid w:val="00101A9E"/>
    <w:rsid w:val="00101F00"/>
    <w:rsid w:val="001022ED"/>
    <w:rsid w:val="001029E4"/>
    <w:rsid w:val="00102A5C"/>
    <w:rsid w:val="00102A77"/>
    <w:rsid w:val="00102BB0"/>
    <w:rsid w:val="001039D7"/>
    <w:rsid w:val="00103B0F"/>
    <w:rsid w:val="00103B7E"/>
    <w:rsid w:val="00103E1E"/>
    <w:rsid w:val="00104424"/>
    <w:rsid w:val="00104939"/>
    <w:rsid w:val="00105396"/>
    <w:rsid w:val="00105D47"/>
    <w:rsid w:val="00105E8D"/>
    <w:rsid w:val="00105EB2"/>
    <w:rsid w:val="00106380"/>
    <w:rsid w:val="00106E1C"/>
    <w:rsid w:val="00107621"/>
    <w:rsid w:val="001078B4"/>
    <w:rsid w:val="00107984"/>
    <w:rsid w:val="00110607"/>
    <w:rsid w:val="0011082C"/>
    <w:rsid w:val="00110B12"/>
    <w:rsid w:val="00110CD3"/>
    <w:rsid w:val="001112F1"/>
    <w:rsid w:val="001114C8"/>
    <w:rsid w:val="0011175F"/>
    <w:rsid w:val="00111AC9"/>
    <w:rsid w:val="00111B96"/>
    <w:rsid w:val="00112ACF"/>
    <w:rsid w:val="00112F94"/>
    <w:rsid w:val="00113259"/>
    <w:rsid w:val="00113347"/>
    <w:rsid w:val="00113694"/>
    <w:rsid w:val="0011395B"/>
    <w:rsid w:val="0011496B"/>
    <w:rsid w:val="001158FD"/>
    <w:rsid w:val="0011603C"/>
    <w:rsid w:val="00116334"/>
    <w:rsid w:val="001163C9"/>
    <w:rsid w:val="00116FEA"/>
    <w:rsid w:val="00117153"/>
    <w:rsid w:val="00117B7A"/>
    <w:rsid w:val="00117BF2"/>
    <w:rsid w:val="00117F1E"/>
    <w:rsid w:val="0012025E"/>
    <w:rsid w:val="001202C7"/>
    <w:rsid w:val="001209E2"/>
    <w:rsid w:val="0012156E"/>
    <w:rsid w:val="0012181A"/>
    <w:rsid w:val="00121D44"/>
    <w:rsid w:val="00122224"/>
    <w:rsid w:val="00122799"/>
    <w:rsid w:val="0012313D"/>
    <w:rsid w:val="001231C2"/>
    <w:rsid w:val="00123383"/>
    <w:rsid w:val="0012393B"/>
    <w:rsid w:val="00123F85"/>
    <w:rsid w:val="0012413A"/>
    <w:rsid w:val="0012459F"/>
    <w:rsid w:val="00124799"/>
    <w:rsid w:val="0012632E"/>
    <w:rsid w:val="0012654B"/>
    <w:rsid w:val="0012670F"/>
    <w:rsid w:val="00126FF9"/>
    <w:rsid w:val="0012729D"/>
    <w:rsid w:val="00127797"/>
    <w:rsid w:val="00127852"/>
    <w:rsid w:val="0012793E"/>
    <w:rsid w:val="00127970"/>
    <w:rsid w:val="00127CB9"/>
    <w:rsid w:val="0013125C"/>
    <w:rsid w:val="00131417"/>
    <w:rsid w:val="001319B3"/>
    <w:rsid w:val="00131CDC"/>
    <w:rsid w:val="00132B92"/>
    <w:rsid w:val="00133574"/>
    <w:rsid w:val="0013374A"/>
    <w:rsid w:val="001346BE"/>
    <w:rsid w:val="00134752"/>
    <w:rsid w:val="00135584"/>
    <w:rsid w:val="00135B7D"/>
    <w:rsid w:val="0013608A"/>
    <w:rsid w:val="00136376"/>
    <w:rsid w:val="0013695B"/>
    <w:rsid w:val="001405A2"/>
    <w:rsid w:val="0014089A"/>
    <w:rsid w:val="00140925"/>
    <w:rsid w:val="001411F1"/>
    <w:rsid w:val="00141894"/>
    <w:rsid w:val="001418AD"/>
    <w:rsid w:val="001420CA"/>
    <w:rsid w:val="001428C5"/>
    <w:rsid w:val="00142CA2"/>
    <w:rsid w:val="001430D9"/>
    <w:rsid w:val="00143D4D"/>
    <w:rsid w:val="00143E12"/>
    <w:rsid w:val="00143E70"/>
    <w:rsid w:val="00144414"/>
    <w:rsid w:val="00144992"/>
    <w:rsid w:val="00144A0D"/>
    <w:rsid w:val="00144A3C"/>
    <w:rsid w:val="00144EC9"/>
    <w:rsid w:val="00145406"/>
    <w:rsid w:val="0014559C"/>
    <w:rsid w:val="00145805"/>
    <w:rsid w:val="001458EA"/>
    <w:rsid w:val="001463C2"/>
    <w:rsid w:val="001466FF"/>
    <w:rsid w:val="00146875"/>
    <w:rsid w:val="00147429"/>
    <w:rsid w:val="00147EEE"/>
    <w:rsid w:val="00150763"/>
    <w:rsid w:val="001509D7"/>
    <w:rsid w:val="00150EEE"/>
    <w:rsid w:val="001512A5"/>
    <w:rsid w:val="00151F6A"/>
    <w:rsid w:val="001522F4"/>
    <w:rsid w:val="0015236C"/>
    <w:rsid w:val="001527D3"/>
    <w:rsid w:val="00152A27"/>
    <w:rsid w:val="00152B85"/>
    <w:rsid w:val="00153191"/>
    <w:rsid w:val="0015392A"/>
    <w:rsid w:val="00153B73"/>
    <w:rsid w:val="00153F5C"/>
    <w:rsid w:val="00154075"/>
    <w:rsid w:val="001542A8"/>
    <w:rsid w:val="00154BEF"/>
    <w:rsid w:val="00154C68"/>
    <w:rsid w:val="001550A0"/>
    <w:rsid w:val="001555DA"/>
    <w:rsid w:val="00155820"/>
    <w:rsid w:val="00155973"/>
    <w:rsid w:val="00155A7C"/>
    <w:rsid w:val="00155BBE"/>
    <w:rsid w:val="00155D9B"/>
    <w:rsid w:val="00156B07"/>
    <w:rsid w:val="001575AA"/>
    <w:rsid w:val="001577C5"/>
    <w:rsid w:val="00157DD8"/>
    <w:rsid w:val="0016002D"/>
    <w:rsid w:val="0016010F"/>
    <w:rsid w:val="001601FB"/>
    <w:rsid w:val="0016045F"/>
    <w:rsid w:val="00160CA6"/>
    <w:rsid w:val="00160ECB"/>
    <w:rsid w:val="00161611"/>
    <w:rsid w:val="0016211C"/>
    <w:rsid w:val="001622F0"/>
    <w:rsid w:val="00162EE1"/>
    <w:rsid w:val="001631A3"/>
    <w:rsid w:val="0016332F"/>
    <w:rsid w:val="00163538"/>
    <w:rsid w:val="001638BC"/>
    <w:rsid w:val="00163AFE"/>
    <w:rsid w:val="00163E86"/>
    <w:rsid w:val="001642EE"/>
    <w:rsid w:val="00164A0A"/>
    <w:rsid w:val="00165681"/>
    <w:rsid w:val="00165697"/>
    <w:rsid w:val="001659A1"/>
    <w:rsid w:val="00165B15"/>
    <w:rsid w:val="00165E84"/>
    <w:rsid w:val="00166AE7"/>
    <w:rsid w:val="00167FB7"/>
    <w:rsid w:val="001700D6"/>
    <w:rsid w:val="001705F3"/>
    <w:rsid w:val="00170C54"/>
    <w:rsid w:val="00170E13"/>
    <w:rsid w:val="00170FD4"/>
    <w:rsid w:val="00172AEF"/>
    <w:rsid w:val="00172D14"/>
    <w:rsid w:val="00173B59"/>
    <w:rsid w:val="00173D02"/>
    <w:rsid w:val="00173D9E"/>
    <w:rsid w:val="00174010"/>
    <w:rsid w:val="00174F04"/>
    <w:rsid w:val="0017653E"/>
    <w:rsid w:val="00176772"/>
    <w:rsid w:val="00176853"/>
    <w:rsid w:val="001768BA"/>
    <w:rsid w:val="00176E23"/>
    <w:rsid w:val="0017768D"/>
    <w:rsid w:val="00177806"/>
    <w:rsid w:val="00177C55"/>
    <w:rsid w:val="00180A87"/>
    <w:rsid w:val="00180FD5"/>
    <w:rsid w:val="001811AD"/>
    <w:rsid w:val="0018151D"/>
    <w:rsid w:val="00181AD9"/>
    <w:rsid w:val="00181B10"/>
    <w:rsid w:val="00181BBD"/>
    <w:rsid w:val="00181DF6"/>
    <w:rsid w:val="00181E9F"/>
    <w:rsid w:val="001820F1"/>
    <w:rsid w:val="00182EF0"/>
    <w:rsid w:val="001837BA"/>
    <w:rsid w:val="00183834"/>
    <w:rsid w:val="00183922"/>
    <w:rsid w:val="001841F2"/>
    <w:rsid w:val="001841F3"/>
    <w:rsid w:val="001842BF"/>
    <w:rsid w:val="001842D1"/>
    <w:rsid w:val="00184566"/>
    <w:rsid w:val="00184DDB"/>
    <w:rsid w:val="001850ED"/>
    <w:rsid w:val="0018582D"/>
    <w:rsid w:val="00186251"/>
    <w:rsid w:val="001867F8"/>
    <w:rsid w:val="001869DB"/>
    <w:rsid w:val="0018712F"/>
    <w:rsid w:val="00190779"/>
    <w:rsid w:val="00190DC8"/>
    <w:rsid w:val="0019122C"/>
    <w:rsid w:val="00191377"/>
    <w:rsid w:val="00191398"/>
    <w:rsid w:val="0019144D"/>
    <w:rsid w:val="00191F9C"/>
    <w:rsid w:val="001921B4"/>
    <w:rsid w:val="001929DF"/>
    <w:rsid w:val="00192F81"/>
    <w:rsid w:val="0019300D"/>
    <w:rsid w:val="00193283"/>
    <w:rsid w:val="00193C24"/>
    <w:rsid w:val="00193C3C"/>
    <w:rsid w:val="00194611"/>
    <w:rsid w:val="00194664"/>
    <w:rsid w:val="001948F6"/>
    <w:rsid w:val="001968BB"/>
    <w:rsid w:val="00196951"/>
    <w:rsid w:val="00196ABC"/>
    <w:rsid w:val="001A0074"/>
    <w:rsid w:val="001A024B"/>
    <w:rsid w:val="001A03BB"/>
    <w:rsid w:val="001A0439"/>
    <w:rsid w:val="001A0AF7"/>
    <w:rsid w:val="001A0CE7"/>
    <w:rsid w:val="001A0E6D"/>
    <w:rsid w:val="001A0FF9"/>
    <w:rsid w:val="001A10D0"/>
    <w:rsid w:val="001A128E"/>
    <w:rsid w:val="001A12C6"/>
    <w:rsid w:val="001A1882"/>
    <w:rsid w:val="001A1E3A"/>
    <w:rsid w:val="001A1F69"/>
    <w:rsid w:val="001A22E5"/>
    <w:rsid w:val="001A2346"/>
    <w:rsid w:val="001A2797"/>
    <w:rsid w:val="001A298F"/>
    <w:rsid w:val="001A3AF0"/>
    <w:rsid w:val="001A4284"/>
    <w:rsid w:val="001A4EC7"/>
    <w:rsid w:val="001A50B7"/>
    <w:rsid w:val="001A52EE"/>
    <w:rsid w:val="001A5658"/>
    <w:rsid w:val="001A58CF"/>
    <w:rsid w:val="001A5AA9"/>
    <w:rsid w:val="001A5EDB"/>
    <w:rsid w:val="001A5EF7"/>
    <w:rsid w:val="001A63E7"/>
    <w:rsid w:val="001A653D"/>
    <w:rsid w:val="001A78A9"/>
    <w:rsid w:val="001A7A3F"/>
    <w:rsid w:val="001A7AB9"/>
    <w:rsid w:val="001A7CF7"/>
    <w:rsid w:val="001A7EBF"/>
    <w:rsid w:val="001B053E"/>
    <w:rsid w:val="001B094B"/>
    <w:rsid w:val="001B0C32"/>
    <w:rsid w:val="001B140F"/>
    <w:rsid w:val="001B154C"/>
    <w:rsid w:val="001B1592"/>
    <w:rsid w:val="001B1C95"/>
    <w:rsid w:val="001B1DC9"/>
    <w:rsid w:val="001B254D"/>
    <w:rsid w:val="001B2EC5"/>
    <w:rsid w:val="001B3413"/>
    <w:rsid w:val="001B3A12"/>
    <w:rsid w:val="001B3A1C"/>
    <w:rsid w:val="001B3BB8"/>
    <w:rsid w:val="001B3FDF"/>
    <w:rsid w:val="001B4185"/>
    <w:rsid w:val="001B48C7"/>
    <w:rsid w:val="001B525F"/>
    <w:rsid w:val="001B6047"/>
    <w:rsid w:val="001B65AE"/>
    <w:rsid w:val="001B669B"/>
    <w:rsid w:val="001B694C"/>
    <w:rsid w:val="001B6F5F"/>
    <w:rsid w:val="001B70F2"/>
    <w:rsid w:val="001B7CB5"/>
    <w:rsid w:val="001B7D08"/>
    <w:rsid w:val="001C0356"/>
    <w:rsid w:val="001C05B2"/>
    <w:rsid w:val="001C217C"/>
    <w:rsid w:val="001C24CE"/>
    <w:rsid w:val="001C2CE7"/>
    <w:rsid w:val="001C3686"/>
    <w:rsid w:val="001C3D1E"/>
    <w:rsid w:val="001C3EF1"/>
    <w:rsid w:val="001C47C9"/>
    <w:rsid w:val="001C4851"/>
    <w:rsid w:val="001C4CAD"/>
    <w:rsid w:val="001C5BB8"/>
    <w:rsid w:val="001C5CB8"/>
    <w:rsid w:val="001C6348"/>
    <w:rsid w:val="001C654F"/>
    <w:rsid w:val="001C690F"/>
    <w:rsid w:val="001C6D68"/>
    <w:rsid w:val="001C76D6"/>
    <w:rsid w:val="001C7806"/>
    <w:rsid w:val="001C7A94"/>
    <w:rsid w:val="001D1761"/>
    <w:rsid w:val="001D2276"/>
    <w:rsid w:val="001D249E"/>
    <w:rsid w:val="001D2696"/>
    <w:rsid w:val="001D29EC"/>
    <w:rsid w:val="001D2BF3"/>
    <w:rsid w:val="001D317D"/>
    <w:rsid w:val="001D37F8"/>
    <w:rsid w:val="001D3A05"/>
    <w:rsid w:val="001D44C0"/>
    <w:rsid w:val="001D4545"/>
    <w:rsid w:val="001D475F"/>
    <w:rsid w:val="001D4844"/>
    <w:rsid w:val="001D4A4F"/>
    <w:rsid w:val="001D4C1C"/>
    <w:rsid w:val="001D50BE"/>
    <w:rsid w:val="001D584B"/>
    <w:rsid w:val="001D5895"/>
    <w:rsid w:val="001D5FA6"/>
    <w:rsid w:val="001D61E1"/>
    <w:rsid w:val="001D6E94"/>
    <w:rsid w:val="001D74A9"/>
    <w:rsid w:val="001D7FCC"/>
    <w:rsid w:val="001E0092"/>
    <w:rsid w:val="001E0112"/>
    <w:rsid w:val="001E06BF"/>
    <w:rsid w:val="001E0A4D"/>
    <w:rsid w:val="001E0B74"/>
    <w:rsid w:val="001E0CDE"/>
    <w:rsid w:val="001E0E3D"/>
    <w:rsid w:val="001E0F48"/>
    <w:rsid w:val="001E150D"/>
    <w:rsid w:val="001E196C"/>
    <w:rsid w:val="001E1CC2"/>
    <w:rsid w:val="001E1E5D"/>
    <w:rsid w:val="001E1EE5"/>
    <w:rsid w:val="001E2115"/>
    <w:rsid w:val="001E2B54"/>
    <w:rsid w:val="001E2F86"/>
    <w:rsid w:val="001E30D2"/>
    <w:rsid w:val="001E3169"/>
    <w:rsid w:val="001E32FF"/>
    <w:rsid w:val="001E3814"/>
    <w:rsid w:val="001E3D79"/>
    <w:rsid w:val="001E48BB"/>
    <w:rsid w:val="001E50D3"/>
    <w:rsid w:val="001E52DF"/>
    <w:rsid w:val="001E54E3"/>
    <w:rsid w:val="001E5690"/>
    <w:rsid w:val="001E59B3"/>
    <w:rsid w:val="001E59C5"/>
    <w:rsid w:val="001E6A2D"/>
    <w:rsid w:val="001E6F32"/>
    <w:rsid w:val="001E6F9E"/>
    <w:rsid w:val="001E7430"/>
    <w:rsid w:val="001E7462"/>
    <w:rsid w:val="001E7718"/>
    <w:rsid w:val="001E7B03"/>
    <w:rsid w:val="001E7D94"/>
    <w:rsid w:val="001E7E20"/>
    <w:rsid w:val="001E7E42"/>
    <w:rsid w:val="001F0485"/>
    <w:rsid w:val="001F0D7A"/>
    <w:rsid w:val="001F21ED"/>
    <w:rsid w:val="001F3391"/>
    <w:rsid w:val="001F37D0"/>
    <w:rsid w:val="001F3FE3"/>
    <w:rsid w:val="001F4106"/>
    <w:rsid w:val="001F4306"/>
    <w:rsid w:val="001F4380"/>
    <w:rsid w:val="001F4EAD"/>
    <w:rsid w:val="001F5439"/>
    <w:rsid w:val="001F57B3"/>
    <w:rsid w:val="001F58DE"/>
    <w:rsid w:val="001F76E2"/>
    <w:rsid w:val="001F7869"/>
    <w:rsid w:val="001F79A3"/>
    <w:rsid w:val="001F7F10"/>
    <w:rsid w:val="0020007A"/>
    <w:rsid w:val="002005F7"/>
    <w:rsid w:val="002006A2"/>
    <w:rsid w:val="002007A5"/>
    <w:rsid w:val="00200AAD"/>
    <w:rsid w:val="00200D91"/>
    <w:rsid w:val="00201760"/>
    <w:rsid w:val="00201D20"/>
    <w:rsid w:val="00201E54"/>
    <w:rsid w:val="00201F9D"/>
    <w:rsid w:val="00201FDA"/>
    <w:rsid w:val="002020A7"/>
    <w:rsid w:val="00202C50"/>
    <w:rsid w:val="00202F8F"/>
    <w:rsid w:val="002046EC"/>
    <w:rsid w:val="002048E6"/>
    <w:rsid w:val="0020512D"/>
    <w:rsid w:val="0020513A"/>
    <w:rsid w:val="00205418"/>
    <w:rsid w:val="00205455"/>
    <w:rsid w:val="0020622D"/>
    <w:rsid w:val="00206265"/>
    <w:rsid w:val="0020660A"/>
    <w:rsid w:val="00206829"/>
    <w:rsid w:val="00206BF6"/>
    <w:rsid w:val="00206CE9"/>
    <w:rsid w:val="00206D05"/>
    <w:rsid w:val="0020710C"/>
    <w:rsid w:val="0020753D"/>
    <w:rsid w:val="00207AC4"/>
    <w:rsid w:val="00207B5D"/>
    <w:rsid w:val="00207F2F"/>
    <w:rsid w:val="002104E3"/>
    <w:rsid w:val="00210B9F"/>
    <w:rsid w:val="00210CC1"/>
    <w:rsid w:val="00211A15"/>
    <w:rsid w:val="00211F1B"/>
    <w:rsid w:val="002124AE"/>
    <w:rsid w:val="00213118"/>
    <w:rsid w:val="00213F6C"/>
    <w:rsid w:val="00214E33"/>
    <w:rsid w:val="00215388"/>
    <w:rsid w:val="002154D6"/>
    <w:rsid w:val="00215B14"/>
    <w:rsid w:val="00215E66"/>
    <w:rsid w:val="00217714"/>
    <w:rsid w:val="002178C8"/>
    <w:rsid w:val="00217F57"/>
    <w:rsid w:val="00220340"/>
    <w:rsid w:val="002204A1"/>
    <w:rsid w:val="00220C31"/>
    <w:rsid w:val="00220CB0"/>
    <w:rsid w:val="00220FBB"/>
    <w:rsid w:val="00221211"/>
    <w:rsid w:val="0022124A"/>
    <w:rsid w:val="002217FA"/>
    <w:rsid w:val="00222169"/>
    <w:rsid w:val="00222382"/>
    <w:rsid w:val="002228A2"/>
    <w:rsid w:val="00222FE1"/>
    <w:rsid w:val="00223265"/>
    <w:rsid w:val="00223537"/>
    <w:rsid w:val="00223A47"/>
    <w:rsid w:val="00223A8D"/>
    <w:rsid w:val="00223D66"/>
    <w:rsid w:val="00223DAF"/>
    <w:rsid w:val="00223FE2"/>
    <w:rsid w:val="002244D9"/>
    <w:rsid w:val="0022461B"/>
    <w:rsid w:val="002246B1"/>
    <w:rsid w:val="00224908"/>
    <w:rsid w:val="00224A15"/>
    <w:rsid w:val="00224EC1"/>
    <w:rsid w:val="002257D5"/>
    <w:rsid w:val="00225864"/>
    <w:rsid w:val="00225E85"/>
    <w:rsid w:val="00225ED2"/>
    <w:rsid w:val="0022621A"/>
    <w:rsid w:val="0022663E"/>
    <w:rsid w:val="0022699A"/>
    <w:rsid w:val="0022783A"/>
    <w:rsid w:val="00230520"/>
    <w:rsid w:val="00230F84"/>
    <w:rsid w:val="00231165"/>
    <w:rsid w:val="002316F6"/>
    <w:rsid w:val="00231866"/>
    <w:rsid w:val="00231C70"/>
    <w:rsid w:val="00231CAB"/>
    <w:rsid w:val="00231DA0"/>
    <w:rsid w:val="0023212F"/>
    <w:rsid w:val="002321BA"/>
    <w:rsid w:val="002321DE"/>
    <w:rsid w:val="00232480"/>
    <w:rsid w:val="002325BA"/>
    <w:rsid w:val="00232B55"/>
    <w:rsid w:val="00232BC6"/>
    <w:rsid w:val="002330B9"/>
    <w:rsid w:val="002338D5"/>
    <w:rsid w:val="00233D3B"/>
    <w:rsid w:val="0023446C"/>
    <w:rsid w:val="00234552"/>
    <w:rsid w:val="002345B0"/>
    <w:rsid w:val="00234869"/>
    <w:rsid w:val="00234876"/>
    <w:rsid w:val="00234A31"/>
    <w:rsid w:val="002353CB"/>
    <w:rsid w:val="00235644"/>
    <w:rsid w:val="00235B77"/>
    <w:rsid w:val="00236160"/>
    <w:rsid w:val="0023622C"/>
    <w:rsid w:val="002365A5"/>
    <w:rsid w:val="00236B75"/>
    <w:rsid w:val="00236DCF"/>
    <w:rsid w:val="00236EF7"/>
    <w:rsid w:val="002379BA"/>
    <w:rsid w:val="00237A87"/>
    <w:rsid w:val="002403BB"/>
    <w:rsid w:val="00240DD3"/>
    <w:rsid w:val="0024180E"/>
    <w:rsid w:val="00241C6E"/>
    <w:rsid w:val="00241CE5"/>
    <w:rsid w:val="00242184"/>
    <w:rsid w:val="002422EB"/>
    <w:rsid w:val="00242EF1"/>
    <w:rsid w:val="00243382"/>
    <w:rsid w:val="0024380C"/>
    <w:rsid w:val="00243A01"/>
    <w:rsid w:val="00243C09"/>
    <w:rsid w:val="00243FD4"/>
    <w:rsid w:val="0024405F"/>
    <w:rsid w:val="0024480E"/>
    <w:rsid w:val="0024593B"/>
    <w:rsid w:val="00245DEC"/>
    <w:rsid w:val="00245E89"/>
    <w:rsid w:val="00246036"/>
    <w:rsid w:val="002460DE"/>
    <w:rsid w:val="002464DE"/>
    <w:rsid w:val="002475D2"/>
    <w:rsid w:val="002479E1"/>
    <w:rsid w:val="00247E9E"/>
    <w:rsid w:val="00250BBE"/>
    <w:rsid w:val="00250BFF"/>
    <w:rsid w:val="00250CFE"/>
    <w:rsid w:val="00250DA8"/>
    <w:rsid w:val="00250EB5"/>
    <w:rsid w:val="00251158"/>
    <w:rsid w:val="00251B44"/>
    <w:rsid w:val="00252C33"/>
    <w:rsid w:val="00253125"/>
    <w:rsid w:val="002533B1"/>
    <w:rsid w:val="002536E6"/>
    <w:rsid w:val="00253E28"/>
    <w:rsid w:val="0025501B"/>
    <w:rsid w:val="0025521A"/>
    <w:rsid w:val="00255C7E"/>
    <w:rsid w:val="00256027"/>
    <w:rsid w:val="002565A4"/>
    <w:rsid w:val="00256D1B"/>
    <w:rsid w:val="00256F19"/>
    <w:rsid w:val="00256FDA"/>
    <w:rsid w:val="002570F7"/>
    <w:rsid w:val="0026192C"/>
    <w:rsid w:val="00261A4C"/>
    <w:rsid w:val="00261F80"/>
    <w:rsid w:val="00262239"/>
    <w:rsid w:val="00262270"/>
    <w:rsid w:val="00262EBF"/>
    <w:rsid w:val="00262ED0"/>
    <w:rsid w:val="002631C3"/>
    <w:rsid w:val="002632B1"/>
    <w:rsid w:val="002637EE"/>
    <w:rsid w:val="00263AEF"/>
    <w:rsid w:val="00264008"/>
    <w:rsid w:val="002645D0"/>
    <w:rsid w:val="002645D9"/>
    <w:rsid w:val="002648BC"/>
    <w:rsid w:val="00264F73"/>
    <w:rsid w:val="00264FB0"/>
    <w:rsid w:val="00265163"/>
    <w:rsid w:val="0026516A"/>
    <w:rsid w:val="002652D7"/>
    <w:rsid w:val="00265E85"/>
    <w:rsid w:val="002662A2"/>
    <w:rsid w:val="00266468"/>
    <w:rsid w:val="00266EAD"/>
    <w:rsid w:val="002670CC"/>
    <w:rsid w:val="002673ED"/>
    <w:rsid w:val="00267E3A"/>
    <w:rsid w:val="00270F65"/>
    <w:rsid w:val="0027150C"/>
    <w:rsid w:val="00271649"/>
    <w:rsid w:val="00271871"/>
    <w:rsid w:val="00271962"/>
    <w:rsid w:val="002719DE"/>
    <w:rsid w:val="00271C2C"/>
    <w:rsid w:val="00271F37"/>
    <w:rsid w:val="00271F57"/>
    <w:rsid w:val="00271FA3"/>
    <w:rsid w:val="002720DB"/>
    <w:rsid w:val="00272103"/>
    <w:rsid w:val="00272441"/>
    <w:rsid w:val="00272545"/>
    <w:rsid w:val="00272F0A"/>
    <w:rsid w:val="002730AC"/>
    <w:rsid w:val="00273E5E"/>
    <w:rsid w:val="00273EA7"/>
    <w:rsid w:val="002743BF"/>
    <w:rsid w:val="00274B35"/>
    <w:rsid w:val="002757F3"/>
    <w:rsid w:val="002759B6"/>
    <w:rsid w:val="0027688A"/>
    <w:rsid w:val="00276B73"/>
    <w:rsid w:val="00277A52"/>
    <w:rsid w:val="00277F12"/>
    <w:rsid w:val="002801DB"/>
    <w:rsid w:val="002807A6"/>
    <w:rsid w:val="00280C47"/>
    <w:rsid w:val="00280DF7"/>
    <w:rsid w:val="0028184C"/>
    <w:rsid w:val="00281906"/>
    <w:rsid w:val="00281A55"/>
    <w:rsid w:val="00281E0A"/>
    <w:rsid w:val="0028206A"/>
    <w:rsid w:val="002823E1"/>
    <w:rsid w:val="00282775"/>
    <w:rsid w:val="00282BA6"/>
    <w:rsid w:val="00282EA5"/>
    <w:rsid w:val="0028320A"/>
    <w:rsid w:val="002838AB"/>
    <w:rsid w:val="00284325"/>
    <w:rsid w:val="00284467"/>
    <w:rsid w:val="00284805"/>
    <w:rsid w:val="00285099"/>
    <w:rsid w:val="00285102"/>
    <w:rsid w:val="002852D7"/>
    <w:rsid w:val="0028557A"/>
    <w:rsid w:val="00285662"/>
    <w:rsid w:val="00285826"/>
    <w:rsid w:val="00285845"/>
    <w:rsid w:val="00285A15"/>
    <w:rsid w:val="00285AEB"/>
    <w:rsid w:val="00285B96"/>
    <w:rsid w:val="00286EAE"/>
    <w:rsid w:val="00287602"/>
    <w:rsid w:val="00287668"/>
    <w:rsid w:val="002900C7"/>
    <w:rsid w:val="002901D1"/>
    <w:rsid w:val="0029067B"/>
    <w:rsid w:val="00291001"/>
    <w:rsid w:val="002912ED"/>
    <w:rsid w:val="00291806"/>
    <w:rsid w:val="00291893"/>
    <w:rsid w:val="00291DF5"/>
    <w:rsid w:val="002925D2"/>
    <w:rsid w:val="00292BA6"/>
    <w:rsid w:val="00292E1B"/>
    <w:rsid w:val="00293384"/>
    <w:rsid w:val="002939ED"/>
    <w:rsid w:val="00293DF8"/>
    <w:rsid w:val="0029413F"/>
    <w:rsid w:val="00294384"/>
    <w:rsid w:val="00294541"/>
    <w:rsid w:val="0029508A"/>
    <w:rsid w:val="002952CF"/>
    <w:rsid w:val="0029535B"/>
    <w:rsid w:val="00295F3A"/>
    <w:rsid w:val="002964B2"/>
    <w:rsid w:val="00296A48"/>
    <w:rsid w:val="00296BC8"/>
    <w:rsid w:val="0029713C"/>
    <w:rsid w:val="0029723D"/>
    <w:rsid w:val="002976CA"/>
    <w:rsid w:val="00297BBD"/>
    <w:rsid w:val="00297D88"/>
    <w:rsid w:val="002A00FD"/>
    <w:rsid w:val="002A03B9"/>
    <w:rsid w:val="002A08BF"/>
    <w:rsid w:val="002A0A6F"/>
    <w:rsid w:val="002A0CD2"/>
    <w:rsid w:val="002A0F70"/>
    <w:rsid w:val="002A1966"/>
    <w:rsid w:val="002A1BA2"/>
    <w:rsid w:val="002A1BB4"/>
    <w:rsid w:val="002A239B"/>
    <w:rsid w:val="002A23E8"/>
    <w:rsid w:val="002A2862"/>
    <w:rsid w:val="002A28D1"/>
    <w:rsid w:val="002A2B7E"/>
    <w:rsid w:val="002A2EAD"/>
    <w:rsid w:val="002A2FC5"/>
    <w:rsid w:val="002A430C"/>
    <w:rsid w:val="002A4E05"/>
    <w:rsid w:val="002A5079"/>
    <w:rsid w:val="002A530A"/>
    <w:rsid w:val="002A5473"/>
    <w:rsid w:val="002A5876"/>
    <w:rsid w:val="002A5FEA"/>
    <w:rsid w:val="002A68B8"/>
    <w:rsid w:val="002A6F03"/>
    <w:rsid w:val="002A755D"/>
    <w:rsid w:val="002A75D9"/>
    <w:rsid w:val="002A770B"/>
    <w:rsid w:val="002A7F31"/>
    <w:rsid w:val="002B032B"/>
    <w:rsid w:val="002B04BA"/>
    <w:rsid w:val="002B0B1B"/>
    <w:rsid w:val="002B0E03"/>
    <w:rsid w:val="002B13C5"/>
    <w:rsid w:val="002B171D"/>
    <w:rsid w:val="002B1E42"/>
    <w:rsid w:val="002B2745"/>
    <w:rsid w:val="002B276E"/>
    <w:rsid w:val="002B2B12"/>
    <w:rsid w:val="002B2D62"/>
    <w:rsid w:val="002B316A"/>
    <w:rsid w:val="002B32B3"/>
    <w:rsid w:val="002B3EAF"/>
    <w:rsid w:val="002B43D5"/>
    <w:rsid w:val="002B47F9"/>
    <w:rsid w:val="002B4D08"/>
    <w:rsid w:val="002B55BB"/>
    <w:rsid w:val="002B5CB8"/>
    <w:rsid w:val="002B607A"/>
    <w:rsid w:val="002B612C"/>
    <w:rsid w:val="002B65BE"/>
    <w:rsid w:val="002B67C4"/>
    <w:rsid w:val="002B7711"/>
    <w:rsid w:val="002B77DA"/>
    <w:rsid w:val="002B7E31"/>
    <w:rsid w:val="002C002F"/>
    <w:rsid w:val="002C0722"/>
    <w:rsid w:val="002C0B85"/>
    <w:rsid w:val="002C0F6E"/>
    <w:rsid w:val="002C10BF"/>
    <w:rsid w:val="002C1571"/>
    <w:rsid w:val="002C1CAF"/>
    <w:rsid w:val="002C2539"/>
    <w:rsid w:val="002C2948"/>
    <w:rsid w:val="002C29BD"/>
    <w:rsid w:val="002C2C3D"/>
    <w:rsid w:val="002C2EC3"/>
    <w:rsid w:val="002C3511"/>
    <w:rsid w:val="002C40D5"/>
    <w:rsid w:val="002C42C4"/>
    <w:rsid w:val="002C4379"/>
    <w:rsid w:val="002C46CF"/>
    <w:rsid w:val="002C49AA"/>
    <w:rsid w:val="002C4C40"/>
    <w:rsid w:val="002C4D50"/>
    <w:rsid w:val="002C53BA"/>
    <w:rsid w:val="002C5C8B"/>
    <w:rsid w:val="002C5D80"/>
    <w:rsid w:val="002C6595"/>
    <w:rsid w:val="002C659B"/>
    <w:rsid w:val="002C67CC"/>
    <w:rsid w:val="002C6875"/>
    <w:rsid w:val="002C6DD5"/>
    <w:rsid w:val="002C7D0A"/>
    <w:rsid w:val="002D0207"/>
    <w:rsid w:val="002D0255"/>
    <w:rsid w:val="002D032D"/>
    <w:rsid w:val="002D067E"/>
    <w:rsid w:val="002D0731"/>
    <w:rsid w:val="002D09B5"/>
    <w:rsid w:val="002D114F"/>
    <w:rsid w:val="002D1BCF"/>
    <w:rsid w:val="002D1F64"/>
    <w:rsid w:val="002D2479"/>
    <w:rsid w:val="002D24D0"/>
    <w:rsid w:val="002D37A8"/>
    <w:rsid w:val="002D390A"/>
    <w:rsid w:val="002D3DF6"/>
    <w:rsid w:val="002D3E76"/>
    <w:rsid w:val="002D42E3"/>
    <w:rsid w:val="002D4FF1"/>
    <w:rsid w:val="002D5518"/>
    <w:rsid w:val="002D617B"/>
    <w:rsid w:val="002D777B"/>
    <w:rsid w:val="002D7A06"/>
    <w:rsid w:val="002E020D"/>
    <w:rsid w:val="002E05DD"/>
    <w:rsid w:val="002E0767"/>
    <w:rsid w:val="002E0900"/>
    <w:rsid w:val="002E0A5D"/>
    <w:rsid w:val="002E0CC3"/>
    <w:rsid w:val="002E0DF5"/>
    <w:rsid w:val="002E10B9"/>
    <w:rsid w:val="002E1160"/>
    <w:rsid w:val="002E1398"/>
    <w:rsid w:val="002E1765"/>
    <w:rsid w:val="002E1C5E"/>
    <w:rsid w:val="002E322B"/>
    <w:rsid w:val="002E38EE"/>
    <w:rsid w:val="002E3FAC"/>
    <w:rsid w:val="002E4041"/>
    <w:rsid w:val="002E40AB"/>
    <w:rsid w:val="002E4696"/>
    <w:rsid w:val="002E475F"/>
    <w:rsid w:val="002E48E5"/>
    <w:rsid w:val="002E4DAF"/>
    <w:rsid w:val="002E5A9F"/>
    <w:rsid w:val="002E5AC9"/>
    <w:rsid w:val="002E5DE6"/>
    <w:rsid w:val="002E5F66"/>
    <w:rsid w:val="002E5FEF"/>
    <w:rsid w:val="002E61CB"/>
    <w:rsid w:val="002E6687"/>
    <w:rsid w:val="002E6705"/>
    <w:rsid w:val="002E6E73"/>
    <w:rsid w:val="002E705D"/>
    <w:rsid w:val="002E72AF"/>
    <w:rsid w:val="002E7461"/>
    <w:rsid w:val="002E760D"/>
    <w:rsid w:val="002E79AD"/>
    <w:rsid w:val="002E7E14"/>
    <w:rsid w:val="002F0283"/>
    <w:rsid w:val="002F08AD"/>
    <w:rsid w:val="002F0BF6"/>
    <w:rsid w:val="002F0E15"/>
    <w:rsid w:val="002F160C"/>
    <w:rsid w:val="002F1CE1"/>
    <w:rsid w:val="002F1E51"/>
    <w:rsid w:val="002F22B7"/>
    <w:rsid w:val="002F24AA"/>
    <w:rsid w:val="002F25FD"/>
    <w:rsid w:val="002F2AE2"/>
    <w:rsid w:val="002F330A"/>
    <w:rsid w:val="002F3497"/>
    <w:rsid w:val="002F3B9E"/>
    <w:rsid w:val="002F438A"/>
    <w:rsid w:val="002F4A0B"/>
    <w:rsid w:val="002F5403"/>
    <w:rsid w:val="002F61C7"/>
    <w:rsid w:val="002F64D9"/>
    <w:rsid w:val="002F69B2"/>
    <w:rsid w:val="002F69FD"/>
    <w:rsid w:val="002F718F"/>
    <w:rsid w:val="002F71C9"/>
    <w:rsid w:val="002F75F4"/>
    <w:rsid w:val="002F77ED"/>
    <w:rsid w:val="002F7F18"/>
    <w:rsid w:val="003000A1"/>
    <w:rsid w:val="00300138"/>
    <w:rsid w:val="003004F7"/>
    <w:rsid w:val="0030088D"/>
    <w:rsid w:val="003008E6"/>
    <w:rsid w:val="00300A3A"/>
    <w:rsid w:val="00300CA4"/>
    <w:rsid w:val="003011D2"/>
    <w:rsid w:val="00302505"/>
    <w:rsid w:val="003027EB"/>
    <w:rsid w:val="00302A97"/>
    <w:rsid w:val="00302DEE"/>
    <w:rsid w:val="00302E6B"/>
    <w:rsid w:val="003037C9"/>
    <w:rsid w:val="003039AB"/>
    <w:rsid w:val="00303D56"/>
    <w:rsid w:val="00303D8F"/>
    <w:rsid w:val="00304D2B"/>
    <w:rsid w:val="003050F1"/>
    <w:rsid w:val="00305B33"/>
    <w:rsid w:val="003062E8"/>
    <w:rsid w:val="003062EA"/>
    <w:rsid w:val="00306781"/>
    <w:rsid w:val="00306BBC"/>
    <w:rsid w:val="00306D76"/>
    <w:rsid w:val="00306E08"/>
    <w:rsid w:val="00306E21"/>
    <w:rsid w:val="00306EBE"/>
    <w:rsid w:val="0030784B"/>
    <w:rsid w:val="00310119"/>
    <w:rsid w:val="0031109C"/>
    <w:rsid w:val="003114EF"/>
    <w:rsid w:val="0031156B"/>
    <w:rsid w:val="00311BA0"/>
    <w:rsid w:val="00312471"/>
    <w:rsid w:val="003127FD"/>
    <w:rsid w:val="00312884"/>
    <w:rsid w:val="00312B1C"/>
    <w:rsid w:val="00312B27"/>
    <w:rsid w:val="00312C84"/>
    <w:rsid w:val="00312D73"/>
    <w:rsid w:val="00312DCB"/>
    <w:rsid w:val="00313022"/>
    <w:rsid w:val="003131CB"/>
    <w:rsid w:val="0031347A"/>
    <w:rsid w:val="0031359E"/>
    <w:rsid w:val="003135B4"/>
    <w:rsid w:val="003138D6"/>
    <w:rsid w:val="00313B02"/>
    <w:rsid w:val="00313B07"/>
    <w:rsid w:val="00313DE0"/>
    <w:rsid w:val="00314318"/>
    <w:rsid w:val="0031450A"/>
    <w:rsid w:val="00314573"/>
    <w:rsid w:val="00314A06"/>
    <w:rsid w:val="00315131"/>
    <w:rsid w:val="003152C3"/>
    <w:rsid w:val="00315309"/>
    <w:rsid w:val="003153A4"/>
    <w:rsid w:val="0031568F"/>
    <w:rsid w:val="003157B2"/>
    <w:rsid w:val="00315813"/>
    <w:rsid w:val="00315C8A"/>
    <w:rsid w:val="00316C07"/>
    <w:rsid w:val="00316E37"/>
    <w:rsid w:val="00317008"/>
    <w:rsid w:val="0031705B"/>
    <w:rsid w:val="003173A7"/>
    <w:rsid w:val="00317B68"/>
    <w:rsid w:val="00317BDF"/>
    <w:rsid w:val="003202F7"/>
    <w:rsid w:val="00320AB0"/>
    <w:rsid w:val="00320DF4"/>
    <w:rsid w:val="003213DA"/>
    <w:rsid w:val="003219B1"/>
    <w:rsid w:val="00321F3A"/>
    <w:rsid w:val="00322963"/>
    <w:rsid w:val="00322CD9"/>
    <w:rsid w:val="00322D5D"/>
    <w:rsid w:val="0032306F"/>
    <w:rsid w:val="0032356E"/>
    <w:rsid w:val="00323688"/>
    <w:rsid w:val="003236C3"/>
    <w:rsid w:val="00323BB9"/>
    <w:rsid w:val="00324117"/>
    <w:rsid w:val="003241DB"/>
    <w:rsid w:val="00324F63"/>
    <w:rsid w:val="00324F76"/>
    <w:rsid w:val="0032534F"/>
    <w:rsid w:val="00325BB0"/>
    <w:rsid w:val="00325C44"/>
    <w:rsid w:val="00325F26"/>
    <w:rsid w:val="00326169"/>
    <w:rsid w:val="00326277"/>
    <w:rsid w:val="00326737"/>
    <w:rsid w:val="00326A79"/>
    <w:rsid w:val="003274FC"/>
    <w:rsid w:val="003275F0"/>
    <w:rsid w:val="0032773C"/>
    <w:rsid w:val="00327994"/>
    <w:rsid w:val="00330346"/>
    <w:rsid w:val="00330BF5"/>
    <w:rsid w:val="00330BFE"/>
    <w:rsid w:val="00330EB6"/>
    <w:rsid w:val="0033138F"/>
    <w:rsid w:val="0033152B"/>
    <w:rsid w:val="003316C7"/>
    <w:rsid w:val="0033183C"/>
    <w:rsid w:val="0033190F"/>
    <w:rsid w:val="00332012"/>
    <w:rsid w:val="003320C8"/>
    <w:rsid w:val="003327F6"/>
    <w:rsid w:val="00332957"/>
    <w:rsid w:val="0033295F"/>
    <w:rsid w:val="00332B7F"/>
    <w:rsid w:val="00332ECB"/>
    <w:rsid w:val="00332EE4"/>
    <w:rsid w:val="0033322C"/>
    <w:rsid w:val="0033328B"/>
    <w:rsid w:val="0033329B"/>
    <w:rsid w:val="0033356F"/>
    <w:rsid w:val="0033366B"/>
    <w:rsid w:val="003336FD"/>
    <w:rsid w:val="00333826"/>
    <w:rsid w:val="003338EB"/>
    <w:rsid w:val="00333E10"/>
    <w:rsid w:val="00334034"/>
    <w:rsid w:val="0033448F"/>
    <w:rsid w:val="0033455D"/>
    <w:rsid w:val="0033534A"/>
    <w:rsid w:val="0033549B"/>
    <w:rsid w:val="00335648"/>
    <w:rsid w:val="00335CB8"/>
    <w:rsid w:val="00336980"/>
    <w:rsid w:val="00336C5B"/>
    <w:rsid w:val="00336F1D"/>
    <w:rsid w:val="00336F44"/>
    <w:rsid w:val="00336FBD"/>
    <w:rsid w:val="0033715F"/>
    <w:rsid w:val="0033748A"/>
    <w:rsid w:val="003375A9"/>
    <w:rsid w:val="00337A60"/>
    <w:rsid w:val="00337F23"/>
    <w:rsid w:val="00340127"/>
    <w:rsid w:val="00340EC8"/>
    <w:rsid w:val="00340F0A"/>
    <w:rsid w:val="003412E4"/>
    <w:rsid w:val="00341423"/>
    <w:rsid w:val="0034214A"/>
    <w:rsid w:val="00342998"/>
    <w:rsid w:val="00342A37"/>
    <w:rsid w:val="00342DFA"/>
    <w:rsid w:val="00343160"/>
    <w:rsid w:val="0034326D"/>
    <w:rsid w:val="0034361E"/>
    <w:rsid w:val="0034372F"/>
    <w:rsid w:val="0034381E"/>
    <w:rsid w:val="00343C88"/>
    <w:rsid w:val="003440C9"/>
    <w:rsid w:val="003442F1"/>
    <w:rsid w:val="003443A1"/>
    <w:rsid w:val="00344883"/>
    <w:rsid w:val="00345342"/>
    <w:rsid w:val="00345849"/>
    <w:rsid w:val="0034627B"/>
    <w:rsid w:val="003464DA"/>
    <w:rsid w:val="00346545"/>
    <w:rsid w:val="0034699D"/>
    <w:rsid w:val="00346A39"/>
    <w:rsid w:val="00346DC9"/>
    <w:rsid w:val="003475E0"/>
    <w:rsid w:val="003477FA"/>
    <w:rsid w:val="0034791B"/>
    <w:rsid w:val="00347A5D"/>
    <w:rsid w:val="00347DD8"/>
    <w:rsid w:val="003503F6"/>
    <w:rsid w:val="003508F7"/>
    <w:rsid w:val="00350D65"/>
    <w:rsid w:val="00350F2F"/>
    <w:rsid w:val="00351480"/>
    <w:rsid w:val="00351522"/>
    <w:rsid w:val="0035185A"/>
    <w:rsid w:val="00351C7C"/>
    <w:rsid w:val="00351E6A"/>
    <w:rsid w:val="00351EA6"/>
    <w:rsid w:val="00352131"/>
    <w:rsid w:val="00352319"/>
    <w:rsid w:val="00352352"/>
    <w:rsid w:val="00352390"/>
    <w:rsid w:val="003528F0"/>
    <w:rsid w:val="00352CE2"/>
    <w:rsid w:val="0035325A"/>
    <w:rsid w:val="0035342C"/>
    <w:rsid w:val="00354183"/>
    <w:rsid w:val="00354799"/>
    <w:rsid w:val="00354919"/>
    <w:rsid w:val="00354FDF"/>
    <w:rsid w:val="00355C24"/>
    <w:rsid w:val="00355EB1"/>
    <w:rsid w:val="003560E0"/>
    <w:rsid w:val="00356615"/>
    <w:rsid w:val="003567A0"/>
    <w:rsid w:val="003567C5"/>
    <w:rsid w:val="00356DF2"/>
    <w:rsid w:val="003576FD"/>
    <w:rsid w:val="00357A45"/>
    <w:rsid w:val="00357F31"/>
    <w:rsid w:val="003602E0"/>
    <w:rsid w:val="0036037E"/>
    <w:rsid w:val="0036079A"/>
    <w:rsid w:val="00360840"/>
    <w:rsid w:val="00360B9B"/>
    <w:rsid w:val="00360C6E"/>
    <w:rsid w:val="00360F5F"/>
    <w:rsid w:val="0036186D"/>
    <w:rsid w:val="00361A60"/>
    <w:rsid w:val="00361C2B"/>
    <w:rsid w:val="0036224E"/>
    <w:rsid w:val="003622A2"/>
    <w:rsid w:val="00362336"/>
    <w:rsid w:val="00362D34"/>
    <w:rsid w:val="00362D4A"/>
    <w:rsid w:val="00363027"/>
    <w:rsid w:val="00363524"/>
    <w:rsid w:val="00363BCB"/>
    <w:rsid w:val="003641D8"/>
    <w:rsid w:val="00364D8A"/>
    <w:rsid w:val="00365147"/>
    <w:rsid w:val="003653ED"/>
    <w:rsid w:val="00365470"/>
    <w:rsid w:val="00365592"/>
    <w:rsid w:val="00365A4B"/>
    <w:rsid w:val="00365C91"/>
    <w:rsid w:val="003667AA"/>
    <w:rsid w:val="00366AB1"/>
    <w:rsid w:val="00366AD0"/>
    <w:rsid w:val="00366E82"/>
    <w:rsid w:val="00367821"/>
    <w:rsid w:val="0037094D"/>
    <w:rsid w:val="003711AC"/>
    <w:rsid w:val="003711ED"/>
    <w:rsid w:val="003715BB"/>
    <w:rsid w:val="003715E2"/>
    <w:rsid w:val="00372393"/>
    <w:rsid w:val="00372429"/>
    <w:rsid w:val="00372A85"/>
    <w:rsid w:val="00372D34"/>
    <w:rsid w:val="00372FC7"/>
    <w:rsid w:val="003731DC"/>
    <w:rsid w:val="0037320C"/>
    <w:rsid w:val="003733B7"/>
    <w:rsid w:val="00373581"/>
    <w:rsid w:val="00373750"/>
    <w:rsid w:val="003738D4"/>
    <w:rsid w:val="003739F3"/>
    <w:rsid w:val="003748A9"/>
    <w:rsid w:val="00374A4D"/>
    <w:rsid w:val="00374D4E"/>
    <w:rsid w:val="00374DEF"/>
    <w:rsid w:val="00375046"/>
    <w:rsid w:val="00375DB1"/>
    <w:rsid w:val="003765E0"/>
    <w:rsid w:val="00376E7D"/>
    <w:rsid w:val="00376FFE"/>
    <w:rsid w:val="00377240"/>
    <w:rsid w:val="00377390"/>
    <w:rsid w:val="003775A3"/>
    <w:rsid w:val="0037780C"/>
    <w:rsid w:val="0037785D"/>
    <w:rsid w:val="00377B94"/>
    <w:rsid w:val="00380518"/>
    <w:rsid w:val="00380628"/>
    <w:rsid w:val="003807A8"/>
    <w:rsid w:val="003807B2"/>
    <w:rsid w:val="00380AC7"/>
    <w:rsid w:val="00381304"/>
    <w:rsid w:val="00381784"/>
    <w:rsid w:val="00382385"/>
    <w:rsid w:val="00382A97"/>
    <w:rsid w:val="00382B97"/>
    <w:rsid w:val="00383272"/>
    <w:rsid w:val="00383459"/>
    <w:rsid w:val="0038397F"/>
    <w:rsid w:val="00383CB8"/>
    <w:rsid w:val="00383F3D"/>
    <w:rsid w:val="00384822"/>
    <w:rsid w:val="00384953"/>
    <w:rsid w:val="00384A48"/>
    <w:rsid w:val="00384B5D"/>
    <w:rsid w:val="00384D3E"/>
    <w:rsid w:val="003855A4"/>
    <w:rsid w:val="00385A37"/>
    <w:rsid w:val="003861A2"/>
    <w:rsid w:val="003861A3"/>
    <w:rsid w:val="00386306"/>
    <w:rsid w:val="00386BBB"/>
    <w:rsid w:val="00386D46"/>
    <w:rsid w:val="00386DCD"/>
    <w:rsid w:val="00387BFB"/>
    <w:rsid w:val="00387E84"/>
    <w:rsid w:val="00387F09"/>
    <w:rsid w:val="00390760"/>
    <w:rsid w:val="00390BA4"/>
    <w:rsid w:val="00390C46"/>
    <w:rsid w:val="00390E7E"/>
    <w:rsid w:val="00391706"/>
    <w:rsid w:val="00391A71"/>
    <w:rsid w:val="00391DE3"/>
    <w:rsid w:val="00392821"/>
    <w:rsid w:val="003929E4"/>
    <w:rsid w:val="00393503"/>
    <w:rsid w:val="00393570"/>
    <w:rsid w:val="00393615"/>
    <w:rsid w:val="0039370A"/>
    <w:rsid w:val="0039388F"/>
    <w:rsid w:val="00393EF4"/>
    <w:rsid w:val="00394400"/>
    <w:rsid w:val="00394A12"/>
    <w:rsid w:val="00395033"/>
    <w:rsid w:val="00396E24"/>
    <w:rsid w:val="00396F7A"/>
    <w:rsid w:val="00397353"/>
    <w:rsid w:val="00397CEF"/>
    <w:rsid w:val="003A07C6"/>
    <w:rsid w:val="003A091A"/>
    <w:rsid w:val="003A097D"/>
    <w:rsid w:val="003A09BF"/>
    <w:rsid w:val="003A0EAF"/>
    <w:rsid w:val="003A0FBD"/>
    <w:rsid w:val="003A1662"/>
    <w:rsid w:val="003A1913"/>
    <w:rsid w:val="003A19ED"/>
    <w:rsid w:val="003A1CDA"/>
    <w:rsid w:val="003A1E10"/>
    <w:rsid w:val="003A27C9"/>
    <w:rsid w:val="003A2A80"/>
    <w:rsid w:val="003A2F8B"/>
    <w:rsid w:val="003A31AE"/>
    <w:rsid w:val="003A34B4"/>
    <w:rsid w:val="003A3938"/>
    <w:rsid w:val="003A4D51"/>
    <w:rsid w:val="003A4D6A"/>
    <w:rsid w:val="003A4D8B"/>
    <w:rsid w:val="003A4E32"/>
    <w:rsid w:val="003A514B"/>
    <w:rsid w:val="003A5156"/>
    <w:rsid w:val="003A5194"/>
    <w:rsid w:val="003A56D1"/>
    <w:rsid w:val="003A5FBF"/>
    <w:rsid w:val="003A69A0"/>
    <w:rsid w:val="003A6B6E"/>
    <w:rsid w:val="003A6CCC"/>
    <w:rsid w:val="003A70A8"/>
    <w:rsid w:val="003A71B9"/>
    <w:rsid w:val="003A7470"/>
    <w:rsid w:val="003A7AC7"/>
    <w:rsid w:val="003A7AEB"/>
    <w:rsid w:val="003A7DE8"/>
    <w:rsid w:val="003A7F19"/>
    <w:rsid w:val="003B02EE"/>
    <w:rsid w:val="003B0551"/>
    <w:rsid w:val="003B0611"/>
    <w:rsid w:val="003B0A70"/>
    <w:rsid w:val="003B0B72"/>
    <w:rsid w:val="003B1211"/>
    <w:rsid w:val="003B130A"/>
    <w:rsid w:val="003B2252"/>
    <w:rsid w:val="003B2411"/>
    <w:rsid w:val="003B256C"/>
    <w:rsid w:val="003B2839"/>
    <w:rsid w:val="003B28EA"/>
    <w:rsid w:val="003B2C18"/>
    <w:rsid w:val="003B2FE5"/>
    <w:rsid w:val="003B37E7"/>
    <w:rsid w:val="003B3FF9"/>
    <w:rsid w:val="003B4023"/>
    <w:rsid w:val="003B4AA5"/>
    <w:rsid w:val="003B4B60"/>
    <w:rsid w:val="003B4C66"/>
    <w:rsid w:val="003B4F86"/>
    <w:rsid w:val="003B527E"/>
    <w:rsid w:val="003B543C"/>
    <w:rsid w:val="003B552D"/>
    <w:rsid w:val="003B55DF"/>
    <w:rsid w:val="003B5920"/>
    <w:rsid w:val="003B5B74"/>
    <w:rsid w:val="003B5D82"/>
    <w:rsid w:val="003B5DAA"/>
    <w:rsid w:val="003B5EAF"/>
    <w:rsid w:val="003B5FD9"/>
    <w:rsid w:val="003B61E9"/>
    <w:rsid w:val="003B669F"/>
    <w:rsid w:val="003B6AFA"/>
    <w:rsid w:val="003B6FE5"/>
    <w:rsid w:val="003B79DA"/>
    <w:rsid w:val="003C0957"/>
    <w:rsid w:val="003C0BE2"/>
    <w:rsid w:val="003C1254"/>
    <w:rsid w:val="003C1540"/>
    <w:rsid w:val="003C15D9"/>
    <w:rsid w:val="003C15FA"/>
    <w:rsid w:val="003C160E"/>
    <w:rsid w:val="003C16FC"/>
    <w:rsid w:val="003C1736"/>
    <w:rsid w:val="003C18BB"/>
    <w:rsid w:val="003C2003"/>
    <w:rsid w:val="003C2B73"/>
    <w:rsid w:val="003C350F"/>
    <w:rsid w:val="003C37D9"/>
    <w:rsid w:val="003C37DB"/>
    <w:rsid w:val="003C3B3A"/>
    <w:rsid w:val="003C3B5F"/>
    <w:rsid w:val="003C3DAC"/>
    <w:rsid w:val="003C3EF5"/>
    <w:rsid w:val="003C428A"/>
    <w:rsid w:val="003C4C2B"/>
    <w:rsid w:val="003C4D82"/>
    <w:rsid w:val="003C5643"/>
    <w:rsid w:val="003C586F"/>
    <w:rsid w:val="003C6CEF"/>
    <w:rsid w:val="003C71E4"/>
    <w:rsid w:val="003C7740"/>
    <w:rsid w:val="003C7B2F"/>
    <w:rsid w:val="003D0028"/>
    <w:rsid w:val="003D0462"/>
    <w:rsid w:val="003D09AB"/>
    <w:rsid w:val="003D0C9A"/>
    <w:rsid w:val="003D13FA"/>
    <w:rsid w:val="003D1907"/>
    <w:rsid w:val="003D1B95"/>
    <w:rsid w:val="003D1E5E"/>
    <w:rsid w:val="003D2622"/>
    <w:rsid w:val="003D3706"/>
    <w:rsid w:val="003D370C"/>
    <w:rsid w:val="003D39EA"/>
    <w:rsid w:val="003D3B9E"/>
    <w:rsid w:val="003D3C62"/>
    <w:rsid w:val="003D3E04"/>
    <w:rsid w:val="003D4460"/>
    <w:rsid w:val="003D4D4E"/>
    <w:rsid w:val="003D51B2"/>
    <w:rsid w:val="003D53CE"/>
    <w:rsid w:val="003D55CF"/>
    <w:rsid w:val="003D5CD1"/>
    <w:rsid w:val="003D6239"/>
    <w:rsid w:val="003D6AFF"/>
    <w:rsid w:val="003D6F6A"/>
    <w:rsid w:val="003D703C"/>
    <w:rsid w:val="003D7377"/>
    <w:rsid w:val="003D7819"/>
    <w:rsid w:val="003D7ABF"/>
    <w:rsid w:val="003D7ACC"/>
    <w:rsid w:val="003D7F0C"/>
    <w:rsid w:val="003E0A24"/>
    <w:rsid w:val="003E1038"/>
    <w:rsid w:val="003E192F"/>
    <w:rsid w:val="003E22C9"/>
    <w:rsid w:val="003E2AD3"/>
    <w:rsid w:val="003E32DF"/>
    <w:rsid w:val="003E4471"/>
    <w:rsid w:val="003E46B8"/>
    <w:rsid w:val="003E4851"/>
    <w:rsid w:val="003E4926"/>
    <w:rsid w:val="003E4986"/>
    <w:rsid w:val="003E4A0D"/>
    <w:rsid w:val="003E4D3A"/>
    <w:rsid w:val="003E511C"/>
    <w:rsid w:val="003E5424"/>
    <w:rsid w:val="003E5C85"/>
    <w:rsid w:val="003E5E41"/>
    <w:rsid w:val="003E6114"/>
    <w:rsid w:val="003E670F"/>
    <w:rsid w:val="003E6764"/>
    <w:rsid w:val="003E6DA6"/>
    <w:rsid w:val="003E7200"/>
    <w:rsid w:val="003E75C4"/>
    <w:rsid w:val="003E7A2F"/>
    <w:rsid w:val="003E7B2C"/>
    <w:rsid w:val="003F099B"/>
    <w:rsid w:val="003F0FA3"/>
    <w:rsid w:val="003F12DE"/>
    <w:rsid w:val="003F1B79"/>
    <w:rsid w:val="003F20FA"/>
    <w:rsid w:val="003F2190"/>
    <w:rsid w:val="003F2AA8"/>
    <w:rsid w:val="003F2B11"/>
    <w:rsid w:val="003F3153"/>
    <w:rsid w:val="003F3536"/>
    <w:rsid w:val="003F35F4"/>
    <w:rsid w:val="003F36C5"/>
    <w:rsid w:val="003F379C"/>
    <w:rsid w:val="003F3C1A"/>
    <w:rsid w:val="003F3D6C"/>
    <w:rsid w:val="003F465F"/>
    <w:rsid w:val="003F48A1"/>
    <w:rsid w:val="003F4CC5"/>
    <w:rsid w:val="003F511C"/>
    <w:rsid w:val="003F571C"/>
    <w:rsid w:val="003F5D6D"/>
    <w:rsid w:val="003F5E91"/>
    <w:rsid w:val="003F6AF3"/>
    <w:rsid w:val="003F6FF8"/>
    <w:rsid w:val="003F738F"/>
    <w:rsid w:val="003F765A"/>
    <w:rsid w:val="003F7891"/>
    <w:rsid w:val="003F792F"/>
    <w:rsid w:val="003F7A33"/>
    <w:rsid w:val="00400096"/>
    <w:rsid w:val="00400106"/>
    <w:rsid w:val="004003F8"/>
    <w:rsid w:val="00400FC1"/>
    <w:rsid w:val="004017D2"/>
    <w:rsid w:val="00401BFB"/>
    <w:rsid w:val="00401C69"/>
    <w:rsid w:val="004020EF"/>
    <w:rsid w:val="00402266"/>
    <w:rsid w:val="00402500"/>
    <w:rsid w:val="00402549"/>
    <w:rsid w:val="0040270D"/>
    <w:rsid w:val="00402894"/>
    <w:rsid w:val="00402A44"/>
    <w:rsid w:val="00402E07"/>
    <w:rsid w:val="00403193"/>
    <w:rsid w:val="00403EE9"/>
    <w:rsid w:val="00404409"/>
    <w:rsid w:val="00404466"/>
    <w:rsid w:val="00404548"/>
    <w:rsid w:val="00405047"/>
    <w:rsid w:val="00405308"/>
    <w:rsid w:val="004057A3"/>
    <w:rsid w:val="00405862"/>
    <w:rsid w:val="00405C87"/>
    <w:rsid w:val="004069C1"/>
    <w:rsid w:val="004069C3"/>
    <w:rsid w:val="0040798A"/>
    <w:rsid w:val="00407C7C"/>
    <w:rsid w:val="0041086B"/>
    <w:rsid w:val="00410E4E"/>
    <w:rsid w:val="0041124C"/>
    <w:rsid w:val="0041144D"/>
    <w:rsid w:val="00411935"/>
    <w:rsid w:val="0041195D"/>
    <w:rsid w:val="00411E88"/>
    <w:rsid w:val="00411F00"/>
    <w:rsid w:val="004120FD"/>
    <w:rsid w:val="0041260A"/>
    <w:rsid w:val="00412637"/>
    <w:rsid w:val="00412837"/>
    <w:rsid w:val="00412AD3"/>
    <w:rsid w:val="004138B9"/>
    <w:rsid w:val="004138EC"/>
    <w:rsid w:val="00413E9C"/>
    <w:rsid w:val="00414744"/>
    <w:rsid w:val="00415437"/>
    <w:rsid w:val="004156B6"/>
    <w:rsid w:val="00415889"/>
    <w:rsid w:val="00415A91"/>
    <w:rsid w:val="00415CD2"/>
    <w:rsid w:val="00415DD1"/>
    <w:rsid w:val="004170F0"/>
    <w:rsid w:val="00417453"/>
    <w:rsid w:val="00417F35"/>
    <w:rsid w:val="00420A83"/>
    <w:rsid w:val="00421BC6"/>
    <w:rsid w:val="004222F2"/>
    <w:rsid w:val="00422A79"/>
    <w:rsid w:val="00422ADC"/>
    <w:rsid w:val="00422C96"/>
    <w:rsid w:val="00422F52"/>
    <w:rsid w:val="0042327A"/>
    <w:rsid w:val="004235EE"/>
    <w:rsid w:val="004239AF"/>
    <w:rsid w:val="00424835"/>
    <w:rsid w:val="004250F0"/>
    <w:rsid w:val="004252D4"/>
    <w:rsid w:val="00425572"/>
    <w:rsid w:val="004255AD"/>
    <w:rsid w:val="004266B0"/>
    <w:rsid w:val="004268C1"/>
    <w:rsid w:val="00426AAF"/>
    <w:rsid w:val="00427006"/>
    <w:rsid w:val="004271D7"/>
    <w:rsid w:val="0042747B"/>
    <w:rsid w:val="00427762"/>
    <w:rsid w:val="00430ABB"/>
    <w:rsid w:val="00430D40"/>
    <w:rsid w:val="00430EB3"/>
    <w:rsid w:val="00432213"/>
    <w:rsid w:val="0043280C"/>
    <w:rsid w:val="00433913"/>
    <w:rsid w:val="00433AB7"/>
    <w:rsid w:val="00434ADF"/>
    <w:rsid w:val="00434AF4"/>
    <w:rsid w:val="00434AFE"/>
    <w:rsid w:val="00435098"/>
    <w:rsid w:val="0043574E"/>
    <w:rsid w:val="00435896"/>
    <w:rsid w:val="00435B34"/>
    <w:rsid w:val="00435B44"/>
    <w:rsid w:val="004361D8"/>
    <w:rsid w:val="00436541"/>
    <w:rsid w:val="004365F9"/>
    <w:rsid w:val="004367A3"/>
    <w:rsid w:val="004367CC"/>
    <w:rsid w:val="004368B8"/>
    <w:rsid w:val="00436C67"/>
    <w:rsid w:val="00436D0B"/>
    <w:rsid w:val="004375D5"/>
    <w:rsid w:val="00437798"/>
    <w:rsid w:val="004377BA"/>
    <w:rsid w:val="00437E54"/>
    <w:rsid w:val="00437EC3"/>
    <w:rsid w:val="00441EDB"/>
    <w:rsid w:val="004425F3"/>
    <w:rsid w:val="00442756"/>
    <w:rsid w:val="004427FA"/>
    <w:rsid w:val="00442936"/>
    <w:rsid w:val="00442C07"/>
    <w:rsid w:val="00442D9C"/>
    <w:rsid w:val="00442DA9"/>
    <w:rsid w:val="00442F70"/>
    <w:rsid w:val="004432E3"/>
    <w:rsid w:val="00443935"/>
    <w:rsid w:val="00443CA8"/>
    <w:rsid w:val="00443DB4"/>
    <w:rsid w:val="00443EBD"/>
    <w:rsid w:val="00443EBE"/>
    <w:rsid w:val="004440ED"/>
    <w:rsid w:val="004447B6"/>
    <w:rsid w:val="004448BF"/>
    <w:rsid w:val="004448F0"/>
    <w:rsid w:val="00444AF7"/>
    <w:rsid w:val="00444E94"/>
    <w:rsid w:val="004452C0"/>
    <w:rsid w:val="0044580D"/>
    <w:rsid w:val="00446883"/>
    <w:rsid w:val="00446A15"/>
    <w:rsid w:val="00446CB2"/>
    <w:rsid w:val="00446E2E"/>
    <w:rsid w:val="00447F4C"/>
    <w:rsid w:val="0045006C"/>
    <w:rsid w:val="0045013A"/>
    <w:rsid w:val="004503AE"/>
    <w:rsid w:val="00450BD1"/>
    <w:rsid w:val="00450CDC"/>
    <w:rsid w:val="0045110C"/>
    <w:rsid w:val="00451623"/>
    <w:rsid w:val="004518A8"/>
    <w:rsid w:val="00452564"/>
    <w:rsid w:val="004529E8"/>
    <w:rsid w:val="00452EEF"/>
    <w:rsid w:val="00453B8A"/>
    <w:rsid w:val="004542EE"/>
    <w:rsid w:val="0045437E"/>
    <w:rsid w:val="004546F4"/>
    <w:rsid w:val="00454D5A"/>
    <w:rsid w:val="00454EBF"/>
    <w:rsid w:val="0045574C"/>
    <w:rsid w:val="00455E5D"/>
    <w:rsid w:val="00455F17"/>
    <w:rsid w:val="00455FB2"/>
    <w:rsid w:val="00456390"/>
    <w:rsid w:val="00456470"/>
    <w:rsid w:val="00456E2B"/>
    <w:rsid w:val="00456E94"/>
    <w:rsid w:val="004578CF"/>
    <w:rsid w:val="00457E6B"/>
    <w:rsid w:val="00457EAA"/>
    <w:rsid w:val="004605B8"/>
    <w:rsid w:val="004606BA"/>
    <w:rsid w:val="00460B59"/>
    <w:rsid w:val="00460F14"/>
    <w:rsid w:val="00460F48"/>
    <w:rsid w:val="004610E9"/>
    <w:rsid w:val="00461160"/>
    <w:rsid w:val="004612C6"/>
    <w:rsid w:val="004618B1"/>
    <w:rsid w:val="00461A4C"/>
    <w:rsid w:val="00461D53"/>
    <w:rsid w:val="0046244B"/>
    <w:rsid w:val="00462931"/>
    <w:rsid w:val="00463987"/>
    <w:rsid w:val="00463CF3"/>
    <w:rsid w:val="004643DC"/>
    <w:rsid w:val="004645F1"/>
    <w:rsid w:val="00464EF1"/>
    <w:rsid w:val="00464F1B"/>
    <w:rsid w:val="0046514A"/>
    <w:rsid w:val="004658B1"/>
    <w:rsid w:val="00465B85"/>
    <w:rsid w:val="004669B9"/>
    <w:rsid w:val="00467162"/>
    <w:rsid w:val="004675CD"/>
    <w:rsid w:val="00467AC7"/>
    <w:rsid w:val="00467C70"/>
    <w:rsid w:val="004703DE"/>
    <w:rsid w:val="00470782"/>
    <w:rsid w:val="00470B23"/>
    <w:rsid w:val="00470F56"/>
    <w:rsid w:val="00471783"/>
    <w:rsid w:val="0047178A"/>
    <w:rsid w:val="00471F6A"/>
    <w:rsid w:val="004728A3"/>
    <w:rsid w:val="00472B41"/>
    <w:rsid w:val="00472D77"/>
    <w:rsid w:val="00473468"/>
    <w:rsid w:val="004738C8"/>
    <w:rsid w:val="004742A4"/>
    <w:rsid w:val="00474A51"/>
    <w:rsid w:val="00475446"/>
    <w:rsid w:val="004759DC"/>
    <w:rsid w:val="00475ABB"/>
    <w:rsid w:val="00475E78"/>
    <w:rsid w:val="00475E9A"/>
    <w:rsid w:val="004766A2"/>
    <w:rsid w:val="004770F6"/>
    <w:rsid w:val="0047746D"/>
    <w:rsid w:val="00477B5C"/>
    <w:rsid w:val="004800F4"/>
    <w:rsid w:val="00480644"/>
    <w:rsid w:val="004808C6"/>
    <w:rsid w:val="00480E99"/>
    <w:rsid w:val="00480F77"/>
    <w:rsid w:val="00481009"/>
    <w:rsid w:val="004829CF"/>
    <w:rsid w:val="00482CCF"/>
    <w:rsid w:val="00482F8F"/>
    <w:rsid w:val="004833EF"/>
    <w:rsid w:val="004834B5"/>
    <w:rsid w:val="00483528"/>
    <w:rsid w:val="0048371A"/>
    <w:rsid w:val="00483AA1"/>
    <w:rsid w:val="0048431E"/>
    <w:rsid w:val="0048490C"/>
    <w:rsid w:val="004854D6"/>
    <w:rsid w:val="00485F5D"/>
    <w:rsid w:val="00486766"/>
    <w:rsid w:val="00486BD4"/>
    <w:rsid w:val="004877A4"/>
    <w:rsid w:val="00487DAC"/>
    <w:rsid w:val="004902A4"/>
    <w:rsid w:val="004903E6"/>
    <w:rsid w:val="0049049D"/>
    <w:rsid w:val="004904FA"/>
    <w:rsid w:val="00491532"/>
    <w:rsid w:val="004917B5"/>
    <w:rsid w:val="00491814"/>
    <w:rsid w:val="00491A36"/>
    <w:rsid w:val="00492464"/>
    <w:rsid w:val="00492723"/>
    <w:rsid w:val="004929AD"/>
    <w:rsid w:val="00492F89"/>
    <w:rsid w:val="00493817"/>
    <w:rsid w:val="0049395E"/>
    <w:rsid w:val="00493ABB"/>
    <w:rsid w:val="00493ECA"/>
    <w:rsid w:val="00493FE7"/>
    <w:rsid w:val="00494936"/>
    <w:rsid w:val="00494B02"/>
    <w:rsid w:val="00494F9B"/>
    <w:rsid w:val="004950E7"/>
    <w:rsid w:val="0049562E"/>
    <w:rsid w:val="004962F0"/>
    <w:rsid w:val="00496328"/>
    <w:rsid w:val="00496AFE"/>
    <w:rsid w:val="00496CB5"/>
    <w:rsid w:val="00497B0C"/>
    <w:rsid w:val="00497E18"/>
    <w:rsid w:val="004A0842"/>
    <w:rsid w:val="004A0DC7"/>
    <w:rsid w:val="004A208E"/>
    <w:rsid w:val="004A296D"/>
    <w:rsid w:val="004A2FDD"/>
    <w:rsid w:val="004A3265"/>
    <w:rsid w:val="004A3337"/>
    <w:rsid w:val="004A37BF"/>
    <w:rsid w:val="004A3FB3"/>
    <w:rsid w:val="004A43F3"/>
    <w:rsid w:val="004A565A"/>
    <w:rsid w:val="004A56B5"/>
    <w:rsid w:val="004A57B5"/>
    <w:rsid w:val="004A5942"/>
    <w:rsid w:val="004A5BDF"/>
    <w:rsid w:val="004A5E21"/>
    <w:rsid w:val="004A6946"/>
    <w:rsid w:val="004A6948"/>
    <w:rsid w:val="004A6AD3"/>
    <w:rsid w:val="004A72A2"/>
    <w:rsid w:val="004A72C7"/>
    <w:rsid w:val="004A733A"/>
    <w:rsid w:val="004A73B3"/>
    <w:rsid w:val="004A7781"/>
    <w:rsid w:val="004A79F9"/>
    <w:rsid w:val="004A7A90"/>
    <w:rsid w:val="004A7CCD"/>
    <w:rsid w:val="004B0709"/>
    <w:rsid w:val="004B1038"/>
    <w:rsid w:val="004B1449"/>
    <w:rsid w:val="004B1535"/>
    <w:rsid w:val="004B1F7A"/>
    <w:rsid w:val="004B289A"/>
    <w:rsid w:val="004B29C0"/>
    <w:rsid w:val="004B2C85"/>
    <w:rsid w:val="004B2E13"/>
    <w:rsid w:val="004B3305"/>
    <w:rsid w:val="004B3542"/>
    <w:rsid w:val="004B3890"/>
    <w:rsid w:val="004B3C0B"/>
    <w:rsid w:val="004B3EAD"/>
    <w:rsid w:val="004B3F77"/>
    <w:rsid w:val="004B45B1"/>
    <w:rsid w:val="004B47E9"/>
    <w:rsid w:val="004B4C72"/>
    <w:rsid w:val="004B5414"/>
    <w:rsid w:val="004B5D2A"/>
    <w:rsid w:val="004B61DC"/>
    <w:rsid w:val="004B63A9"/>
    <w:rsid w:val="004B6479"/>
    <w:rsid w:val="004B66B1"/>
    <w:rsid w:val="004B677F"/>
    <w:rsid w:val="004B71EA"/>
    <w:rsid w:val="004B738A"/>
    <w:rsid w:val="004B762B"/>
    <w:rsid w:val="004C00D2"/>
    <w:rsid w:val="004C0313"/>
    <w:rsid w:val="004C031C"/>
    <w:rsid w:val="004C09C5"/>
    <w:rsid w:val="004C0A4F"/>
    <w:rsid w:val="004C15F3"/>
    <w:rsid w:val="004C27E5"/>
    <w:rsid w:val="004C2805"/>
    <w:rsid w:val="004C2A02"/>
    <w:rsid w:val="004C2B38"/>
    <w:rsid w:val="004C2BFE"/>
    <w:rsid w:val="004C370C"/>
    <w:rsid w:val="004C3A89"/>
    <w:rsid w:val="004C4370"/>
    <w:rsid w:val="004C4A35"/>
    <w:rsid w:val="004C5527"/>
    <w:rsid w:val="004C571A"/>
    <w:rsid w:val="004C5C0F"/>
    <w:rsid w:val="004C5CBB"/>
    <w:rsid w:val="004C622E"/>
    <w:rsid w:val="004C6357"/>
    <w:rsid w:val="004C6CC3"/>
    <w:rsid w:val="004C6CCE"/>
    <w:rsid w:val="004C6E0B"/>
    <w:rsid w:val="004C6EA7"/>
    <w:rsid w:val="004C70FD"/>
    <w:rsid w:val="004C73D7"/>
    <w:rsid w:val="004C747F"/>
    <w:rsid w:val="004C79EF"/>
    <w:rsid w:val="004C7B15"/>
    <w:rsid w:val="004C7CCC"/>
    <w:rsid w:val="004D023E"/>
    <w:rsid w:val="004D042A"/>
    <w:rsid w:val="004D1A66"/>
    <w:rsid w:val="004D2444"/>
    <w:rsid w:val="004D44A4"/>
    <w:rsid w:val="004D4703"/>
    <w:rsid w:val="004D4CEC"/>
    <w:rsid w:val="004D4E84"/>
    <w:rsid w:val="004D51AF"/>
    <w:rsid w:val="004D52F9"/>
    <w:rsid w:val="004D5300"/>
    <w:rsid w:val="004D5858"/>
    <w:rsid w:val="004D684C"/>
    <w:rsid w:val="004D727F"/>
    <w:rsid w:val="004D731A"/>
    <w:rsid w:val="004D781A"/>
    <w:rsid w:val="004D7BE4"/>
    <w:rsid w:val="004D7D03"/>
    <w:rsid w:val="004E0DE0"/>
    <w:rsid w:val="004E0F33"/>
    <w:rsid w:val="004E0F9A"/>
    <w:rsid w:val="004E103D"/>
    <w:rsid w:val="004E10D1"/>
    <w:rsid w:val="004E10FE"/>
    <w:rsid w:val="004E18A4"/>
    <w:rsid w:val="004E194D"/>
    <w:rsid w:val="004E2336"/>
    <w:rsid w:val="004E2852"/>
    <w:rsid w:val="004E306A"/>
    <w:rsid w:val="004E35F5"/>
    <w:rsid w:val="004E3CE7"/>
    <w:rsid w:val="004E4B5E"/>
    <w:rsid w:val="004E5245"/>
    <w:rsid w:val="004E5640"/>
    <w:rsid w:val="004E5B29"/>
    <w:rsid w:val="004E5C14"/>
    <w:rsid w:val="004E6073"/>
    <w:rsid w:val="004E638A"/>
    <w:rsid w:val="004E7D4E"/>
    <w:rsid w:val="004F05F4"/>
    <w:rsid w:val="004F07A2"/>
    <w:rsid w:val="004F10D5"/>
    <w:rsid w:val="004F12E9"/>
    <w:rsid w:val="004F180B"/>
    <w:rsid w:val="004F1B58"/>
    <w:rsid w:val="004F1DDA"/>
    <w:rsid w:val="004F2085"/>
    <w:rsid w:val="004F218F"/>
    <w:rsid w:val="004F24BB"/>
    <w:rsid w:val="004F2D09"/>
    <w:rsid w:val="004F316F"/>
    <w:rsid w:val="004F337E"/>
    <w:rsid w:val="004F3F3C"/>
    <w:rsid w:val="004F6345"/>
    <w:rsid w:val="004F657A"/>
    <w:rsid w:val="004F65D5"/>
    <w:rsid w:val="004F665A"/>
    <w:rsid w:val="004F6C0F"/>
    <w:rsid w:val="004F6DBC"/>
    <w:rsid w:val="004F6EF0"/>
    <w:rsid w:val="004F738C"/>
    <w:rsid w:val="004F7593"/>
    <w:rsid w:val="004F7ACC"/>
    <w:rsid w:val="00500FEE"/>
    <w:rsid w:val="0050149C"/>
    <w:rsid w:val="0050170C"/>
    <w:rsid w:val="00501996"/>
    <w:rsid w:val="005022C0"/>
    <w:rsid w:val="00502EBF"/>
    <w:rsid w:val="00502F43"/>
    <w:rsid w:val="00503097"/>
    <w:rsid w:val="005035CB"/>
    <w:rsid w:val="00503B80"/>
    <w:rsid w:val="00503D13"/>
    <w:rsid w:val="005049CB"/>
    <w:rsid w:val="00505328"/>
    <w:rsid w:val="0050567B"/>
    <w:rsid w:val="00505727"/>
    <w:rsid w:val="00505757"/>
    <w:rsid w:val="005058C1"/>
    <w:rsid w:val="00505A55"/>
    <w:rsid w:val="00506153"/>
    <w:rsid w:val="00507313"/>
    <w:rsid w:val="00507520"/>
    <w:rsid w:val="005079B1"/>
    <w:rsid w:val="005105BB"/>
    <w:rsid w:val="00510FD0"/>
    <w:rsid w:val="00511355"/>
    <w:rsid w:val="005113CF"/>
    <w:rsid w:val="005114C0"/>
    <w:rsid w:val="00511F0B"/>
    <w:rsid w:val="005120F2"/>
    <w:rsid w:val="00512676"/>
    <w:rsid w:val="00512BFC"/>
    <w:rsid w:val="00512DA6"/>
    <w:rsid w:val="0051306A"/>
    <w:rsid w:val="00513315"/>
    <w:rsid w:val="00513B8E"/>
    <w:rsid w:val="005141A5"/>
    <w:rsid w:val="00514341"/>
    <w:rsid w:val="005144DD"/>
    <w:rsid w:val="00514A37"/>
    <w:rsid w:val="00514B71"/>
    <w:rsid w:val="00515190"/>
    <w:rsid w:val="0051539A"/>
    <w:rsid w:val="00515663"/>
    <w:rsid w:val="00515BA8"/>
    <w:rsid w:val="00516B5F"/>
    <w:rsid w:val="00516F8B"/>
    <w:rsid w:val="0051731A"/>
    <w:rsid w:val="00517439"/>
    <w:rsid w:val="0051768F"/>
    <w:rsid w:val="005176A8"/>
    <w:rsid w:val="00517796"/>
    <w:rsid w:val="005177FD"/>
    <w:rsid w:val="00517979"/>
    <w:rsid w:val="00520169"/>
    <w:rsid w:val="005204DF"/>
    <w:rsid w:val="00520D56"/>
    <w:rsid w:val="005210D8"/>
    <w:rsid w:val="005210D9"/>
    <w:rsid w:val="00521575"/>
    <w:rsid w:val="00521772"/>
    <w:rsid w:val="00521D84"/>
    <w:rsid w:val="00521E81"/>
    <w:rsid w:val="0052231D"/>
    <w:rsid w:val="00522888"/>
    <w:rsid w:val="00522ABC"/>
    <w:rsid w:val="00522C14"/>
    <w:rsid w:val="00522FBC"/>
    <w:rsid w:val="00523235"/>
    <w:rsid w:val="00523436"/>
    <w:rsid w:val="0052362B"/>
    <w:rsid w:val="00523D8E"/>
    <w:rsid w:val="00524684"/>
    <w:rsid w:val="0052491F"/>
    <w:rsid w:val="00524F75"/>
    <w:rsid w:val="0052525E"/>
    <w:rsid w:val="005255E9"/>
    <w:rsid w:val="005256ED"/>
    <w:rsid w:val="0052571A"/>
    <w:rsid w:val="00525CD8"/>
    <w:rsid w:val="005260F1"/>
    <w:rsid w:val="005275B7"/>
    <w:rsid w:val="00527E1C"/>
    <w:rsid w:val="0053007F"/>
    <w:rsid w:val="00530087"/>
    <w:rsid w:val="00530156"/>
    <w:rsid w:val="00530491"/>
    <w:rsid w:val="00530B7C"/>
    <w:rsid w:val="00530F1E"/>
    <w:rsid w:val="00531340"/>
    <w:rsid w:val="00531423"/>
    <w:rsid w:val="00531772"/>
    <w:rsid w:val="00531B66"/>
    <w:rsid w:val="00531CE1"/>
    <w:rsid w:val="00531F98"/>
    <w:rsid w:val="00532D3E"/>
    <w:rsid w:val="00532F66"/>
    <w:rsid w:val="00533580"/>
    <w:rsid w:val="00533BF5"/>
    <w:rsid w:val="00534017"/>
    <w:rsid w:val="00534117"/>
    <w:rsid w:val="00534262"/>
    <w:rsid w:val="005347CA"/>
    <w:rsid w:val="00534980"/>
    <w:rsid w:val="00534B91"/>
    <w:rsid w:val="00534B95"/>
    <w:rsid w:val="0053500E"/>
    <w:rsid w:val="00535576"/>
    <w:rsid w:val="00536659"/>
    <w:rsid w:val="00537846"/>
    <w:rsid w:val="00537BEA"/>
    <w:rsid w:val="00537D43"/>
    <w:rsid w:val="00537DF6"/>
    <w:rsid w:val="00537E3B"/>
    <w:rsid w:val="00537E66"/>
    <w:rsid w:val="00540005"/>
    <w:rsid w:val="00540042"/>
    <w:rsid w:val="005400E1"/>
    <w:rsid w:val="00540135"/>
    <w:rsid w:val="00540A1E"/>
    <w:rsid w:val="00540D21"/>
    <w:rsid w:val="00540D9A"/>
    <w:rsid w:val="00540F29"/>
    <w:rsid w:val="0054102F"/>
    <w:rsid w:val="005412AE"/>
    <w:rsid w:val="00541C1C"/>
    <w:rsid w:val="00541CA1"/>
    <w:rsid w:val="00542593"/>
    <w:rsid w:val="00542615"/>
    <w:rsid w:val="00542FCF"/>
    <w:rsid w:val="005430C1"/>
    <w:rsid w:val="00543335"/>
    <w:rsid w:val="00543DF1"/>
    <w:rsid w:val="00544219"/>
    <w:rsid w:val="005445F0"/>
    <w:rsid w:val="00544694"/>
    <w:rsid w:val="00544CD9"/>
    <w:rsid w:val="005451F4"/>
    <w:rsid w:val="005454E7"/>
    <w:rsid w:val="00545AE4"/>
    <w:rsid w:val="00545CB7"/>
    <w:rsid w:val="00546565"/>
    <w:rsid w:val="00546B5F"/>
    <w:rsid w:val="005472DF"/>
    <w:rsid w:val="005478E4"/>
    <w:rsid w:val="00547945"/>
    <w:rsid w:val="005479F3"/>
    <w:rsid w:val="00547D86"/>
    <w:rsid w:val="0055007F"/>
    <w:rsid w:val="0055020C"/>
    <w:rsid w:val="005502AE"/>
    <w:rsid w:val="005515E1"/>
    <w:rsid w:val="00551E8E"/>
    <w:rsid w:val="005520E2"/>
    <w:rsid w:val="00552311"/>
    <w:rsid w:val="005529EA"/>
    <w:rsid w:val="00552B15"/>
    <w:rsid w:val="00552BA9"/>
    <w:rsid w:val="00552E2A"/>
    <w:rsid w:val="0055311D"/>
    <w:rsid w:val="005534C5"/>
    <w:rsid w:val="005535E8"/>
    <w:rsid w:val="00554581"/>
    <w:rsid w:val="00554823"/>
    <w:rsid w:val="00554F38"/>
    <w:rsid w:val="00555499"/>
    <w:rsid w:val="00555B3A"/>
    <w:rsid w:val="00555E1F"/>
    <w:rsid w:val="0055601C"/>
    <w:rsid w:val="005562B2"/>
    <w:rsid w:val="005563E0"/>
    <w:rsid w:val="0055698D"/>
    <w:rsid w:val="00557041"/>
    <w:rsid w:val="00557AAC"/>
    <w:rsid w:val="00557D6B"/>
    <w:rsid w:val="00560049"/>
    <w:rsid w:val="005604F2"/>
    <w:rsid w:val="00560625"/>
    <w:rsid w:val="005607A1"/>
    <w:rsid w:val="0056087C"/>
    <w:rsid w:val="0056094B"/>
    <w:rsid w:val="00560ABD"/>
    <w:rsid w:val="005614F4"/>
    <w:rsid w:val="00561753"/>
    <w:rsid w:val="00561C33"/>
    <w:rsid w:val="005620B4"/>
    <w:rsid w:val="005620E5"/>
    <w:rsid w:val="0056230B"/>
    <w:rsid w:val="005628DD"/>
    <w:rsid w:val="00562A99"/>
    <w:rsid w:val="00562E73"/>
    <w:rsid w:val="0056303A"/>
    <w:rsid w:val="005636CD"/>
    <w:rsid w:val="00563D71"/>
    <w:rsid w:val="00564019"/>
    <w:rsid w:val="00564538"/>
    <w:rsid w:val="00564981"/>
    <w:rsid w:val="0056523A"/>
    <w:rsid w:val="00565344"/>
    <w:rsid w:val="00565426"/>
    <w:rsid w:val="0056579F"/>
    <w:rsid w:val="005658E3"/>
    <w:rsid w:val="00565D4F"/>
    <w:rsid w:val="00565EA7"/>
    <w:rsid w:val="005660C4"/>
    <w:rsid w:val="00566260"/>
    <w:rsid w:val="0056637A"/>
    <w:rsid w:val="005663E4"/>
    <w:rsid w:val="00566477"/>
    <w:rsid w:val="0056669A"/>
    <w:rsid w:val="00566815"/>
    <w:rsid w:val="00566D12"/>
    <w:rsid w:val="00566DA7"/>
    <w:rsid w:val="00566ED1"/>
    <w:rsid w:val="00567C5F"/>
    <w:rsid w:val="00567F71"/>
    <w:rsid w:val="005701D9"/>
    <w:rsid w:val="0057026A"/>
    <w:rsid w:val="005703AC"/>
    <w:rsid w:val="00570440"/>
    <w:rsid w:val="005705A2"/>
    <w:rsid w:val="00570BC0"/>
    <w:rsid w:val="005713DC"/>
    <w:rsid w:val="00571403"/>
    <w:rsid w:val="0057145F"/>
    <w:rsid w:val="00571596"/>
    <w:rsid w:val="005715D7"/>
    <w:rsid w:val="00571AC7"/>
    <w:rsid w:val="00571D19"/>
    <w:rsid w:val="005720E6"/>
    <w:rsid w:val="00572527"/>
    <w:rsid w:val="005728E5"/>
    <w:rsid w:val="00572EB3"/>
    <w:rsid w:val="00572FF5"/>
    <w:rsid w:val="005732CF"/>
    <w:rsid w:val="00573866"/>
    <w:rsid w:val="00573925"/>
    <w:rsid w:val="005747E9"/>
    <w:rsid w:val="00574A61"/>
    <w:rsid w:val="00574E20"/>
    <w:rsid w:val="00574F79"/>
    <w:rsid w:val="005765CE"/>
    <w:rsid w:val="00576B6A"/>
    <w:rsid w:val="005771CA"/>
    <w:rsid w:val="005800A2"/>
    <w:rsid w:val="005807FD"/>
    <w:rsid w:val="00580BDA"/>
    <w:rsid w:val="00580DA9"/>
    <w:rsid w:val="0058144E"/>
    <w:rsid w:val="0058145F"/>
    <w:rsid w:val="00581813"/>
    <w:rsid w:val="00581912"/>
    <w:rsid w:val="00581AE3"/>
    <w:rsid w:val="00581C27"/>
    <w:rsid w:val="005823CB"/>
    <w:rsid w:val="00582883"/>
    <w:rsid w:val="00582E2F"/>
    <w:rsid w:val="00583B2B"/>
    <w:rsid w:val="00583C37"/>
    <w:rsid w:val="005847E7"/>
    <w:rsid w:val="00584AC2"/>
    <w:rsid w:val="00585158"/>
    <w:rsid w:val="005855E5"/>
    <w:rsid w:val="005858CA"/>
    <w:rsid w:val="00585B1A"/>
    <w:rsid w:val="00585D2E"/>
    <w:rsid w:val="0058716A"/>
    <w:rsid w:val="0058722E"/>
    <w:rsid w:val="005875EE"/>
    <w:rsid w:val="0059006A"/>
    <w:rsid w:val="00590586"/>
    <w:rsid w:val="00590B7E"/>
    <w:rsid w:val="00590C32"/>
    <w:rsid w:val="00590DDB"/>
    <w:rsid w:val="00590EB9"/>
    <w:rsid w:val="005911CD"/>
    <w:rsid w:val="00591481"/>
    <w:rsid w:val="00591654"/>
    <w:rsid w:val="00591708"/>
    <w:rsid w:val="00591735"/>
    <w:rsid w:val="0059177A"/>
    <w:rsid w:val="00591926"/>
    <w:rsid w:val="00592369"/>
    <w:rsid w:val="005931BF"/>
    <w:rsid w:val="005933CC"/>
    <w:rsid w:val="0059366F"/>
    <w:rsid w:val="00593F0D"/>
    <w:rsid w:val="00594024"/>
    <w:rsid w:val="005942A6"/>
    <w:rsid w:val="005942F6"/>
    <w:rsid w:val="0059446C"/>
    <w:rsid w:val="005944FC"/>
    <w:rsid w:val="00594B94"/>
    <w:rsid w:val="00595786"/>
    <w:rsid w:val="00595CC7"/>
    <w:rsid w:val="00595CC8"/>
    <w:rsid w:val="00595DA0"/>
    <w:rsid w:val="00595F10"/>
    <w:rsid w:val="0059635F"/>
    <w:rsid w:val="00596449"/>
    <w:rsid w:val="00597352"/>
    <w:rsid w:val="00597B90"/>
    <w:rsid w:val="00597BDC"/>
    <w:rsid w:val="00597E93"/>
    <w:rsid w:val="005A08BA"/>
    <w:rsid w:val="005A141B"/>
    <w:rsid w:val="005A2450"/>
    <w:rsid w:val="005A2775"/>
    <w:rsid w:val="005A28E4"/>
    <w:rsid w:val="005A2B53"/>
    <w:rsid w:val="005A2DE1"/>
    <w:rsid w:val="005A34C2"/>
    <w:rsid w:val="005A38D9"/>
    <w:rsid w:val="005A3E68"/>
    <w:rsid w:val="005A4F32"/>
    <w:rsid w:val="005A514C"/>
    <w:rsid w:val="005A5366"/>
    <w:rsid w:val="005A5626"/>
    <w:rsid w:val="005A571F"/>
    <w:rsid w:val="005A5A67"/>
    <w:rsid w:val="005A5CB0"/>
    <w:rsid w:val="005A61D9"/>
    <w:rsid w:val="005A642A"/>
    <w:rsid w:val="005A65D0"/>
    <w:rsid w:val="005A667E"/>
    <w:rsid w:val="005A6885"/>
    <w:rsid w:val="005A6E62"/>
    <w:rsid w:val="005A75B9"/>
    <w:rsid w:val="005A77DA"/>
    <w:rsid w:val="005A7987"/>
    <w:rsid w:val="005A7DE9"/>
    <w:rsid w:val="005A7F5C"/>
    <w:rsid w:val="005B0923"/>
    <w:rsid w:val="005B13E1"/>
    <w:rsid w:val="005B17DD"/>
    <w:rsid w:val="005B1A49"/>
    <w:rsid w:val="005B215B"/>
    <w:rsid w:val="005B277D"/>
    <w:rsid w:val="005B2A46"/>
    <w:rsid w:val="005B2D6C"/>
    <w:rsid w:val="005B32EE"/>
    <w:rsid w:val="005B3C1F"/>
    <w:rsid w:val="005B407E"/>
    <w:rsid w:val="005B44BE"/>
    <w:rsid w:val="005B457D"/>
    <w:rsid w:val="005B4E8E"/>
    <w:rsid w:val="005B50F0"/>
    <w:rsid w:val="005B5888"/>
    <w:rsid w:val="005B661E"/>
    <w:rsid w:val="005B668D"/>
    <w:rsid w:val="005B733F"/>
    <w:rsid w:val="005B77D8"/>
    <w:rsid w:val="005B7A09"/>
    <w:rsid w:val="005B7D55"/>
    <w:rsid w:val="005C01C3"/>
    <w:rsid w:val="005C0453"/>
    <w:rsid w:val="005C0B29"/>
    <w:rsid w:val="005C0E4D"/>
    <w:rsid w:val="005C0EC3"/>
    <w:rsid w:val="005C1AD3"/>
    <w:rsid w:val="005C1E02"/>
    <w:rsid w:val="005C3178"/>
    <w:rsid w:val="005C33E2"/>
    <w:rsid w:val="005C3A8F"/>
    <w:rsid w:val="005C3FE2"/>
    <w:rsid w:val="005C4085"/>
    <w:rsid w:val="005C48A5"/>
    <w:rsid w:val="005C4B83"/>
    <w:rsid w:val="005C4CA6"/>
    <w:rsid w:val="005C4FD2"/>
    <w:rsid w:val="005C5722"/>
    <w:rsid w:val="005C6434"/>
    <w:rsid w:val="005C64D9"/>
    <w:rsid w:val="005C6ADA"/>
    <w:rsid w:val="005C7428"/>
    <w:rsid w:val="005C76E4"/>
    <w:rsid w:val="005D0BA0"/>
    <w:rsid w:val="005D0D38"/>
    <w:rsid w:val="005D152D"/>
    <w:rsid w:val="005D15FA"/>
    <w:rsid w:val="005D16F3"/>
    <w:rsid w:val="005D17A0"/>
    <w:rsid w:val="005D1AEB"/>
    <w:rsid w:val="005D22DD"/>
    <w:rsid w:val="005D29B8"/>
    <w:rsid w:val="005D3465"/>
    <w:rsid w:val="005D3FD8"/>
    <w:rsid w:val="005D404F"/>
    <w:rsid w:val="005D410E"/>
    <w:rsid w:val="005D4439"/>
    <w:rsid w:val="005D4D19"/>
    <w:rsid w:val="005D4E73"/>
    <w:rsid w:val="005D51A4"/>
    <w:rsid w:val="005D55B7"/>
    <w:rsid w:val="005D567F"/>
    <w:rsid w:val="005D5890"/>
    <w:rsid w:val="005D5950"/>
    <w:rsid w:val="005D6721"/>
    <w:rsid w:val="005E0158"/>
    <w:rsid w:val="005E0528"/>
    <w:rsid w:val="005E0752"/>
    <w:rsid w:val="005E0E2E"/>
    <w:rsid w:val="005E11CA"/>
    <w:rsid w:val="005E12CF"/>
    <w:rsid w:val="005E14AE"/>
    <w:rsid w:val="005E195E"/>
    <w:rsid w:val="005E1D87"/>
    <w:rsid w:val="005E2367"/>
    <w:rsid w:val="005E293E"/>
    <w:rsid w:val="005E2B64"/>
    <w:rsid w:val="005E2EA0"/>
    <w:rsid w:val="005E329B"/>
    <w:rsid w:val="005E341F"/>
    <w:rsid w:val="005E37C3"/>
    <w:rsid w:val="005E37D0"/>
    <w:rsid w:val="005E3F0A"/>
    <w:rsid w:val="005E476D"/>
    <w:rsid w:val="005E49FC"/>
    <w:rsid w:val="005E4B5C"/>
    <w:rsid w:val="005E4CBD"/>
    <w:rsid w:val="005E4D5B"/>
    <w:rsid w:val="005E4E7B"/>
    <w:rsid w:val="005E567F"/>
    <w:rsid w:val="005E58A9"/>
    <w:rsid w:val="005E590B"/>
    <w:rsid w:val="005E600D"/>
    <w:rsid w:val="005E6304"/>
    <w:rsid w:val="005E636B"/>
    <w:rsid w:val="005E6529"/>
    <w:rsid w:val="005E691D"/>
    <w:rsid w:val="005E6D83"/>
    <w:rsid w:val="005E708E"/>
    <w:rsid w:val="005E72F9"/>
    <w:rsid w:val="005E74C8"/>
    <w:rsid w:val="005E79D6"/>
    <w:rsid w:val="005E7CEA"/>
    <w:rsid w:val="005E7E8C"/>
    <w:rsid w:val="005F0680"/>
    <w:rsid w:val="005F084A"/>
    <w:rsid w:val="005F1736"/>
    <w:rsid w:val="005F1AC0"/>
    <w:rsid w:val="005F1B3C"/>
    <w:rsid w:val="005F1C64"/>
    <w:rsid w:val="005F20FE"/>
    <w:rsid w:val="005F27E0"/>
    <w:rsid w:val="005F2E81"/>
    <w:rsid w:val="005F35C5"/>
    <w:rsid w:val="005F391F"/>
    <w:rsid w:val="005F3A7C"/>
    <w:rsid w:val="005F3AF9"/>
    <w:rsid w:val="005F447F"/>
    <w:rsid w:val="005F48E7"/>
    <w:rsid w:val="005F4ABB"/>
    <w:rsid w:val="005F4E21"/>
    <w:rsid w:val="005F4E37"/>
    <w:rsid w:val="005F5677"/>
    <w:rsid w:val="005F58D2"/>
    <w:rsid w:val="005F62D2"/>
    <w:rsid w:val="005F6308"/>
    <w:rsid w:val="005F6D23"/>
    <w:rsid w:val="0060027F"/>
    <w:rsid w:val="0060037F"/>
    <w:rsid w:val="0060075B"/>
    <w:rsid w:val="006007B7"/>
    <w:rsid w:val="0060081A"/>
    <w:rsid w:val="00600919"/>
    <w:rsid w:val="00600FD9"/>
    <w:rsid w:val="00601134"/>
    <w:rsid w:val="00601919"/>
    <w:rsid w:val="00601B19"/>
    <w:rsid w:val="00601F54"/>
    <w:rsid w:val="00602046"/>
    <w:rsid w:val="00602440"/>
    <w:rsid w:val="006025D9"/>
    <w:rsid w:val="00603013"/>
    <w:rsid w:val="006038CC"/>
    <w:rsid w:val="00603A24"/>
    <w:rsid w:val="00604419"/>
    <w:rsid w:val="00604B04"/>
    <w:rsid w:val="00604E97"/>
    <w:rsid w:val="00605094"/>
    <w:rsid w:val="00605B96"/>
    <w:rsid w:val="006068F0"/>
    <w:rsid w:val="00606E6C"/>
    <w:rsid w:val="00606E75"/>
    <w:rsid w:val="0060726D"/>
    <w:rsid w:val="00607E98"/>
    <w:rsid w:val="0061061E"/>
    <w:rsid w:val="00610896"/>
    <w:rsid w:val="006109F4"/>
    <w:rsid w:val="00610A9F"/>
    <w:rsid w:val="0061212B"/>
    <w:rsid w:val="00612AEE"/>
    <w:rsid w:val="00613826"/>
    <w:rsid w:val="006142B9"/>
    <w:rsid w:val="006144F7"/>
    <w:rsid w:val="00614816"/>
    <w:rsid w:val="00614EFF"/>
    <w:rsid w:val="00615097"/>
    <w:rsid w:val="006159D5"/>
    <w:rsid w:val="00615D10"/>
    <w:rsid w:val="00616CB2"/>
    <w:rsid w:val="00616DA1"/>
    <w:rsid w:val="0061711F"/>
    <w:rsid w:val="00617F09"/>
    <w:rsid w:val="00621630"/>
    <w:rsid w:val="006216B9"/>
    <w:rsid w:val="006217B7"/>
    <w:rsid w:val="006218CD"/>
    <w:rsid w:val="00621E38"/>
    <w:rsid w:val="00621EAB"/>
    <w:rsid w:val="006224CC"/>
    <w:rsid w:val="0062287C"/>
    <w:rsid w:val="00623994"/>
    <w:rsid w:val="00623FB6"/>
    <w:rsid w:val="0062406A"/>
    <w:rsid w:val="006244EF"/>
    <w:rsid w:val="006248A7"/>
    <w:rsid w:val="00624B0E"/>
    <w:rsid w:val="00624DBC"/>
    <w:rsid w:val="006254EB"/>
    <w:rsid w:val="00625AB4"/>
    <w:rsid w:val="00625CCE"/>
    <w:rsid w:val="0062665F"/>
    <w:rsid w:val="006269D3"/>
    <w:rsid w:val="00626EC2"/>
    <w:rsid w:val="00627396"/>
    <w:rsid w:val="0063118C"/>
    <w:rsid w:val="00631363"/>
    <w:rsid w:val="0063153D"/>
    <w:rsid w:val="00631B22"/>
    <w:rsid w:val="0063313C"/>
    <w:rsid w:val="006332E9"/>
    <w:rsid w:val="006337F9"/>
    <w:rsid w:val="00633C89"/>
    <w:rsid w:val="00633E9F"/>
    <w:rsid w:val="00633FBC"/>
    <w:rsid w:val="00633FBD"/>
    <w:rsid w:val="006343F9"/>
    <w:rsid w:val="006344E2"/>
    <w:rsid w:val="006349F8"/>
    <w:rsid w:val="006352E9"/>
    <w:rsid w:val="0063558F"/>
    <w:rsid w:val="00635CA4"/>
    <w:rsid w:val="00636723"/>
    <w:rsid w:val="006367D6"/>
    <w:rsid w:val="00636CA1"/>
    <w:rsid w:val="00637365"/>
    <w:rsid w:val="006373FF"/>
    <w:rsid w:val="00637F12"/>
    <w:rsid w:val="00641C91"/>
    <w:rsid w:val="00641EDF"/>
    <w:rsid w:val="0064259A"/>
    <w:rsid w:val="00642CE8"/>
    <w:rsid w:val="0064338B"/>
    <w:rsid w:val="006438A5"/>
    <w:rsid w:val="00644A50"/>
    <w:rsid w:val="006452C0"/>
    <w:rsid w:val="00645470"/>
    <w:rsid w:val="0064607C"/>
    <w:rsid w:val="00646558"/>
    <w:rsid w:val="00646F3B"/>
    <w:rsid w:val="00646F63"/>
    <w:rsid w:val="00647C79"/>
    <w:rsid w:val="0065016B"/>
    <w:rsid w:val="0065106E"/>
    <w:rsid w:val="00651113"/>
    <w:rsid w:val="0065182A"/>
    <w:rsid w:val="006523A7"/>
    <w:rsid w:val="0065251B"/>
    <w:rsid w:val="006526D8"/>
    <w:rsid w:val="00652ACE"/>
    <w:rsid w:val="00652B6B"/>
    <w:rsid w:val="00652E00"/>
    <w:rsid w:val="00653259"/>
    <w:rsid w:val="00653DDF"/>
    <w:rsid w:val="00653E86"/>
    <w:rsid w:val="006540E1"/>
    <w:rsid w:val="006543A8"/>
    <w:rsid w:val="006563CE"/>
    <w:rsid w:val="00656F24"/>
    <w:rsid w:val="00656F87"/>
    <w:rsid w:val="00657D6B"/>
    <w:rsid w:val="00657F89"/>
    <w:rsid w:val="006600DE"/>
    <w:rsid w:val="0066047F"/>
    <w:rsid w:val="00660A17"/>
    <w:rsid w:val="00660C62"/>
    <w:rsid w:val="00660E30"/>
    <w:rsid w:val="00661767"/>
    <w:rsid w:val="006619A7"/>
    <w:rsid w:val="006621A7"/>
    <w:rsid w:val="006621BC"/>
    <w:rsid w:val="0066283C"/>
    <w:rsid w:val="00662EE1"/>
    <w:rsid w:val="00662F9D"/>
    <w:rsid w:val="006632D8"/>
    <w:rsid w:val="00663314"/>
    <w:rsid w:val="00663879"/>
    <w:rsid w:val="006638F5"/>
    <w:rsid w:val="006639BC"/>
    <w:rsid w:val="00663E6D"/>
    <w:rsid w:val="00663F2C"/>
    <w:rsid w:val="006642A9"/>
    <w:rsid w:val="0066494C"/>
    <w:rsid w:val="00664AFB"/>
    <w:rsid w:val="00664B14"/>
    <w:rsid w:val="00664EFB"/>
    <w:rsid w:val="006653F4"/>
    <w:rsid w:val="00665715"/>
    <w:rsid w:val="0066586F"/>
    <w:rsid w:val="00665E80"/>
    <w:rsid w:val="00665E8A"/>
    <w:rsid w:val="006668DF"/>
    <w:rsid w:val="006668EB"/>
    <w:rsid w:val="00667356"/>
    <w:rsid w:val="0066740C"/>
    <w:rsid w:val="00670011"/>
    <w:rsid w:val="006704FD"/>
    <w:rsid w:val="00670E9C"/>
    <w:rsid w:val="006713FC"/>
    <w:rsid w:val="006716EB"/>
    <w:rsid w:val="006717EC"/>
    <w:rsid w:val="00672221"/>
    <w:rsid w:val="0067264F"/>
    <w:rsid w:val="006731FF"/>
    <w:rsid w:val="006737BE"/>
    <w:rsid w:val="00673F5A"/>
    <w:rsid w:val="00674563"/>
    <w:rsid w:val="006745D7"/>
    <w:rsid w:val="006746AA"/>
    <w:rsid w:val="00674927"/>
    <w:rsid w:val="00674C97"/>
    <w:rsid w:val="00674DE7"/>
    <w:rsid w:val="006754AD"/>
    <w:rsid w:val="006757D4"/>
    <w:rsid w:val="00675A20"/>
    <w:rsid w:val="00676170"/>
    <w:rsid w:val="006761F6"/>
    <w:rsid w:val="006763DB"/>
    <w:rsid w:val="00676C1D"/>
    <w:rsid w:val="00676D13"/>
    <w:rsid w:val="00676E32"/>
    <w:rsid w:val="00677E61"/>
    <w:rsid w:val="006809A8"/>
    <w:rsid w:val="0068125D"/>
    <w:rsid w:val="00681451"/>
    <w:rsid w:val="00681959"/>
    <w:rsid w:val="00681FEE"/>
    <w:rsid w:val="006821FD"/>
    <w:rsid w:val="0068238A"/>
    <w:rsid w:val="006829DB"/>
    <w:rsid w:val="00682C27"/>
    <w:rsid w:val="00683145"/>
    <w:rsid w:val="00683B4C"/>
    <w:rsid w:val="00684B03"/>
    <w:rsid w:val="00685539"/>
    <w:rsid w:val="00685639"/>
    <w:rsid w:val="00685BD7"/>
    <w:rsid w:val="00686127"/>
    <w:rsid w:val="006863E1"/>
    <w:rsid w:val="00686507"/>
    <w:rsid w:val="0068659A"/>
    <w:rsid w:val="00686616"/>
    <w:rsid w:val="00686CB7"/>
    <w:rsid w:val="00686EA5"/>
    <w:rsid w:val="006873EC"/>
    <w:rsid w:val="006901AC"/>
    <w:rsid w:val="006911CD"/>
    <w:rsid w:val="006912D8"/>
    <w:rsid w:val="0069205B"/>
    <w:rsid w:val="00692180"/>
    <w:rsid w:val="006924DC"/>
    <w:rsid w:val="006927C8"/>
    <w:rsid w:val="00692C25"/>
    <w:rsid w:val="00692E00"/>
    <w:rsid w:val="00694177"/>
    <w:rsid w:val="00694288"/>
    <w:rsid w:val="00694B06"/>
    <w:rsid w:val="00694C99"/>
    <w:rsid w:val="00694F04"/>
    <w:rsid w:val="006955A7"/>
    <w:rsid w:val="0069565F"/>
    <w:rsid w:val="00695842"/>
    <w:rsid w:val="00695940"/>
    <w:rsid w:val="00695DE1"/>
    <w:rsid w:val="00695EB6"/>
    <w:rsid w:val="00695F81"/>
    <w:rsid w:val="00695FB2"/>
    <w:rsid w:val="0069641B"/>
    <w:rsid w:val="00696438"/>
    <w:rsid w:val="00696548"/>
    <w:rsid w:val="0069675E"/>
    <w:rsid w:val="00697DB8"/>
    <w:rsid w:val="006A010B"/>
    <w:rsid w:val="006A0443"/>
    <w:rsid w:val="006A0E6F"/>
    <w:rsid w:val="006A1387"/>
    <w:rsid w:val="006A1448"/>
    <w:rsid w:val="006A1464"/>
    <w:rsid w:val="006A1709"/>
    <w:rsid w:val="006A1C81"/>
    <w:rsid w:val="006A1C99"/>
    <w:rsid w:val="006A203D"/>
    <w:rsid w:val="006A2218"/>
    <w:rsid w:val="006A318D"/>
    <w:rsid w:val="006A3579"/>
    <w:rsid w:val="006A35AA"/>
    <w:rsid w:val="006A363E"/>
    <w:rsid w:val="006A3A12"/>
    <w:rsid w:val="006A401E"/>
    <w:rsid w:val="006A48E7"/>
    <w:rsid w:val="006A4A9A"/>
    <w:rsid w:val="006A4B18"/>
    <w:rsid w:val="006A4ECD"/>
    <w:rsid w:val="006A4F72"/>
    <w:rsid w:val="006A525F"/>
    <w:rsid w:val="006A599C"/>
    <w:rsid w:val="006A5C6F"/>
    <w:rsid w:val="006A630F"/>
    <w:rsid w:val="006A64AD"/>
    <w:rsid w:val="006A64F0"/>
    <w:rsid w:val="006A68F0"/>
    <w:rsid w:val="006A7010"/>
    <w:rsid w:val="006A78CB"/>
    <w:rsid w:val="006B06CE"/>
    <w:rsid w:val="006B0913"/>
    <w:rsid w:val="006B0B0D"/>
    <w:rsid w:val="006B16F9"/>
    <w:rsid w:val="006B1D0E"/>
    <w:rsid w:val="006B2A91"/>
    <w:rsid w:val="006B33B2"/>
    <w:rsid w:val="006B3E43"/>
    <w:rsid w:val="006B3F3D"/>
    <w:rsid w:val="006B4302"/>
    <w:rsid w:val="006B456E"/>
    <w:rsid w:val="006B468A"/>
    <w:rsid w:val="006B47E0"/>
    <w:rsid w:val="006B490F"/>
    <w:rsid w:val="006B52BE"/>
    <w:rsid w:val="006B52C7"/>
    <w:rsid w:val="006B56E4"/>
    <w:rsid w:val="006B68E3"/>
    <w:rsid w:val="006B6A85"/>
    <w:rsid w:val="006B73EC"/>
    <w:rsid w:val="006B7688"/>
    <w:rsid w:val="006B76E9"/>
    <w:rsid w:val="006B795B"/>
    <w:rsid w:val="006B7BCD"/>
    <w:rsid w:val="006C01EF"/>
    <w:rsid w:val="006C0A15"/>
    <w:rsid w:val="006C0B6F"/>
    <w:rsid w:val="006C1672"/>
    <w:rsid w:val="006C1A90"/>
    <w:rsid w:val="006C1B5F"/>
    <w:rsid w:val="006C22DB"/>
    <w:rsid w:val="006C27D9"/>
    <w:rsid w:val="006C2BC9"/>
    <w:rsid w:val="006C2F91"/>
    <w:rsid w:val="006C3133"/>
    <w:rsid w:val="006C3205"/>
    <w:rsid w:val="006C35FF"/>
    <w:rsid w:val="006C3868"/>
    <w:rsid w:val="006C390D"/>
    <w:rsid w:val="006C399C"/>
    <w:rsid w:val="006C3BB3"/>
    <w:rsid w:val="006C400D"/>
    <w:rsid w:val="006C4725"/>
    <w:rsid w:val="006C47EB"/>
    <w:rsid w:val="006C56F4"/>
    <w:rsid w:val="006C587F"/>
    <w:rsid w:val="006C5A38"/>
    <w:rsid w:val="006C6211"/>
    <w:rsid w:val="006C62F7"/>
    <w:rsid w:val="006C6356"/>
    <w:rsid w:val="006C6517"/>
    <w:rsid w:val="006C6B50"/>
    <w:rsid w:val="006C6ED6"/>
    <w:rsid w:val="006C6F1D"/>
    <w:rsid w:val="006C7810"/>
    <w:rsid w:val="006C7FC7"/>
    <w:rsid w:val="006D02E8"/>
    <w:rsid w:val="006D049E"/>
    <w:rsid w:val="006D0B2A"/>
    <w:rsid w:val="006D1080"/>
    <w:rsid w:val="006D10D2"/>
    <w:rsid w:val="006D1410"/>
    <w:rsid w:val="006D1586"/>
    <w:rsid w:val="006D1E8B"/>
    <w:rsid w:val="006D20C2"/>
    <w:rsid w:val="006D247F"/>
    <w:rsid w:val="006D28AB"/>
    <w:rsid w:val="006D2953"/>
    <w:rsid w:val="006D29D2"/>
    <w:rsid w:val="006D30C8"/>
    <w:rsid w:val="006D30CF"/>
    <w:rsid w:val="006D3AF1"/>
    <w:rsid w:val="006D5941"/>
    <w:rsid w:val="006D5C62"/>
    <w:rsid w:val="006D5F85"/>
    <w:rsid w:val="006D648C"/>
    <w:rsid w:val="006D69AA"/>
    <w:rsid w:val="006D6D0C"/>
    <w:rsid w:val="006D731C"/>
    <w:rsid w:val="006D776B"/>
    <w:rsid w:val="006E093F"/>
    <w:rsid w:val="006E0ADB"/>
    <w:rsid w:val="006E0D18"/>
    <w:rsid w:val="006E0D28"/>
    <w:rsid w:val="006E1557"/>
    <w:rsid w:val="006E1D30"/>
    <w:rsid w:val="006E2022"/>
    <w:rsid w:val="006E2462"/>
    <w:rsid w:val="006E2882"/>
    <w:rsid w:val="006E2B71"/>
    <w:rsid w:val="006E2C05"/>
    <w:rsid w:val="006E39CC"/>
    <w:rsid w:val="006E3ADE"/>
    <w:rsid w:val="006E4C05"/>
    <w:rsid w:val="006E5126"/>
    <w:rsid w:val="006E5299"/>
    <w:rsid w:val="006E56AD"/>
    <w:rsid w:val="006E58E8"/>
    <w:rsid w:val="006E5CC0"/>
    <w:rsid w:val="006E6845"/>
    <w:rsid w:val="006E6988"/>
    <w:rsid w:val="006E69FE"/>
    <w:rsid w:val="006E6D38"/>
    <w:rsid w:val="006E7416"/>
    <w:rsid w:val="006E7D0E"/>
    <w:rsid w:val="006E7D90"/>
    <w:rsid w:val="006F104C"/>
    <w:rsid w:val="006F1BDF"/>
    <w:rsid w:val="006F2236"/>
    <w:rsid w:val="006F2947"/>
    <w:rsid w:val="006F2D27"/>
    <w:rsid w:val="006F2F2D"/>
    <w:rsid w:val="006F32A1"/>
    <w:rsid w:val="006F39B2"/>
    <w:rsid w:val="006F3BCE"/>
    <w:rsid w:val="006F4F7E"/>
    <w:rsid w:val="006F5016"/>
    <w:rsid w:val="006F5741"/>
    <w:rsid w:val="006F5D2E"/>
    <w:rsid w:val="006F5F9A"/>
    <w:rsid w:val="006F620D"/>
    <w:rsid w:val="006F6C29"/>
    <w:rsid w:val="006F714D"/>
    <w:rsid w:val="006F7325"/>
    <w:rsid w:val="006F763E"/>
    <w:rsid w:val="006F778C"/>
    <w:rsid w:val="006F7F1B"/>
    <w:rsid w:val="00700B14"/>
    <w:rsid w:val="00701340"/>
    <w:rsid w:val="0070182C"/>
    <w:rsid w:val="00701E10"/>
    <w:rsid w:val="00702401"/>
    <w:rsid w:val="00702678"/>
    <w:rsid w:val="007026B8"/>
    <w:rsid w:val="007026B9"/>
    <w:rsid w:val="007028DE"/>
    <w:rsid w:val="00703276"/>
    <w:rsid w:val="00703491"/>
    <w:rsid w:val="0070375F"/>
    <w:rsid w:val="00703890"/>
    <w:rsid w:val="007039BB"/>
    <w:rsid w:val="00703F1B"/>
    <w:rsid w:val="007043FA"/>
    <w:rsid w:val="00704E3B"/>
    <w:rsid w:val="007052A5"/>
    <w:rsid w:val="007052B9"/>
    <w:rsid w:val="007058DB"/>
    <w:rsid w:val="00705A15"/>
    <w:rsid w:val="00705CE5"/>
    <w:rsid w:val="00706582"/>
    <w:rsid w:val="00706677"/>
    <w:rsid w:val="0070691C"/>
    <w:rsid w:val="00706AC3"/>
    <w:rsid w:val="00706BD1"/>
    <w:rsid w:val="00706FA1"/>
    <w:rsid w:val="007073F4"/>
    <w:rsid w:val="00710FA4"/>
    <w:rsid w:val="00711422"/>
    <w:rsid w:val="00711B10"/>
    <w:rsid w:val="00711E5A"/>
    <w:rsid w:val="00711F2B"/>
    <w:rsid w:val="007124E2"/>
    <w:rsid w:val="00712563"/>
    <w:rsid w:val="00712E13"/>
    <w:rsid w:val="00712FEF"/>
    <w:rsid w:val="00713212"/>
    <w:rsid w:val="007137C3"/>
    <w:rsid w:val="007138CD"/>
    <w:rsid w:val="00713993"/>
    <w:rsid w:val="00713A81"/>
    <w:rsid w:val="00713E29"/>
    <w:rsid w:val="00714761"/>
    <w:rsid w:val="0071560C"/>
    <w:rsid w:val="00715A6E"/>
    <w:rsid w:val="00715D17"/>
    <w:rsid w:val="00717232"/>
    <w:rsid w:val="00717E4A"/>
    <w:rsid w:val="007208D6"/>
    <w:rsid w:val="00720BE7"/>
    <w:rsid w:val="00721E2F"/>
    <w:rsid w:val="0072223C"/>
    <w:rsid w:val="00722B56"/>
    <w:rsid w:val="00722C86"/>
    <w:rsid w:val="00723021"/>
    <w:rsid w:val="007233C2"/>
    <w:rsid w:val="00723804"/>
    <w:rsid w:val="00723D7E"/>
    <w:rsid w:val="00723F3D"/>
    <w:rsid w:val="00724576"/>
    <w:rsid w:val="007246BB"/>
    <w:rsid w:val="007247BC"/>
    <w:rsid w:val="00724D70"/>
    <w:rsid w:val="007256D9"/>
    <w:rsid w:val="007258B5"/>
    <w:rsid w:val="007259C9"/>
    <w:rsid w:val="00725FF4"/>
    <w:rsid w:val="007272BA"/>
    <w:rsid w:val="007303E1"/>
    <w:rsid w:val="00730F29"/>
    <w:rsid w:val="0073100B"/>
    <w:rsid w:val="007312EF"/>
    <w:rsid w:val="0073192A"/>
    <w:rsid w:val="007321EB"/>
    <w:rsid w:val="0073226F"/>
    <w:rsid w:val="007322AD"/>
    <w:rsid w:val="00732413"/>
    <w:rsid w:val="00732423"/>
    <w:rsid w:val="0073282C"/>
    <w:rsid w:val="00732B15"/>
    <w:rsid w:val="00733071"/>
    <w:rsid w:val="0073360F"/>
    <w:rsid w:val="00733E00"/>
    <w:rsid w:val="00733F13"/>
    <w:rsid w:val="00734147"/>
    <w:rsid w:val="0073443C"/>
    <w:rsid w:val="007347A0"/>
    <w:rsid w:val="00734B11"/>
    <w:rsid w:val="00735E2D"/>
    <w:rsid w:val="00736631"/>
    <w:rsid w:val="00737445"/>
    <w:rsid w:val="007377D8"/>
    <w:rsid w:val="00737C38"/>
    <w:rsid w:val="007402D4"/>
    <w:rsid w:val="007407A2"/>
    <w:rsid w:val="00740B4F"/>
    <w:rsid w:val="00740DAB"/>
    <w:rsid w:val="007410FB"/>
    <w:rsid w:val="00741564"/>
    <w:rsid w:val="00741DCE"/>
    <w:rsid w:val="0074249D"/>
    <w:rsid w:val="007424F2"/>
    <w:rsid w:val="00742EBC"/>
    <w:rsid w:val="00743603"/>
    <w:rsid w:val="00743763"/>
    <w:rsid w:val="007438A6"/>
    <w:rsid w:val="00743CC9"/>
    <w:rsid w:val="007440E7"/>
    <w:rsid w:val="007442B2"/>
    <w:rsid w:val="00744570"/>
    <w:rsid w:val="007445C4"/>
    <w:rsid w:val="0074495D"/>
    <w:rsid w:val="00744BE1"/>
    <w:rsid w:val="00744E03"/>
    <w:rsid w:val="00744FD8"/>
    <w:rsid w:val="00745261"/>
    <w:rsid w:val="007457BF"/>
    <w:rsid w:val="00745DA2"/>
    <w:rsid w:val="00745FDE"/>
    <w:rsid w:val="0074631A"/>
    <w:rsid w:val="00746637"/>
    <w:rsid w:val="00746BBD"/>
    <w:rsid w:val="00746C35"/>
    <w:rsid w:val="00747181"/>
    <w:rsid w:val="00750584"/>
    <w:rsid w:val="007505F8"/>
    <w:rsid w:val="00750742"/>
    <w:rsid w:val="007507FC"/>
    <w:rsid w:val="00750810"/>
    <w:rsid w:val="007509FE"/>
    <w:rsid w:val="00750A13"/>
    <w:rsid w:val="00750A1E"/>
    <w:rsid w:val="0075115A"/>
    <w:rsid w:val="007514F8"/>
    <w:rsid w:val="00751A01"/>
    <w:rsid w:val="00752435"/>
    <w:rsid w:val="00752C89"/>
    <w:rsid w:val="00752E6F"/>
    <w:rsid w:val="00752FA8"/>
    <w:rsid w:val="007536FB"/>
    <w:rsid w:val="00753C5F"/>
    <w:rsid w:val="00753CE1"/>
    <w:rsid w:val="00753FCB"/>
    <w:rsid w:val="007544EF"/>
    <w:rsid w:val="007545ED"/>
    <w:rsid w:val="00754BF2"/>
    <w:rsid w:val="00754E90"/>
    <w:rsid w:val="007562A3"/>
    <w:rsid w:val="00756A72"/>
    <w:rsid w:val="00756B83"/>
    <w:rsid w:val="00756BB4"/>
    <w:rsid w:val="00756DE2"/>
    <w:rsid w:val="00757462"/>
    <w:rsid w:val="0076027D"/>
    <w:rsid w:val="00760477"/>
    <w:rsid w:val="00760690"/>
    <w:rsid w:val="007607D0"/>
    <w:rsid w:val="00760D28"/>
    <w:rsid w:val="00760DC8"/>
    <w:rsid w:val="007611F9"/>
    <w:rsid w:val="00761377"/>
    <w:rsid w:val="00762445"/>
    <w:rsid w:val="007627DC"/>
    <w:rsid w:val="0076324E"/>
    <w:rsid w:val="00763809"/>
    <w:rsid w:val="00763E00"/>
    <w:rsid w:val="0076461F"/>
    <w:rsid w:val="0076482C"/>
    <w:rsid w:val="00764AD1"/>
    <w:rsid w:val="007652A4"/>
    <w:rsid w:val="00766BE2"/>
    <w:rsid w:val="0076758F"/>
    <w:rsid w:val="00767CCA"/>
    <w:rsid w:val="00767FC8"/>
    <w:rsid w:val="007706A2"/>
    <w:rsid w:val="00770F0A"/>
    <w:rsid w:val="0077139C"/>
    <w:rsid w:val="0077167C"/>
    <w:rsid w:val="00771A47"/>
    <w:rsid w:val="00771ED3"/>
    <w:rsid w:val="00771FCB"/>
    <w:rsid w:val="00772088"/>
    <w:rsid w:val="007727C7"/>
    <w:rsid w:val="0077291E"/>
    <w:rsid w:val="00772AFF"/>
    <w:rsid w:val="00772D33"/>
    <w:rsid w:val="0077303B"/>
    <w:rsid w:val="007731D0"/>
    <w:rsid w:val="00773ECE"/>
    <w:rsid w:val="00774A54"/>
    <w:rsid w:val="00775E51"/>
    <w:rsid w:val="00776827"/>
    <w:rsid w:val="00776DCD"/>
    <w:rsid w:val="0077720D"/>
    <w:rsid w:val="00777279"/>
    <w:rsid w:val="0077728F"/>
    <w:rsid w:val="00777D06"/>
    <w:rsid w:val="007808C3"/>
    <w:rsid w:val="007808FA"/>
    <w:rsid w:val="00781421"/>
    <w:rsid w:val="00781563"/>
    <w:rsid w:val="007815B6"/>
    <w:rsid w:val="00781B66"/>
    <w:rsid w:val="00781CDE"/>
    <w:rsid w:val="00781D4D"/>
    <w:rsid w:val="00781D5E"/>
    <w:rsid w:val="0078226A"/>
    <w:rsid w:val="00782336"/>
    <w:rsid w:val="0078277B"/>
    <w:rsid w:val="00782ADB"/>
    <w:rsid w:val="00782D95"/>
    <w:rsid w:val="00782EFC"/>
    <w:rsid w:val="00783263"/>
    <w:rsid w:val="007835FB"/>
    <w:rsid w:val="0078408D"/>
    <w:rsid w:val="00784256"/>
    <w:rsid w:val="007853BE"/>
    <w:rsid w:val="0078574C"/>
    <w:rsid w:val="00785961"/>
    <w:rsid w:val="00785F04"/>
    <w:rsid w:val="007861F9"/>
    <w:rsid w:val="00787217"/>
    <w:rsid w:val="007876B1"/>
    <w:rsid w:val="007879F8"/>
    <w:rsid w:val="00787FB6"/>
    <w:rsid w:val="007901B3"/>
    <w:rsid w:val="00791636"/>
    <w:rsid w:val="00791DC1"/>
    <w:rsid w:val="00791FE9"/>
    <w:rsid w:val="0079235A"/>
    <w:rsid w:val="007926EF"/>
    <w:rsid w:val="00793371"/>
    <w:rsid w:val="00793A8C"/>
    <w:rsid w:val="00793E10"/>
    <w:rsid w:val="00794062"/>
    <w:rsid w:val="007941E8"/>
    <w:rsid w:val="0079430E"/>
    <w:rsid w:val="007943CD"/>
    <w:rsid w:val="00794448"/>
    <w:rsid w:val="00795747"/>
    <w:rsid w:val="00795D28"/>
    <w:rsid w:val="00795F2E"/>
    <w:rsid w:val="007961B1"/>
    <w:rsid w:val="007961DB"/>
    <w:rsid w:val="00796340"/>
    <w:rsid w:val="00797040"/>
    <w:rsid w:val="00797296"/>
    <w:rsid w:val="007972F4"/>
    <w:rsid w:val="007973BB"/>
    <w:rsid w:val="0079756B"/>
    <w:rsid w:val="007A02EF"/>
    <w:rsid w:val="007A074E"/>
    <w:rsid w:val="007A0A12"/>
    <w:rsid w:val="007A1092"/>
    <w:rsid w:val="007A1ADF"/>
    <w:rsid w:val="007A1B8C"/>
    <w:rsid w:val="007A20AD"/>
    <w:rsid w:val="007A2FC5"/>
    <w:rsid w:val="007A3230"/>
    <w:rsid w:val="007A40C0"/>
    <w:rsid w:val="007A40FE"/>
    <w:rsid w:val="007A50BC"/>
    <w:rsid w:val="007A591B"/>
    <w:rsid w:val="007A5D63"/>
    <w:rsid w:val="007A5FCD"/>
    <w:rsid w:val="007A65D8"/>
    <w:rsid w:val="007A661E"/>
    <w:rsid w:val="007A66ED"/>
    <w:rsid w:val="007A745B"/>
    <w:rsid w:val="007A7484"/>
    <w:rsid w:val="007A7AB2"/>
    <w:rsid w:val="007A7DC4"/>
    <w:rsid w:val="007B0511"/>
    <w:rsid w:val="007B0DB8"/>
    <w:rsid w:val="007B1144"/>
    <w:rsid w:val="007B118E"/>
    <w:rsid w:val="007B12B1"/>
    <w:rsid w:val="007B1AE8"/>
    <w:rsid w:val="007B22E2"/>
    <w:rsid w:val="007B24B3"/>
    <w:rsid w:val="007B265D"/>
    <w:rsid w:val="007B27C5"/>
    <w:rsid w:val="007B2AB0"/>
    <w:rsid w:val="007B2E1E"/>
    <w:rsid w:val="007B3128"/>
    <w:rsid w:val="007B371C"/>
    <w:rsid w:val="007B377C"/>
    <w:rsid w:val="007B3D9A"/>
    <w:rsid w:val="007B3E47"/>
    <w:rsid w:val="007B3F59"/>
    <w:rsid w:val="007B56EF"/>
    <w:rsid w:val="007B59B9"/>
    <w:rsid w:val="007B64BC"/>
    <w:rsid w:val="007B67C0"/>
    <w:rsid w:val="007B70AE"/>
    <w:rsid w:val="007B711A"/>
    <w:rsid w:val="007B7468"/>
    <w:rsid w:val="007B7567"/>
    <w:rsid w:val="007B792B"/>
    <w:rsid w:val="007B7DDA"/>
    <w:rsid w:val="007B7E87"/>
    <w:rsid w:val="007C05E7"/>
    <w:rsid w:val="007C0B63"/>
    <w:rsid w:val="007C0C7A"/>
    <w:rsid w:val="007C1161"/>
    <w:rsid w:val="007C14F6"/>
    <w:rsid w:val="007C1F1D"/>
    <w:rsid w:val="007C23C6"/>
    <w:rsid w:val="007C29C2"/>
    <w:rsid w:val="007C2AF0"/>
    <w:rsid w:val="007C3155"/>
    <w:rsid w:val="007C36FC"/>
    <w:rsid w:val="007C3BC6"/>
    <w:rsid w:val="007C3D29"/>
    <w:rsid w:val="007C4EF0"/>
    <w:rsid w:val="007C639F"/>
    <w:rsid w:val="007C6DD1"/>
    <w:rsid w:val="007C74B1"/>
    <w:rsid w:val="007C76A3"/>
    <w:rsid w:val="007C7C02"/>
    <w:rsid w:val="007C7FC7"/>
    <w:rsid w:val="007D0811"/>
    <w:rsid w:val="007D0C39"/>
    <w:rsid w:val="007D0E2A"/>
    <w:rsid w:val="007D1078"/>
    <w:rsid w:val="007D1D0B"/>
    <w:rsid w:val="007D26B6"/>
    <w:rsid w:val="007D2825"/>
    <w:rsid w:val="007D3461"/>
    <w:rsid w:val="007D3811"/>
    <w:rsid w:val="007D397F"/>
    <w:rsid w:val="007D40C4"/>
    <w:rsid w:val="007D4404"/>
    <w:rsid w:val="007D4C4C"/>
    <w:rsid w:val="007D4F17"/>
    <w:rsid w:val="007D55C0"/>
    <w:rsid w:val="007D5CED"/>
    <w:rsid w:val="007D6275"/>
    <w:rsid w:val="007D6604"/>
    <w:rsid w:val="007D6660"/>
    <w:rsid w:val="007D666D"/>
    <w:rsid w:val="007D72C2"/>
    <w:rsid w:val="007D75A5"/>
    <w:rsid w:val="007D77CF"/>
    <w:rsid w:val="007D7B61"/>
    <w:rsid w:val="007E0442"/>
    <w:rsid w:val="007E101A"/>
    <w:rsid w:val="007E15DD"/>
    <w:rsid w:val="007E1AA9"/>
    <w:rsid w:val="007E27BA"/>
    <w:rsid w:val="007E324D"/>
    <w:rsid w:val="007E387C"/>
    <w:rsid w:val="007E4492"/>
    <w:rsid w:val="007E4940"/>
    <w:rsid w:val="007E4A91"/>
    <w:rsid w:val="007E56E4"/>
    <w:rsid w:val="007E5EE4"/>
    <w:rsid w:val="007E5F13"/>
    <w:rsid w:val="007E60E8"/>
    <w:rsid w:val="007E6398"/>
    <w:rsid w:val="007E644F"/>
    <w:rsid w:val="007E71BF"/>
    <w:rsid w:val="007E7989"/>
    <w:rsid w:val="007E7C5F"/>
    <w:rsid w:val="007F0174"/>
    <w:rsid w:val="007F0794"/>
    <w:rsid w:val="007F0870"/>
    <w:rsid w:val="007F1151"/>
    <w:rsid w:val="007F17D9"/>
    <w:rsid w:val="007F1912"/>
    <w:rsid w:val="007F2458"/>
    <w:rsid w:val="007F2469"/>
    <w:rsid w:val="007F2BAC"/>
    <w:rsid w:val="007F2DAC"/>
    <w:rsid w:val="007F3847"/>
    <w:rsid w:val="007F52C4"/>
    <w:rsid w:val="007F53DC"/>
    <w:rsid w:val="007F59A9"/>
    <w:rsid w:val="007F5CE5"/>
    <w:rsid w:val="007F608A"/>
    <w:rsid w:val="007F6192"/>
    <w:rsid w:val="007F6895"/>
    <w:rsid w:val="007F6BEA"/>
    <w:rsid w:val="007F7213"/>
    <w:rsid w:val="007F7779"/>
    <w:rsid w:val="007F793D"/>
    <w:rsid w:val="007F7D83"/>
    <w:rsid w:val="007F7EC3"/>
    <w:rsid w:val="007F7EE7"/>
    <w:rsid w:val="008005D4"/>
    <w:rsid w:val="00800D61"/>
    <w:rsid w:val="008013D6"/>
    <w:rsid w:val="00801803"/>
    <w:rsid w:val="00801F1A"/>
    <w:rsid w:val="00802AA6"/>
    <w:rsid w:val="00803DD0"/>
    <w:rsid w:val="00804537"/>
    <w:rsid w:val="00805314"/>
    <w:rsid w:val="00805571"/>
    <w:rsid w:val="00806005"/>
    <w:rsid w:val="00806228"/>
    <w:rsid w:val="0080630A"/>
    <w:rsid w:val="00806394"/>
    <w:rsid w:val="00806958"/>
    <w:rsid w:val="00807635"/>
    <w:rsid w:val="008076FA"/>
    <w:rsid w:val="00807707"/>
    <w:rsid w:val="00807D0E"/>
    <w:rsid w:val="00807D5F"/>
    <w:rsid w:val="00810BE7"/>
    <w:rsid w:val="00810CEE"/>
    <w:rsid w:val="00810D8A"/>
    <w:rsid w:val="0081114F"/>
    <w:rsid w:val="00811589"/>
    <w:rsid w:val="00811755"/>
    <w:rsid w:val="008117EF"/>
    <w:rsid w:val="00811ABA"/>
    <w:rsid w:val="00811D55"/>
    <w:rsid w:val="00812CAF"/>
    <w:rsid w:val="00812E6C"/>
    <w:rsid w:val="00813185"/>
    <w:rsid w:val="008133D4"/>
    <w:rsid w:val="008135C9"/>
    <w:rsid w:val="00813C34"/>
    <w:rsid w:val="008142B2"/>
    <w:rsid w:val="00814731"/>
    <w:rsid w:val="00815454"/>
    <w:rsid w:val="00815A39"/>
    <w:rsid w:val="008163A7"/>
    <w:rsid w:val="008163DD"/>
    <w:rsid w:val="00816492"/>
    <w:rsid w:val="008166A3"/>
    <w:rsid w:val="00816B40"/>
    <w:rsid w:val="00816D05"/>
    <w:rsid w:val="00816F7A"/>
    <w:rsid w:val="00817AF8"/>
    <w:rsid w:val="00817C44"/>
    <w:rsid w:val="00817C58"/>
    <w:rsid w:val="00820108"/>
    <w:rsid w:val="00820279"/>
    <w:rsid w:val="008205A6"/>
    <w:rsid w:val="008205F7"/>
    <w:rsid w:val="008209C6"/>
    <w:rsid w:val="00820DC7"/>
    <w:rsid w:val="00820FD7"/>
    <w:rsid w:val="00821312"/>
    <w:rsid w:val="0082164C"/>
    <w:rsid w:val="0082181B"/>
    <w:rsid w:val="00821954"/>
    <w:rsid w:val="00821AD7"/>
    <w:rsid w:val="00821C5D"/>
    <w:rsid w:val="00822236"/>
    <w:rsid w:val="0082272F"/>
    <w:rsid w:val="00822A62"/>
    <w:rsid w:val="00822B38"/>
    <w:rsid w:val="00823689"/>
    <w:rsid w:val="00823ACC"/>
    <w:rsid w:val="00823D55"/>
    <w:rsid w:val="0082487D"/>
    <w:rsid w:val="00824E7B"/>
    <w:rsid w:val="00824F83"/>
    <w:rsid w:val="00826E05"/>
    <w:rsid w:val="008271C9"/>
    <w:rsid w:val="00827494"/>
    <w:rsid w:val="00827661"/>
    <w:rsid w:val="0082785C"/>
    <w:rsid w:val="008279C9"/>
    <w:rsid w:val="00827C5E"/>
    <w:rsid w:val="00830A05"/>
    <w:rsid w:val="00830E55"/>
    <w:rsid w:val="00831366"/>
    <w:rsid w:val="00831629"/>
    <w:rsid w:val="00831638"/>
    <w:rsid w:val="00831894"/>
    <w:rsid w:val="00831C0D"/>
    <w:rsid w:val="00831E3B"/>
    <w:rsid w:val="00831F5D"/>
    <w:rsid w:val="0083208B"/>
    <w:rsid w:val="00832774"/>
    <w:rsid w:val="00832D21"/>
    <w:rsid w:val="00833105"/>
    <w:rsid w:val="008338EC"/>
    <w:rsid w:val="00833C4A"/>
    <w:rsid w:val="00833D84"/>
    <w:rsid w:val="008340C9"/>
    <w:rsid w:val="008341ED"/>
    <w:rsid w:val="00834535"/>
    <w:rsid w:val="008348F1"/>
    <w:rsid w:val="00834A28"/>
    <w:rsid w:val="00834ADE"/>
    <w:rsid w:val="00834CB6"/>
    <w:rsid w:val="00836163"/>
    <w:rsid w:val="00836617"/>
    <w:rsid w:val="00836622"/>
    <w:rsid w:val="00836824"/>
    <w:rsid w:val="00836F83"/>
    <w:rsid w:val="008373DB"/>
    <w:rsid w:val="008376D8"/>
    <w:rsid w:val="00837A13"/>
    <w:rsid w:val="00837B74"/>
    <w:rsid w:val="00837CAD"/>
    <w:rsid w:val="00840046"/>
    <w:rsid w:val="008414CF"/>
    <w:rsid w:val="008417B8"/>
    <w:rsid w:val="008422ED"/>
    <w:rsid w:val="008425B1"/>
    <w:rsid w:val="00842860"/>
    <w:rsid w:val="00843289"/>
    <w:rsid w:val="0084349F"/>
    <w:rsid w:val="00843A32"/>
    <w:rsid w:val="00843CD9"/>
    <w:rsid w:val="00843CF3"/>
    <w:rsid w:val="00843F1F"/>
    <w:rsid w:val="00844B5F"/>
    <w:rsid w:val="0084565C"/>
    <w:rsid w:val="00846115"/>
    <w:rsid w:val="008462E4"/>
    <w:rsid w:val="00846E6F"/>
    <w:rsid w:val="00846EC3"/>
    <w:rsid w:val="00847989"/>
    <w:rsid w:val="0085019F"/>
    <w:rsid w:val="0085049F"/>
    <w:rsid w:val="0085055F"/>
    <w:rsid w:val="008517F0"/>
    <w:rsid w:val="00852426"/>
    <w:rsid w:val="008524AB"/>
    <w:rsid w:val="00852AC8"/>
    <w:rsid w:val="00852C0C"/>
    <w:rsid w:val="00852FC4"/>
    <w:rsid w:val="00853F44"/>
    <w:rsid w:val="00855427"/>
    <w:rsid w:val="00855A80"/>
    <w:rsid w:val="00855E66"/>
    <w:rsid w:val="00855F00"/>
    <w:rsid w:val="00855F38"/>
    <w:rsid w:val="008566CA"/>
    <w:rsid w:val="00856814"/>
    <w:rsid w:val="008572BA"/>
    <w:rsid w:val="008574E3"/>
    <w:rsid w:val="008607D0"/>
    <w:rsid w:val="00860BA9"/>
    <w:rsid w:val="00860F8E"/>
    <w:rsid w:val="00861EF3"/>
    <w:rsid w:val="0086219D"/>
    <w:rsid w:val="008622C3"/>
    <w:rsid w:val="008626B0"/>
    <w:rsid w:val="008627F4"/>
    <w:rsid w:val="00862813"/>
    <w:rsid w:val="00862958"/>
    <w:rsid w:val="00862C39"/>
    <w:rsid w:val="00863022"/>
    <w:rsid w:val="00863AD9"/>
    <w:rsid w:val="00863ED0"/>
    <w:rsid w:val="0086429F"/>
    <w:rsid w:val="00864831"/>
    <w:rsid w:val="00864A4C"/>
    <w:rsid w:val="00865629"/>
    <w:rsid w:val="0086581D"/>
    <w:rsid w:val="00865A96"/>
    <w:rsid w:val="00866B58"/>
    <w:rsid w:val="00866C58"/>
    <w:rsid w:val="00866CE6"/>
    <w:rsid w:val="00866E85"/>
    <w:rsid w:val="008670A6"/>
    <w:rsid w:val="00867E15"/>
    <w:rsid w:val="00870136"/>
    <w:rsid w:val="0087017F"/>
    <w:rsid w:val="0087058B"/>
    <w:rsid w:val="0087071D"/>
    <w:rsid w:val="00870878"/>
    <w:rsid w:val="00870CDE"/>
    <w:rsid w:val="00870FBC"/>
    <w:rsid w:val="008710DB"/>
    <w:rsid w:val="00871420"/>
    <w:rsid w:val="00872245"/>
    <w:rsid w:val="00872B2D"/>
    <w:rsid w:val="00872C62"/>
    <w:rsid w:val="00872DC8"/>
    <w:rsid w:val="008731DB"/>
    <w:rsid w:val="00873A38"/>
    <w:rsid w:val="00875335"/>
    <w:rsid w:val="00875E64"/>
    <w:rsid w:val="00875EA9"/>
    <w:rsid w:val="0087616E"/>
    <w:rsid w:val="00876886"/>
    <w:rsid w:val="00876890"/>
    <w:rsid w:val="008768B8"/>
    <w:rsid w:val="008772CA"/>
    <w:rsid w:val="00877951"/>
    <w:rsid w:val="0088020B"/>
    <w:rsid w:val="0088067F"/>
    <w:rsid w:val="0088076D"/>
    <w:rsid w:val="00880B23"/>
    <w:rsid w:val="008815AC"/>
    <w:rsid w:val="00881FC2"/>
    <w:rsid w:val="0088213E"/>
    <w:rsid w:val="008825DC"/>
    <w:rsid w:val="008828D3"/>
    <w:rsid w:val="00883948"/>
    <w:rsid w:val="0088480D"/>
    <w:rsid w:val="0088489E"/>
    <w:rsid w:val="00884BC3"/>
    <w:rsid w:val="00885374"/>
    <w:rsid w:val="00885499"/>
    <w:rsid w:val="00885901"/>
    <w:rsid w:val="00885A34"/>
    <w:rsid w:val="00886A1B"/>
    <w:rsid w:val="00887DF2"/>
    <w:rsid w:val="00890C5A"/>
    <w:rsid w:val="00890C8C"/>
    <w:rsid w:val="00891522"/>
    <w:rsid w:val="0089178F"/>
    <w:rsid w:val="00891916"/>
    <w:rsid w:val="008926A9"/>
    <w:rsid w:val="00892B74"/>
    <w:rsid w:val="008932F5"/>
    <w:rsid w:val="00893FBC"/>
    <w:rsid w:val="0089429A"/>
    <w:rsid w:val="00894552"/>
    <w:rsid w:val="0089458F"/>
    <w:rsid w:val="0089463D"/>
    <w:rsid w:val="00894A2F"/>
    <w:rsid w:val="00894BEF"/>
    <w:rsid w:val="00894CC4"/>
    <w:rsid w:val="0089570F"/>
    <w:rsid w:val="00895AD5"/>
    <w:rsid w:val="00895EEA"/>
    <w:rsid w:val="008966C8"/>
    <w:rsid w:val="008A06F5"/>
    <w:rsid w:val="008A07A4"/>
    <w:rsid w:val="008A07B5"/>
    <w:rsid w:val="008A07F6"/>
    <w:rsid w:val="008A09A7"/>
    <w:rsid w:val="008A1063"/>
    <w:rsid w:val="008A120E"/>
    <w:rsid w:val="008A1637"/>
    <w:rsid w:val="008A180D"/>
    <w:rsid w:val="008A1AAC"/>
    <w:rsid w:val="008A1BAA"/>
    <w:rsid w:val="008A1BFC"/>
    <w:rsid w:val="008A1D4F"/>
    <w:rsid w:val="008A2452"/>
    <w:rsid w:val="008A27A4"/>
    <w:rsid w:val="008A2910"/>
    <w:rsid w:val="008A2A10"/>
    <w:rsid w:val="008A30B7"/>
    <w:rsid w:val="008A36EA"/>
    <w:rsid w:val="008A37F8"/>
    <w:rsid w:val="008A3870"/>
    <w:rsid w:val="008A3D5D"/>
    <w:rsid w:val="008A4028"/>
    <w:rsid w:val="008A4E3C"/>
    <w:rsid w:val="008A4EAD"/>
    <w:rsid w:val="008A4F8D"/>
    <w:rsid w:val="008A64C6"/>
    <w:rsid w:val="008A684A"/>
    <w:rsid w:val="008A6BBE"/>
    <w:rsid w:val="008A726D"/>
    <w:rsid w:val="008A7414"/>
    <w:rsid w:val="008A76AC"/>
    <w:rsid w:val="008A78C1"/>
    <w:rsid w:val="008A7CA0"/>
    <w:rsid w:val="008B0254"/>
    <w:rsid w:val="008B0697"/>
    <w:rsid w:val="008B06A5"/>
    <w:rsid w:val="008B0986"/>
    <w:rsid w:val="008B09D7"/>
    <w:rsid w:val="008B0AC0"/>
    <w:rsid w:val="008B17AF"/>
    <w:rsid w:val="008B210C"/>
    <w:rsid w:val="008B24A0"/>
    <w:rsid w:val="008B291A"/>
    <w:rsid w:val="008B2AE2"/>
    <w:rsid w:val="008B2BAF"/>
    <w:rsid w:val="008B2CBD"/>
    <w:rsid w:val="008B2D1E"/>
    <w:rsid w:val="008B2DDF"/>
    <w:rsid w:val="008B3571"/>
    <w:rsid w:val="008B4043"/>
    <w:rsid w:val="008B40DC"/>
    <w:rsid w:val="008B4B8E"/>
    <w:rsid w:val="008B4C35"/>
    <w:rsid w:val="008B51C0"/>
    <w:rsid w:val="008B53CC"/>
    <w:rsid w:val="008B5FA5"/>
    <w:rsid w:val="008B66C7"/>
    <w:rsid w:val="008B6C4A"/>
    <w:rsid w:val="008B6C5D"/>
    <w:rsid w:val="008C00E1"/>
    <w:rsid w:val="008C07E3"/>
    <w:rsid w:val="008C13DB"/>
    <w:rsid w:val="008C15BD"/>
    <w:rsid w:val="008C1910"/>
    <w:rsid w:val="008C1B01"/>
    <w:rsid w:val="008C2C4B"/>
    <w:rsid w:val="008C2C85"/>
    <w:rsid w:val="008C3CAC"/>
    <w:rsid w:val="008C3DF2"/>
    <w:rsid w:val="008C561A"/>
    <w:rsid w:val="008C5F21"/>
    <w:rsid w:val="008C62B3"/>
    <w:rsid w:val="008C6391"/>
    <w:rsid w:val="008C73C7"/>
    <w:rsid w:val="008C7615"/>
    <w:rsid w:val="008C798C"/>
    <w:rsid w:val="008D01B4"/>
    <w:rsid w:val="008D0673"/>
    <w:rsid w:val="008D0BE3"/>
    <w:rsid w:val="008D0F1E"/>
    <w:rsid w:val="008D14A3"/>
    <w:rsid w:val="008D151F"/>
    <w:rsid w:val="008D1B4F"/>
    <w:rsid w:val="008D1F0F"/>
    <w:rsid w:val="008D286A"/>
    <w:rsid w:val="008D2D65"/>
    <w:rsid w:val="008D3262"/>
    <w:rsid w:val="008D3FBC"/>
    <w:rsid w:val="008D4534"/>
    <w:rsid w:val="008D5D4D"/>
    <w:rsid w:val="008D62D5"/>
    <w:rsid w:val="008D6BCA"/>
    <w:rsid w:val="008D6EEB"/>
    <w:rsid w:val="008D6F54"/>
    <w:rsid w:val="008D728D"/>
    <w:rsid w:val="008D7422"/>
    <w:rsid w:val="008D76BD"/>
    <w:rsid w:val="008D78E2"/>
    <w:rsid w:val="008D7B12"/>
    <w:rsid w:val="008D7FA4"/>
    <w:rsid w:val="008E0487"/>
    <w:rsid w:val="008E08A6"/>
    <w:rsid w:val="008E0997"/>
    <w:rsid w:val="008E0CBC"/>
    <w:rsid w:val="008E11C6"/>
    <w:rsid w:val="008E15ED"/>
    <w:rsid w:val="008E170C"/>
    <w:rsid w:val="008E1A54"/>
    <w:rsid w:val="008E1AA4"/>
    <w:rsid w:val="008E1C3E"/>
    <w:rsid w:val="008E2166"/>
    <w:rsid w:val="008E2799"/>
    <w:rsid w:val="008E2834"/>
    <w:rsid w:val="008E30BE"/>
    <w:rsid w:val="008E3278"/>
    <w:rsid w:val="008E33B3"/>
    <w:rsid w:val="008E3705"/>
    <w:rsid w:val="008E38C3"/>
    <w:rsid w:val="008E3CE3"/>
    <w:rsid w:val="008E3E26"/>
    <w:rsid w:val="008E4120"/>
    <w:rsid w:val="008E4426"/>
    <w:rsid w:val="008E4B91"/>
    <w:rsid w:val="008E4F26"/>
    <w:rsid w:val="008E55F2"/>
    <w:rsid w:val="008E5C0D"/>
    <w:rsid w:val="008E60DB"/>
    <w:rsid w:val="008E62FC"/>
    <w:rsid w:val="008E6941"/>
    <w:rsid w:val="008E6AF8"/>
    <w:rsid w:val="008E6BEC"/>
    <w:rsid w:val="008E6EC7"/>
    <w:rsid w:val="008F0297"/>
    <w:rsid w:val="008F03C0"/>
    <w:rsid w:val="008F04F4"/>
    <w:rsid w:val="008F0666"/>
    <w:rsid w:val="008F0873"/>
    <w:rsid w:val="008F0E56"/>
    <w:rsid w:val="008F122C"/>
    <w:rsid w:val="008F1364"/>
    <w:rsid w:val="008F1650"/>
    <w:rsid w:val="008F24E3"/>
    <w:rsid w:val="008F27DE"/>
    <w:rsid w:val="008F3699"/>
    <w:rsid w:val="008F3F60"/>
    <w:rsid w:val="008F4FD1"/>
    <w:rsid w:val="008F5386"/>
    <w:rsid w:val="008F53A2"/>
    <w:rsid w:val="008F54D6"/>
    <w:rsid w:val="008F5A85"/>
    <w:rsid w:val="008F67CA"/>
    <w:rsid w:val="008F6B06"/>
    <w:rsid w:val="008F73E2"/>
    <w:rsid w:val="008F76FF"/>
    <w:rsid w:val="009000D9"/>
    <w:rsid w:val="00900335"/>
    <w:rsid w:val="0090056B"/>
    <w:rsid w:val="00900F9D"/>
    <w:rsid w:val="009010B4"/>
    <w:rsid w:val="009012F9"/>
    <w:rsid w:val="0090271A"/>
    <w:rsid w:val="00902E2F"/>
    <w:rsid w:val="00902EAE"/>
    <w:rsid w:val="0090341C"/>
    <w:rsid w:val="00903766"/>
    <w:rsid w:val="00903B6E"/>
    <w:rsid w:val="00903F55"/>
    <w:rsid w:val="009042C9"/>
    <w:rsid w:val="009047D2"/>
    <w:rsid w:val="00904894"/>
    <w:rsid w:val="009048AB"/>
    <w:rsid w:val="009049FC"/>
    <w:rsid w:val="00904D2B"/>
    <w:rsid w:val="00904F39"/>
    <w:rsid w:val="00904F8A"/>
    <w:rsid w:val="0090603B"/>
    <w:rsid w:val="0090649A"/>
    <w:rsid w:val="009066B9"/>
    <w:rsid w:val="009069E9"/>
    <w:rsid w:val="00906BD3"/>
    <w:rsid w:val="00906D57"/>
    <w:rsid w:val="00906FD7"/>
    <w:rsid w:val="00907ED8"/>
    <w:rsid w:val="00910544"/>
    <w:rsid w:val="00910867"/>
    <w:rsid w:val="00910C03"/>
    <w:rsid w:val="009111D2"/>
    <w:rsid w:val="009117EA"/>
    <w:rsid w:val="00911D56"/>
    <w:rsid w:val="00912C13"/>
    <w:rsid w:val="00912C4F"/>
    <w:rsid w:val="00912ED4"/>
    <w:rsid w:val="009135BB"/>
    <w:rsid w:val="009137B9"/>
    <w:rsid w:val="00913963"/>
    <w:rsid w:val="00913E1F"/>
    <w:rsid w:val="009140CE"/>
    <w:rsid w:val="009141EE"/>
    <w:rsid w:val="00914282"/>
    <w:rsid w:val="0091465C"/>
    <w:rsid w:val="0091473A"/>
    <w:rsid w:val="00914A1A"/>
    <w:rsid w:val="00914D21"/>
    <w:rsid w:val="00915485"/>
    <w:rsid w:val="00915511"/>
    <w:rsid w:val="00915F2F"/>
    <w:rsid w:val="00916529"/>
    <w:rsid w:val="0091683F"/>
    <w:rsid w:val="00916C89"/>
    <w:rsid w:val="009170C4"/>
    <w:rsid w:val="009175C4"/>
    <w:rsid w:val="009177B0"/>
    <w:rsid w:val="009177DD"/>
    <w:rsid w:val="00917B23"/>
    <w:rsid w:val="00917BA9"/>
    <w:rsid w:val="00917EC7"/>
    <w:rsid w:val="0092044B"/>
    <w:rsid w:val="009205D8"/>
    <w:rsid w:val="00921481"/>
    <w:rsid w:val="00921502"/>
    <w:rsid w:val="009216B9"/>
    <w:rsid w:val="009218E4"/>
    <w:rsid w:val="00921A3F"/>
    <w:rsid w:val="00921DF9"/>
    <w:rsid w:val="00922EB2"/>
    <w:rsid w:val="00922F14"/>
    <w:rsid w:val="00923627"/>
    <w:rsid w:val="00923641"/>
    <w:rsid w:val="00923BF5"/>
    <w:rsid w:val="009245BA"/>
    <w:rsid w:val="00924DE3"/>
    <w:rsid w:val="00925B6A"/>
    <w:rsid w:val="00926129"/>
    <w:rsid w:val="009263F4"/>
    <w:rsid w:val="009264D6"/>
    <w:rsid w:val="00926F8F"/>
    <w:rsid w:val="00927033"/>
    <w:rsid w:val="0092711D"/>
    <w:rsid w:val="009276E6"/>
    <w:rsid w:val="00927D1F"/>
    <w:rsid w:val="0093051E"/>
    <w:rsid w:val="00930CDE"/>
    <w:rsid w:val="00931035"/>
    <w:rsid w:val="00931365"/>
    <w:rsid w:val="00931520"/>
    <w:rsid w:val="0093162A"/>
    <w:rsid w:val="00931924"/>
    <w:rsid w:val="00931E00"/>
    <w:rsid w:val="009322E7"/>
    <w:rsid w:val="00933366"/>
    <w:rsid w:val="00933E23"/>
    <w:rsid w:val="00934652"/>
    <w:rsid w:val="00934CE9"/>
    <w:rsid w:val="00934CFA"/>
    <w:rsid w:val="00934D2A"/>
    <w:rsid w:val="00934ECD"/>
    <w:rsid w:val="00935934"/>
    <w:rsid w:val="00935B33"/>
    <w:rsid w:val="00935F0E"/>
    <w:rsid w:val="00935F25"/>
    <w:rsid w:val="009361C1"/>
    <w:rsid w:val="009366A6"/>
    <w:rsid w:val="0093698E"/>
    <w:rsid w:val="00936EE0"/>
    <w:rsid w:val="00936EEB"/>
    <w:rsid w:val="0093707E"/>
    <w:rsid w:val="009370F6"/>
    <w:rsid w:val="00937262"/>
    <w:rsid w:val="009376E3"/>
    <w:rsid w:val="00937774"/>
    <w:rsid w:val="009377C2"/>
    <w:rsid w:val="009377E1"/>
    <w:rsid w:val="009378A4"/>
    <w:rsid w:val="00937917"/>
    <w:rsid w:val="009403C8"/>
    <w:rsid w:val="009405B5"/>
    <w:rsid w:val="00940C94"/>
    <w:rsid w:val="00940FFA"/>
    <w:rsid w:val="00941146"/>
    <w:rsid w:val="0094123E"/>
    <w:rsid w:val="00941670"/>
    <w:rsid w:val="00941830"/>
    <w:rsid w:val="00941EF4"/>
    <w:rsid w:val="009425B1"/>
    <w:rsid w:val="00942D3F"/>
    <w:rsid w:val="0094306D"/>
    <w:rsid w:val="0094341C"/>
    <w:rsid w:val="00943EEB"/>
    <w:rsid w:val="00943F81"/>
    <w:rsid w:val="00944111"/>
    <w:rsid w:val="00944904"/>
    <w:rsid w:val="00944D56"/>
    <w:rsid w:val="00944E6C"/>
    <w:rsid w:val="00944E91"/>
    <w:rsid w:val="00945024"/>
    <w:rsid w:val="00945592"/>
    <w:rsid w:val="009455FE"/>
    <w:rsid w:val="00945665"/>
    <w:rsid w:val="0094571D"/>
    <w:rsid w:val="00945F05"/>
    <w:rsid w:val="0094603B"/>
    <w:rsid w:val="00946CED"/>
    <w:rsid w:val="00946D88"/>
    <w:rsid w:val="00946E1E"/>
    <w:rsid w:val="00946E5B"/>
    <w:rsid w:val="009473F7"/>
    <w:rsid w:val="009476C7"/>
    <w:rsid w:val="00947B1C"/>
    <w:rsid w:val="00947CEC"/>
    <w:rsid w:val="009506AC"/>
    <w:rsid w:val="0095072F"/>
    <w:rsid w:val="00950762"/>
    <w:rsid w:val="00950B99"/>
    <w:rsid w:val="00950E1C"/>
    <w:rsid w:val="0095114A"/>
    <w:rsid w:val="009512B7"/>
    <w:rsid w:val="0095178F"/>
    <w:rsid w:val="00952169"/>
    <w:rsid w:val="00952A47"/>
    <w:rsid w:val="00952A4D"/>
    <w:rsid w:val="00952D08"/>
    <w:rsid w:val="00953BF7"/>
    <w:rsid w:val="009542F7"/>
    <w:rsid w:val="00954696"/>
    <w:rsid w:val="009546C3"/>
    <w:rsid w:val="00955331"/>
    <w:rsid w:val="009560AE"/>
    <w:rsid w:val="009564C4"/>
    <w:rsid w:val="00956B0D"/>
    <w:rsid w:val="00956C10"/>
    <w:rsid w:val="00957004"/>
    <w:rsid w:val="0095759C"/>
    <w:rsid w:val="00957607"/>
    <w:rsid w:val="00957C3C"/>
    <w:rsid w:val="009605C7"/>
    <w:rsid w:val="00960824"/>
    <w:rsid w:val="009608C9"/>
    <w:rsid w:val="00960F52"/>
    <w:rsid w:val="00961AE7"/>
    <w:rsid w:val="00961D8F"/>
    <w:rsid w:val="0096232D"/>
    <w:rsid w:val="00962D7E"/>
    <w:rsid w:val="00963435"/>
    <w:rsid w:val="009635E7"/>
    <w:rsid w:val="00963695"/>
    <w:rsid w:val="0096417A"/>
    <w:rsid w:val="00964240"/>
    <w:rsid w:val="00965FD7"/>
    <w:rsid w:val="00966077"/>
    <w:rsid w:val="00966132"/>
    <w:rsid w:val="009669A4"/>
    <w:rsid w:val="00966DC0"/>
    <w:rsid w:val="00967357"/>
    <w:rsid w:val="00967950"/>
    <w:rsid w:val="00967D2C"/>
    <w:rsid w:val="00967EE2"/>
    <w:rsid w:val="0097001E"/>
    <w:rsid w:val="009700CF"/>
    <w:rsid w:val="00970167"/>
    <w:rsid w:val="00970266"/>
    <w:rsid w:val="009709A3"/>
    <w:rsid w:val="00970A00"/>
    <w:rsid w:val="0097176E"/>
    <w:rsid w:val="00971B2E"/>
    <w:rsid w:val="00971C14"/>
    <w:rsid w:val="009733D6"/>
    <w:rsid w:val="0097345B"/>
    <w:rsid w:val="009737DF"/>
    <w:rsid w:val="009737FC"/>
    <w:rsid w:val="00973F11"/>
    <w:rsid w:val="00974262"/>
    <w:rsid w:val="009742A4"/>
    <w:rsid w:val="00974B0F"/>
    <w:rsid w:val="00974B82"/>
    <w:rsid w:val="00974DAD"/>
    <w:rsid w:val="0097514E"/>
    <w:rsid w:val="00975361"/>
    <w:rsid w:val="009757F2"/>
    <w:rsid w:val="009758F3"/>
    <w:rsid w:val="00975A7D"/>
    <w:rsid w:val="00975CD4"/>
    <w:rsid w:val="00975E96"/>
    <w:rsid w:val="00975ED7"/>
    <w:rsid w:val="00977096"/>
    <w:rsid w:val="009776AE"/>
    <w:rsid w:val="0097773B"/>
    <w:rsid w:val="00980762"/>
    <w:rsid w:val="00981167"/>
    <w:rsid w:val="0098120F"/>
    <w:rsid w:val="00981AF5"/>
    <w:rsid w:val="00982582"/>
    <w:rsid w:val="009827F7"/>
    <w:rsid w:val="009829A5"/>
    <w:rsid w:val="00982C22"/>
    <w:rsid w:val="00983C36"/>
    <w:rsid w:val="00983FF9"/>
    <w:rsid w:val="00984322"/>
    <w:rsid w:val="0098458C"/>
    <w:rsid w:val="00984883"/>
    <w:rsid w:val="00985D2D"/>
    <w:rsid w:val="009860E9"/>
    <w:rsid w:val="00986328"/>
    <w:rsid w:val="00986418"/>
    <w:rsid w:val="00986CFE"/>
    <w:rsid w:val="00987BD6"/>
    <w:rsid w:val="00987CE8"/>
    <w:rsid w:val="00990168"/>
    <w:rsid w:val="009903B7"/>
    <w:rsid w:val="0099043B"/>
    <w:rsid w:val="00990499"/>
    <w:rsid w:val="0099089C"/>
    <w:rsid w:val="00990BA9"/>
    <w:rsid w:val="00990C00"/>
    <w:rsid w:val="0099156E"/>
    <w:rsid w:val="009915B8"/>
    <w:rsid w:val="00991A1E"/>
    <w:rsid w:val="0099204C"/>
    <w:rsid w:val="009922F2"/>
    <w:rsid w:val="009924AD"/>
    <w:rsid w:val="009924F8"/>
    <w:rsid w:val="00992A22"/>
    <w:rsid w:val="009931ED"/>
    <w:rsid w:val="00993932"/>
    <w:rsid w:val="00994144"/>
    <w:rsid w:val="00994281"/>
    <w:rsid w:val="00994A8D"/>
    <w:rsid w:val="00994CDF"/>
    <w:rsid w:val="009951EE"/>
    <w:rsid w:val="009962AF"/>
    <w:rsid w:val="009968E8"/>
    <w:rsid w:val="00996B95"/>
    <w:rsid w:val="00996CC4"/>
    <w:rsid w:val="00996DF2"/>
    <w:rsid w:val="00996DF4"/>
    <w:rsid w:val="009975D2"/>
    <w:rsid w:val="009976DF"/>
    <w:rsid w:val="009A03FC"/>
    <w:rsid w:val="009A0637"/>
    <w:rsid w:val="009A09AC"/>
    <w:rsid w:val="009A2069"/>
    <w:rsid w:val="009A2970"/>
    <w:rsid w:val="009A2DF8"/>
    <w:rsid w:val="009A2E97"/>
    <w:rsid w:val="009A30DB"/>
    <w:rsid w:val="009A3235"/>
    <w:rsid w:val="009A378D"/>
    <w:rsid w:val="009A3F23"/>
    <w:rsid w:val="009A400A"/>
    <w:rsid w:val="009A419A"/>
    <w:rsid w:val="009A43F2"/>
    <w:rsid w:val="009A4590"/>
    <w:rsid w:val="009A4D06"/>
    <w:rsid w:val="009A4DFD"/>
    <w:rsid w:val="009A59B3"/>
    <w:rsid w:val="009A5E50"/>
    <w:rsid w:val="009A6815"/>
    <w:rsid w:val="009A6DAB"/>
    <w:rsid w:val="009A70C6"/>
    <w:rsid w:val="009A7B41"/>
    <w:rsid w:val="009B0343"/>
    <w:rsid w:val="009B03E7"/>
    <w:rsid w:val="009B0617"/>
    <w:rsid w:val="009B10D6"/>
    <w:rsid w:val="009B1191"/>
    <w:rsid w:val="009B1A29"/>
    <w:rsid w:val="009B22A6"/>
    <w:rsid w:val="009B22F6"/>
    <w:rsid w:val="009B254B"/>
    <w:rsid w:val="009B265B"/>
    <w:rsid w:val="009B28E9"/>
    <w:rsid w:val="009B36BE"/>
    <w:rsid w:val="009B39CE"/>
    <w:rsid w:val="009B46DE"/>
    <w:rsid w:val="009B4AC4"/>
    <w:rsid w:val="009B4F80"/>
    <w:rsid w:val="009B54A6"/>
    <w:rsid w:val="009B54BA"/>
    <w:rsid w:val="009B54F6"/>
    <w:rsid w:val="009B5CC8"/>
    <w:rsid w:val="009B60FE"/>
    <w:rsid w:val="009B64D9"/>
    <w:rsid w:val="009B6D9B"/>
    <w:rsid w:val="009B7761"/>
    <w:rsid w:val="009B78F2"/>
    <w:rsid w:val="009B7B87"/>
    <w:rsid w:val="009B7D27"/>
    <w:rsid w:val="009B7FD2"/>
    <w:rsid w:val="009C0566"/>
    <w:rsid w:val="009C0FEC"/>
    <w:rsid w:val="009C1D28"/>
    <w:rsid w:val="009C21A0"/>
    <w:rsid w:val="009C22E4"/>
    <w:rsid w:val="009C2D49"/>
    <w:rsid w:val="009C30AA"/>
    <w:rsid w:val="009C3702"/>
    <w:rsid w:val="009C3BC8"/>
    <w:rsid w:val="009C3E9C"/>
    <w:rsid w:val="009C42F7"/>
    <w:rsid w:val="009C450F"/>
    <w:rsid w:val="009C45F2"/>
    <w:rsid w:val="009C47B2"/>
    <w:rsid w:val="009C4A53"/>
    <w:rsid w:val="009C5048"/>
    <w:rsid w:val="009C5227"/>
    <w:rsid w:val="009C5449"/>
    <w:rsid w:val="009C5A47"/>
    <w:rsid w:val="009C6761"/>
    <w:rsid w:val="009C6F66"/>
    <w:rsid w:val="009C7747"/>
    <w:rsid w:val="009C777E"/>
    <w:rsid w:val="009C78BD"/>
    <w:rsid w:val="009C78C0"/>
    <w:rsid w:val="009C7AA0"/>
    <w:rsid w:val="009C7FA1"/>
    <w:rsid w:val="009D0875"/>
    <w:rsid w:val="009D1188"/>
    <w:rsid w:val="009D12E4"/>
    <w:rsid w:val="009D138C"/>
    <w:rsid w:val="009D1578"/>
    <w:rsid w:val="009D1775"/>
    <w:rsid w:val="009D19FA"/>
    <w:rsid w:val="009D1CBD"/>
    <w:rsid w:val="009D1E60"/>
    <w:rsid w:val="009D2A89"/>
    <w:rsid w:val="009D3164"/>
    <w:rsid w:val="009D3B04"/>
    <w:rsid w:val="009D4E6D"/>
    <w:rsid w:val="009D60EF"/>
    <w:rsid w:val="009D60F9"/>
    <w:rsid w:val="009D625E"/>
    <w:rsid w:val="009D6AB9"/>
    <w:rsid w:val="009D6D38"/>
    <w:rsid w:val="009D6FAC"/>
    <w:rsid w:val="009D76ED"/>
    <w:rsid w:val="009D7735"/>
    <w:rsid w:val="009D7A0C"/>
    <w:rsid w:val="009D7E2F"/>
    <w:rsid w:val="009D7EAB"/>
    <w:rsid w:val="009E00E0"/>
    <w:rsid w:val="009E095D"/>
    <w:rsid w:val="009E0DE4"/>
    <w:rsid w:val="009E1159"/>
    <w:rsid w:val="009E24D9"/>
    <w:rsid w:val="009E2907"/>
    <w:rsid w:val="009E2D88"/>
    <w:rsid w:val="009E3136"/>
    <w:rsid w:val="009E349D"/>
    <w:rsid w:val="009E392E"/>
    <w:rsid w:val="009E3933"/>
    <w:rsid w:val="009E3A8A"/>
    <w:rsid w:val="009E3F40"/>
    <w:rsid w:val="009E496C"/>
    <w:rsid w:val="009E4E70"/>
    <w:rsid w:val="009E50D9"/>
    <w:rsid w:val="009E5358"/>
    <w:rsid w:val="009E5885"/>
    <w:rsid w:val="009E5F17"/>
    <w:rsid w:val="009E6274"/>
    <w:rsid w:val="009E642F"/>
    <w:rsid w:val="009E6B01"/>
    <w:rsid w:val="009E6C67"/>
    <w:rsid w:val="009E6CD0"/>
    <w:rsid w:val="009E6FBD"/>
    <w:rsid w:val="009E707A"/>
    <w:rsid w:val="009E7520"/>
    <w:rsid w:val="009E77C3"/>
    <w:rsid w:val="009E7CED"/>
    <w:rsid w:val="009E7EE1"/>
    <w:rsid w:val="009F0341"/>
    <w:rsid w:val="009F03ED"/>
    <w:rsid w:val="009F0823"/>
    <w:rsid w:val="009F0CE5"/>
    <w:rsid w:val="009F0F53"/>
    <w:rsid w:val="009F1403"/>
    <w:rsid w:val="009F1728"/>
    <w:rsid w:val="009F2097"/>
    <w:rsid w:val="009F25B7"/>
    <w:rsid w:val="009F2FDA"/>
    <w:rsid w:val="009F3352"/>
    <w:rsid w:val="009F3584"/>
    <w:rsid w:val="009F3669"/>
    <w:rsid w:val="009F37BB"/>
    <w:rsid w:val="009F390F"/>
    <w:rsid w:val="009F3ACF"/>
    <w:rsid w:val="009F3AEB"/>
    <w:rsid w:val="009F403F"/>
    <w:rsid w:val="009F4DCC"/>
    <w:rsid w:val="009F559A"/>
    <w:rsid w:val="009F5922"/>
    <w:rsid w:val="009F5A75"/>
    <w:rsid w:val="009F5DFC"/>
    <w:rsid w:val="009F6508"/>
    <w:rsid w:val="009F783C"/>
    <w:rsid w:val="009F7CE5"/>
    <w:rsid w:val="00A00B23"/>
    <w:rsid w:val="00A00CF3"/>
    <w:rsid w:val="00A00E15"/>
    <w:rsid w:val="00A017BE"/>
    <w:rsid w:val="00A017F6"/>
    <w:rsid w:val="00A01AD8"/>
    <w:rsid w:val="00A01DB3"/>
    <w:rsid w:val="00A02039"/>
    <w:rsid w:val="00A027E6"/>
    <w:rsid w:val="00A03217"/>
    <w:rsid w:val="00A03263"/>
    <w:rsid w:val="00A033F1"/>
    <w:rsid w:val="00A039D2"/>
    <w:rsid w:val="00A03ADF"/>
    <w:rsid w:val="00A03F8D"/>
    <w:rsid w:val="00A04296"/>
    <w:rsid w:val="00A046B4"/>
    <w:rsid w:val="00A04FF6"/>
    <w:rsid w:val="00A051E1"/>
    <w:rsid w:val="00A058C8"/>
    <w:rsid w:val="00A05FE0"/>
    <w:rsid w:val="00A06618"/>
    <w:rsid w:val="00A06850"/>
    <w:rsid w:val="00A069B1"/>
    <w:rsid w:val="00A069FB"/>
    <w:rsid w:val="00A06D1F"/>
    <w:rsid w:val="00A07B0E"/>
    <w:rsid w:val="00A100D0"/>
    <w:rsid w:val="00A109A8"/>
    <w:rsid w:val="00A10B95"/>
    <w:rsid w:val="00A113B0"/>
    <w:rsid w:val="00A1157E"/>
    <w:rsid w:val="00A11F45"/>
    <w:rsid w:val="00A1238D"/>
    <w:rsid w:val="00A1272D"/>
    <w:rsid w:val="00A1319D"/>
    <w:rsid w:val="00A13394"/>
    <w:rsid w:val="00A133D7"/>
    <w:rsid w:val="00A13D72"/>
    <w:rsid w:val="00A13FBB"/>
    <w:rsid w:val="00A144F1"/>
    <w:rsid w:val="00A14624"/>
    <w:rsid w:val="00A148AD"/>
    <w:rsid w:val="00A151DA"/>
    <w:rsid w:val="00A16506"/>
    <w:rsid w:val="00A16D1F"/>
    <w:rsid w:val="00A2089B"/>
    <w:rsid w:val="00A20B59"/>
    <w:rsid w:val="00A20BA7"/>
    <w:rsid w:val="00A21A19"/>
    <w:rsid w:val="00A21AF7"/>
    <w:rsid w:val="00A21C91"/>
    <w:rsid w:val="00A22017"/>
    <w:rsid w:val="00A2205A"/>
    <w:rsid w:val="00A22134"/>
    <w:rsid w:val="00A22280"/>
    <w:rsid w:val="00A22CD4"/>
    <w:rsid w:val="00A22FFF"/>
    <w:rsid w:val="00A235BD"/>
    <w:rsid w:val="00A236CB"/>
    <w:rsid w:val="00A23B15"/>
    <w:rsid w:val="00A24944"/>
    <w:rsid w:val="00A24FA9"/>
    <w:rsid w:val="00A2510D"/>
    <w:rsid w:val="00A252E7"/>
    <w:rsid w:val="00A252F0"/>
    <w:rsid w:val="00A2551B"/>
    <w:rsid w:val="00A25949"/>
    <w:rsid w:val="00A26AB5"/>
    <w:rsid w:val="00A26BE5"/>
    <w:rsid w:val="00A275C9"/>
    <w:rsid w:val="00A27D03"/>
    <w:rsid w:val="00A3033F"/>
    <w:rsid w:val="00A305FD"/>
    <w:rsid w:val="00A30AB0"/>
    <w:rsid w:val="00A30D59"/>
    <w:rsid w:val="00A30F16"/>
    <w:rsid w:val="00A318BB"/>
    <w:rsid w:val="00A31BAD"/>
    <w:rsid w:val="00A31BEF"/>
    <w:rsid w:val="00A31FB5"/>
    <w:rsid w:val="00A320C6"/>
    <w:rsid w:val="00A323A0"/>
    <w:rsid w:val="00A327E8"/>
    <w:rsid w:val="00A33457"/>
    <w:rsid w:val="00A33F1D"/>
    <w:rsid w:val="00A34CF3"/>
    <w:rsid w:val="00A35E24"/>
    <w:rsid w:val="00A36014"/>
    <w:rsid w:val="00A36220"/>
    <w:rsid w:val="00A36549"/>
    <w:rsid w:val="00A3697E"/>
    <w:rsid w:val="00A3699E"/>
    <w:rsid w:val="00A36D15"/>
    <w:rsid w:val="00A37375"/>
    <w:rsid w:val="00A375C4"/>
    <w:rsid w:val="00A405F0"/>
    <w:rsid w:val="00A40A17"/>
    <w:rsid w:val="00A413D3"/>
    <w:rsid w:val="00A415D1"/>
    <w:rsid w:val="00A4167C"/>
    <w:rsid w:val="00A41867"/>
    <w:rsid w:val="00A41877"/>
    <w:rsid w:val="00A41921"/>
    <w:rsid w:val="00A42238"/>
    <w:rsid w:val="00A42364"/>
    <w:rsid w:val="00A423F8"/>
    <w:rsid w:val="00A429D2"/>
    <w:rsid w:val="00A42A4F"/>
    <w:rsid w:val="00A42E76"/>
    <w:rsid w:val="00A431F1"/>
    <w:rsid w:val="00A431F7"/>
    <w:rsid w:val="00A43581"/>
    <w:rsid w:val="00A435A5"/>
    <w:rsid w:val="00A43731"/>
    <w:rsid w:val="00A44A98"/>
    <w:rsid w:val="00A450DD"/>
    <w:rsid w:val="00A45158"/>
    <w:rsid w:val="00A45304"/>
    <w:rsid w:val="00A45C7E"/>
    <w:rsid w:val="00A45C9F"/>
    <w:rsid w:val="00A45EEF"/>
    <w:rsid w:val="00A45FD5"/>
    <w:rsid w:val="00A46522"/>
    <w:rsid w:val="00A46CF2"/>
    <w:rsid w:val="00A472F4"/>
    <w:rsid w:val="00A5088E"/>
    <w:rsid w:val="00A510C3"/>
    <w:rsid w:val="00A51627"/>
    <w:rsid w:val="00A521A7"/>
    <w:rsid w:val="00A5332A"/>
    <w:rsid w:val="00A53410"/>
    <w:rsid w:val="00A53455"/>
    <w:rsid w:val="00A53718"/>
    <w:rsid w:val="00A54052"/>
    <w:rsid w:val="00A54446"/>
    <w:rsid w:val="00A54D3B"/>
    <w:rsid w:val="00A55404"/>
    <w:rsid w:val="00A55783"/>
    <w:rsid w:val="00A55AF4"/>
    <w:rsid w:val="00A56230"/>
    <w:rsid w:val="00A56918"/>
    <w:rsid w:val="00A57517"/>
    <w:rsid w:val="00A57874"/>
    <w:rsid w:val="00A57A73"/>
    <w:rsid w:val="00A57D6C"/>
    <w:rsid w:val="00A602B5"/>
    <w:rsid w:val="00A6074A"/>
    <w:rsid w:val="00A60C96"/>
    <w:rsid w:val="00A60CFC"/>
    <w:rsid w:val="00A614AD"/>
    <w:rsid w:val="00A61996"/>
    <w:rsid w:val="00A61F69"/>
    <w:rsid w:val="00A62285"/>
    <w:rsid w:val="00A626A3"/>
    <w:rsid w:val="00A62B7F"/>
    <w:rsid w:val="00A62CF2"/>
    <w:rsid w:val="00A62F18"/>
    <w:rsid w:val="00A6344E"/>
    <w:rsid w:val="00A64153"/>
    <w:rsid w:val="00A643EE"/>
    <w:rsid w:val="00A64403"/>
    <w:rsid w:val="00A64BB7"/>
    <w:rsid w:val="00A64EC2"/>
    <w:rsid w:val="00A654E9"/>
    <w:rsid w:val="00A658EF"/>
    <w:rsid w:val="00A65B6F"/>
    <w:rsid w:val="00A65EE3"/>
    <w:rsid w:val="00A660A2"/>
    <w:rsid w:val="00A660ED"/>
    <w:rsid w:val="00A664BE"/>
    <w:rsid w:val="00A66F6A"/>
    <w:rsid w:val="00A6715F"/>
    <w:rsid w:val="00A675A8"/>
    <w:rsid w:val="00A67CBE"/>
    <w:rsid w:val="00A70167"/>
    <w:rsid w:val="00A70258"/>
    <w:rsid w:val="00A705FF"/>
    <w:rsid w:val="00A70B0C"/>
    <w:rsid w:val="00A70D79"/>
    <w:rsid w:val="00A71411"/>
    <w:rsid w:val="00A7142A"/>
    <w:rsid w:val="00A71A65"/>
    <w:rsid w:val="00A71CB9"/>
    <w:rsid w:val="00A7266D"/>
    <w:rsid w:val="00A727C6"/>
    <w:rsid w:val="00A7323E"/>
    <w:rsid w:val="00A7351C"/>
    <w:rsid w:val="00A737B0"/>
    <w:rsid w:val="00A73B0D"/>
    <w:rsid w:val="00A7420D"/>
    <w:rsid w:val="00A758BC"/>
    <w:rsid w:val="00A7627B"/>
    <w:rsid w:val="00A7652C"/>
    <w:rsid w:val="00A7711B"/>
    <w:rsid w:val="00A77EFC"/>
    <w:rsid w:val="00A801EC"/>
    <w:rsid w:val="00A8025F"/>
    <w:rsid w:val="00A80743"/>
    <w:rsid w:val="00A80D3A"/>
    <w:rsid w:val="00A80DAE"/>
    <w:rsid w:val="00A81073"/>
    <w:rsid w:val="00A814D6"/>
    <w:rsid w:val="00A8257B"/>
    <w:rsid w:val="00A830FD"/>
    <w:rsid w:val="00A8394E"/>
    <w:rsid w:val="00A83A6D"/>
    <w:rsid w:val="00A83AAD"/>
    <w:rsid w:val="00A83DD3"/>
    <w:rsid w:val="00A8486C"/>
    <w:rsid w:val="00A84BE1"/>
    <w:rsid w:val="00A84C93"/>
    <w:rsid w:val="00A84E2D"/>
    <w:rsid w:val="00A85324"/>
    <w:rsid w:val="00A853A2"/>
    <w:rsid w:val="00A85404"/>
    <w:rsid w:val="00A866CC"/>
    <w:rsid w:val="00A8790F"/>
    <w:rsid w:val="00A90301"/>
    <w:rsid w:val="00A9076E"/>
    <w:rsid w:val="00A916F0"/>
    <w:rsid w:val="00A918E8"/>
    <w:rsid w:val="00A919A7"/>
    <w:rsid w:val="00A92238"/>
    <w:rsid w:val="00A92346"/>
    <w:rsid w:val="00A923B5"/>
    <w:rsid w:val="00A9244B"/>
    <w:rsid w:val="00A932FD"/>
    <w:rsid w:val="00A938D6"/>
    <w:rsid w:val="00A93927"/>
    <w:rsid w:val="00A939F4"/>
    <w:rsid w:val="00A94096"/>
    <w:rsid w:val="00A94354"/>
    <w:rsid w:val="00A946B2"/>
    <w:rsid w:val="00A94897"/>
    <w:rsid w:val="00A948CD"/>
    <w:rsid w:val="00A949B2"/>
    <w:rsid w:val="00A958D9"/>
    <w:rsid w:val="00A958EB"/>
    <w:rsid w:val="00A95E9D"/>
    <w:rsid w:val="00A95F46"/>
    <w:rsid w:val="00A9611D"/>
    <w:rsid w:val="00A961AC"/>
    <w:rsid w:val="00A9656F"/>
    <w:rsid w:val="00A96712"/>
    <w:rsid w:val="00A96851"/>
    <w:rsid w:val="00A969A5"/>
    <w:rsid w:val="00A96D3F"/>
    <w:rsid w:val="00A96DAD"/>
    <w:rsid w:val="00A974F1"/>
    <w:rsid w:val="00A97F2C"/>
    <w:rsid w:val="00AA01D4"/>
    <w:rsid w:val="00AA021D"/>
    <w:rsid w:val="00AA0D64"/>
    <w:rsid w:val="00AA1220"/>
    <w:rsid w:val="00AA1692"/>
    <w:rsid w:val="00AA1B2A"/>
    <w:rsid w:val="00AA1E20"/>
    <w:rsid w:val="00AA1F72"/>
    <w:rsid w:val="00AA28F2"/>
    <w:rsid w:val="00AA3594"/>
    <w:rsid w:val="00AA3AB2"/>
    <w:rsid w:val="00AA3DA7"/>
    <w:rsid w:val="00AA3FEB"/>
    <w:rsid w:val="00AA430D"/>
    <w:rsid w:val="00AA4FFA"/>
    <w:rsid w:val="00AA535A"/>
    <w:rsid w:val="00AA5AA3"/>
    <w:rsid w:val="00AA62A3"/>
    <w:rsid w:val="00AA6360"/>
    <w:rsid w:val="00AA64A0"/>
    <w:rsid w:val="00AA6A95"/>
    <w:rsid w:val="00AA6BBB"/>
    <w:rsid w:val="00AA6DFF"/>
    <w:rsid w:val="00AA6E7A"/>
    <w:rsid w:val="00AA77E3"/>
    <w:rsid w:val="00AA780E"/>
    <w:rsid w:val="00AA7977"/>
    <w:rsid w:val="00AA7A69"/>
    <w:rsid w:val="00AA7CDE"/>
    <w:rsid w:val="00AB04B2"/>
    <w:rsid w:val="00AB056A"/>
    <w:rsid w:val="00AB08B5"/>
    <w:rsid w:val="00AB0F37"/>
    <w:rsid w:val="00AB151F"/>
    <w:rsid w:val="00AB173B"/>
    <w:rsid w:val="00AB230E"/>
    <w:rsid w:val="00AB2330"/>
    <w:rsid w:val="00AB2E94"/>
    <w:rsid w:val="00AB30D2"/>
    <w:rsid w:val="00AB30F3"/>
    <w:rsid w:val="00AB319A"/>
    <w:rsid w:val="00AB380E"/>
    <w:rsid w:val="00AB3BE4"/>
    <w:rsid w:val="00AB3D75"/>
    <w:rsid w:val="00AB4238"/>
    <w:rsid w:val="00AB462A"/>
    <w:rsid w:val="00AB511F"/>
    <w:rsid w:val="00AB517D"/>
    <w:rsid w:val="00AB5535"/>
    <w:rsid w:val="00AB5784"/>
    <w:rsid w:val="00AB59C3"/>
    <w:rsid w:val="00AB5AD1"/>
    <w:rsid w:val="00AB5D11"/>
    <w:rsid w:val="00AB6741"/>
    <w:rsid w:val="00AB6DC5"/>
    <w:rsid w:val="00AB6E0B"/>
    <w:rsid w:val="00AB758C"/>
    <w:rsid w:val="00AB7EBF"/>
    <w:rsid w:val="00AB7EF0"/>
    <w:rsid w:val="00AC0367"/>
    <w:rsid w:val="00AC1028"/>
    <w:rsid w:val="00AC103C"/>
    <w:rsid w:val="00AC124B"/>
    <w:rsid w:val="00AC2077"/>
    <w:rsid w:val="00AC2FC4"/>
    <w:rsid w:val="00AC3062"/>
    <w:rsid w:val="00AC36C1"/>
    <w:rsid w:val="00AC3A6C"/>
    <w:rsid w:val="00AC3EE9"/>
    <w:rsid w:val="00AC475B"/>
    <w:rsid w:val="00AC47EF"/>
    <w:rsid w:val="00AC4886"/>
    <w:rsid w:val="00AC4F42"/>
    <w:rsid w:val="00AC4F5A"/>
    <w:rsid w:val="00AC5678"/>
    <w:rsid w:val="00AC59AF"/>
    <w:rsid w:val="00AC6881"/>
    <w:rsid w:val="00AC6CB9"/>
    <w:rsid w:val="00AC6DAC"/>
    <w:rsid w:val="00AC74AE"/>
    <w:rsid w:val="00AC7A78"/>
    <w:rsid w:val="00AC7F2C"/>
    <w:rsid w:val="00AD0620"/>
    <w:rsid w:val="00AD0B7E"/>
    <w:rsid w:val="00AD1092"/>
    <w:rsid w:val="00AD1132"/>
    <w:rsid w:val="00AD1945"/>
    <w:rsid w:val="00AD1C31"/>
    <w:rsid w:val="00AD1E54"/>
    <w:rsid w:val="00AD1FA4"/>
    <w:rsid w:val="00AD2441"/>
    <w:rsid w:val="00AD2D81"/>
    <w:rsid w:val="00AD2DD3"/>
    <w:rsid w:val="00AD2F27"/>
    <w:rsid w:val="00AD2F46"/>
    <w:rsid w:val="00AD3052"/>
    <w:rsid w:val="00AD3103"/>
    <w:rsid w:val="00AD4366"/>
    <w:rsid w:val="00AD4554"/>
    <w:rsid w:val="00AD4662"/>
    <w:rsid w:val="00AD4747"/>
    <w:rsid w:val="00AD4C92"/>
    <w:rsid w:val="00AD5303"/>
    <w:rsid w:val="00AD5637"/>
    <w:rsid w:val="00AD59C1"/>
    <w:rsid w:val="00AD5BDC"/>
    <w:rsid w:val="00AD64D8"/>
    <w:rsid w:val="00AD6AD6"/>
    <w:rsid w:val="00AD6DE0"/>
    <w:rsid w:val="00AD734E"/>
    <w:rsid w:val="00AD76EE"/>
    <w:rsid w:val="00AD7802"/>
    <w:rsid w:val="00AD782C"/>
    <w:rsid w:val="00AD7C3D"/>
    <w:rsid w:val="00AE03E1"/>
    <w:rsid w:val="00AE126F"/>
    <w:rsid w:val="00AE14D4"/>
    <w:rsid w:val="00AE1F8F"/>
    <w:rsid w:val="00AE2791"/>
    <w:rsid w:val="00AE367F"/>
    <w:rsid w:val="00AE3682"/>
    <w:rsid w:val="00AE374D"/>
    <w:rsid w:val="00AE3A97"/>
    <w:rsid w:val="00AE472E"/>
    <w:rsid w:val="00AE4B90"/>
    <w:rsid w:val="00AE59A8"/>
    <w:rsid w:val="00AE66D4"/>
    <w:rsid w:val="00AE6E78"/>
    <w:rsid w:val="00AE784D"/>
    <w:rsid w:val="00AE7942"/>
    <w:rsid w:val="00AE7BA9"/>
    <w:rsid w:val="00AE7CA4"/>
    <w:rsid w:val="00AE7F57"/>
    <w:rsid w:val="00AF0122"/>
    <w:rsid w:val="00AF0EAC"/>
    <w:rsid w:val="00AF0FC3"/>
    <w:rsid w:val="00AF1223"/>
    <w:rsid w:val="00AF15AC"/>
    <w:rsid w:val="00AF1C01"/>
    <w:rsid w:val="00AF1D0B"/>
    <w:rsid w:val="00AF1FFA"/>
    <w:rsid w:val="00AF2387"/>
    <w:rsid w:val="00AF23E6"/>
    <w:rsid w:val="00AF2B0B"/>
    <w:rsid w:val="00AF2BE9"/>
    <w:rsid w:val="00AF312A"/>
    <w:rsid w:val="00AF3963"/>
    <w:rsid w:val="00AF4531"/>
    <w:rsid w:val="00AF4EB5"/>
    <w:rsid w:val="00AF5060"/>
    <w:rsid w:val="00AF50DE"/>
    <w:rsid w:val="00AF5359"/>
    <w:rsid w:val="00AF56BC"/>
    <w:rsid w:val="00AF5C12"/>
    <w:rsid w:val="00AF5E3F"/>
    <w:rsid w:val="00AF7125"/>
    <w:rsid w:val="00AF7489"/>
    <w:rsid w:val="00AF7792"/>
    <w:rsid w:val="00AF79C8"/>
    <w:rsid w:val="00AF7B09"/>
    <w:rsid w:val="00AF7F8F"/>
    <w:rsid w:val="00B00432"/>
    <w:rsid w:val="00B006D1"/>
    <w:rsid w:val="00B00BB5"/>
    <w:rsid w:val="00B00EFC"/>
    <w:rsid w:val="00B01032"/>
    <w:rsid w:val="00B01121"/>
    <w:rsid w:val="00B013EC"/>
    <w:rsid w:val="00B0202C"/>
    <w:rsid w:val="00B021CA"/>
    <w:rsid w:val="00B0244E"/>
    <w:rsid w:val="00B02527"/>
    <w:rsid w:val="00B02E4B"/>
    <w:rsid w:val="00B03116"/>
    <w:rsid w:val="00B031AE"/>
    <w:rsid w:val="00B03337"/>
    <w:rsid w:val="00B03AEC"/>
    <w:rsid w:val="00B042FC"/>
    <w:rsid w:val="00B043C4"/>
    <w:rsid w:val="00B04ADD"/>
    <w:rsid w:val="00B05658"/>
    <w:rsid w:val="00B05825"/>
    <w:rsid w:val="00B05A8D"/>
    <w:rsid w:val="00B05D9A"/>
    <w:rsid w:val="00B05F7E"/>
    <w:rsid w:val="00B05FA4"/>
    <w:rsid w:val="00B060E8"/>
    <w:rsid w:val="00B0692F"/>
    <w:rsid w:val="00B07837"/>
    <w:rsid w:val="00B07906"/>
    <w:rsid w:val="00B07925"/>
    <w:rsid w:val="00B07AD2"/>
    <w:rsid w:val="00B07CD6"/>
    <w:rsid w:val="00B07F7D"/>
    <w:rsid w:val="00B10299"/>
    <w:rsid w:val="00B1092D"/>
    <w:rsid w:val="00B10C1A"/>
    <w:rsid w:val="00B10E86"/>
    <w:rsid w:val="00B10EDD"/>
    <w:rsid w:val="00B11E89"/>
    <w:rsid w:val="00B11EC1"/>
    <w:rsid w:val="00B11F5A"/>
    <w:rsid w:val="00B11F9B"/>
    <w:rsid w:val="00B12051"/>
    <w:rsid w:val="00B12FCF"/>
    <w:rsid w:val="00B13058"/>
    <w:rsid w:val="00B132A9"/>
    <w:rsid w:val="00B13F35"/>
    <w:rsid w:val="00B1407B"/>
    <w:rsid w:val="00B14DAE"/>
    <w:rsid w:val="00B163E1"/>
    <w:rsid w:val="00B16436"/>
    <w:rsid w:val="00B16865"/>
    <w:rsid w:val="00B16F48"/>
    <w:rsid w:val="00B17538"/>
    <w:rsid w:val="00B20327"/>
    <w:rsid w:val="00B2066A"/>
    <w:rsid w:val="00B206B9"/>
    <w:rsid w:val="00B2090A"/>
    <w:rsid w:val="00B2180A"/>
    <w:rsid w:val="00B21DDF"/>
    <w:rsid w:val="00B22092"/>
    <w:rsid w:val="00B22332"/>
    <w:rsid w:val="00B224E3"/>
    <w:rsid w:val="00B228AB"/>
    <w:rsid w:val="00B22ABB"/>
    <w:rsid w:val="00B22D74"/>
    <w:rsid w:val="00B23117"/>
    <w:rsid w:val="00B23135"/>
    <w:rsid w:val="00B23623"/>
    <w:rsid w:val="00B23722"/>
    <w:rsid w:val="00B2401A"/>
    <w:rsid w:val="00B24023"/>
    <w:rsid w:val="00B243E5"/>
    <w:rsid w:val="00B2457A"/>
    <w:rsid w:val="00B24607"/>
    <w:rsid w:val="00B24E70"/>
    <w:rsid w:val="00B24E9E"/>
    <w:rsid w:val="00B251DB"/>
    <w:rsid w:val="00B2534B"/>
    <w:rsid w:val="00B2549C"/>
    <w:rsid w:val="00B25825"/>
    <w:rsid w:val="00B25A42"/>
    <w:rsid w:val="00B25BC4"/>
    <w:rsid w:val="00B262D2"/>
    <w:rsid w:val="00B26735"/>
    <w:rsid w:val="00B2693F"/>
    <w:rsid w:val="00B2696D"/>
    <w:rsid w:val="00B26C5C"/>
    <w:rsid w:val="00B26D9E"/>
    <w:rsid w:val="00B26DB0"/>
    <w:rsid w:val="00B26FBE"/>
    <w:rsid w:val="00B27518"/>
    <w:rsid w:val="00B2787A"/>
    <w:rsid w:val="00B30252"/>
    <w:rsid w:val="00B30E2A"/>
    <w:rsid w:val="00B30FE8"/>
    <w:rsid w:val="00B315F7"/>
    <w:rsid w:val="00B31B90"/>
    <w:rsid w:val="00B31EFD"/>
    <w:rsid w:val="00B320C5"/>
    <w:rsid w:val="00B32714"/>
    <w:rsid w:val="00B329B4"/>
    <w:rsid w:val="00B32F49"/>
    <w:rsid w:val="00B32F4B"/>
    <w:rsid w:val="00B33228"/>
    <w:rsid w:val="00B33513"/>
    <w:rsid w:val="00B3386D"/>
    <w:rsid w:val="00B33A7D"/>
    <w:rsid w:val="00B33BC1"/>
    <w:rsid w:val="00B340C9"/>
    <w:rsid w:val="00B342AE"/>
    <w:rsid w:val="00B34B64"/>
    <w:rsid w:val="00B34E78"/>
    <w:rsid w:val="00B34E87"/>
    <w:rsid w:val="00B35233"/>
    <w:rsid w:val="00B3531C"/>
    <w:rsid w:val="00B35394"/>
    <w:rsid w:val="00B356A9"/>
    <w:rsid w:val="00B359FA"/>
    <w:rsid w:val="00B36209"/>
    <w:rsid w:val="00B36336"/>
    <w:rsid w:val="00B36C74"/>
    <w:rsid w:val="00B37E65"/>
    <w:rsid w:val="00B37EA5"/>
    <w:rsid w:val="00B40668"/>
    <w:rsid w:val="00B40E5F"/>
    <w:rsid w:val="00B41502"/>
    <w:rsid w:val="00B41A4F"/>
    <w:rsid w:val="00B41F29"/>
    <w:rsid w:val="00B42B71"/>
    <w:rsid w:val="00B42BFC"/>
    <w:rsid w:val="00B437A0"/>
    <w:rsid w:val="00B43A99"/>
    <w:rsid w:val="00B43E68"/>
    <w:rsid w:val="00B441FB"/>
    <w:rsid w:val="00B4477D"/>
    <w:rsid w:val="00B44799"/>
    <w:rsid w:val="00B45023"/>
    <w:rsid w:val="00B459CF"/>
    <w:rsid w:val="00B46517"/>
    <w:rsid w:val="00B468BE"/>
    <w:rsid w:val="00B468C9"/>
    <w:rsid w:val="00B46A5F"/>
    <w:rsid w:val="00B46F1E"/>
    <w:rsid w:val="00B47AFD"/>
    <w:rsid w:val="00B47D4A"/>
    <w:rsid w:val="00B47EBE"/>
    <w:rsid w:val="00B50041"/>
    <w:rsid w:val="00B5071E"/>
    <w:rsid w:val="00B50D4F"/>
    <w:rsid w:val="00B5115D"/>
    <w:rsid w:val="00B51D12"/>
    <w:rsid w:val="00B531B0"/>
    <w:rsid w:val="00B53FA3"/>
    <w:rsid w:val="00B5422E"/>
    <w:rsid w:val="00B54596"/>
    <w:rsid w:val="00B54682"/>
    <w:rsid w:val="00B54C60"/>
    <w:rsid w:val="00B54D81"/>
    <w:rsid w:val="00B54E34"/>
    <w:rsid w:val="00B552F1"/>
    <w:rsid w:val="00B55489"/>
    <w:rsid w:val="00B554CE"/>
    <w:rsid w:val="00B55CA3"/>
    <w:rsid w:val="00B55D01"/>
    <w:rsid w:val="00B561DD"/>
    <w:rsid w:val="00B5692A"/>
    <w:rsid w:val="00B56DB4"/>
    <w:rsid w:val="00B56DEF"/>
    <w:rsid w:val="00B56E77"/>
    <w:rsid w:val="00B56FBD"/>
    <w:rsid w:val="00B5728E"/>
    <w:rsid w:val="00B60816"/>
    <w:rsid w:val="00B60822"/>
    <w:rsid w:val="00B62119"/>
    <w:rsid w:val="00B62650"/>
    <w:rsid w:val="00B62BDD"/>
    <w:rsid w:val="00B6367A"/>
    <w:rsid w:val="00B636A0"/>
    <w:rsid w:val="00B6390F"/>
    <w:rsid w:val="00B63E2F"/>
    <w:rsid w:val="00B64699"/>
    <w:rsid w:val="00B64BFC"/>
    <w:rsid w:val="00B64CAC"/>
    <w:rsid w:val="00B6561C"/>
    <w:rsid w:val="00B65D23"/>
    <w:rsid w:val="00B666C1"/>
    <w:rsid w:val="00B66D63"/>
    <w:rsid w:val="00B6753A"/>
    <w:rsid w:val="00B677A6"/>
    <w:rsid w:val="00B67D59"/>
    <w:rsid w:val="00B67F64"/>
    <w:rsid w:val="00B70DEC"/>
    <w:rsid w:val="00B71389"/>
    <w:rsid w:val="00B71443"/>
    <w:rsid w:val="00B7152F"/>
    <w:rsid w:val="00B717AB"/>
    <w:rsid w:val="00B71874"/>
    <w:rsid w:val="00B724FD"/>
    <w:rsid w:val="00B73645"/>
    <w:rsid w:val="00B73B54"/>
    <w:rsid w:val="00B73F04"/>
    <w:rsid w:val="00B74166"/>
    <w:rsid w:val="00B744A9"/>
    <w:rsid w:val="00B74CCF"/>
    <w:rsid w:val="00B74DFD"/>
    <w:rsid w:val="00B7582D"/>
    <w:rsid w:val="00B75999"/>
    <w:rsid w:val="00B76203"/>
    <w:rsid w:val="00B76585"/>
    <w:rsid w:val="00B773B1"/>
    <w:rsid w:val="00B77819"/>
    <w:rsid w:val="00B80609"/>
    <w:rsid w:val="00B80D09"/>
    <w:rsid w:val="00B811FD"/>
    <w:rsid w:val="00B812DB"/>
    <w:rsid w:val="00B81A72"/>
    <w:rsid w:val="00B8202A"/>
    <w:rsid w:val="00B8263E"/>
    <w:rsid w:val="00B826E9"/>
    <w:rsid w:val="00B8278B"/>
    <w:rsid w:val="00B829B7"/>
    <w:rsid w:val="00B83905"/>
    <w:rsid w:val="00B841AF"/>
    <w:rsid w:val="00B848A2"/>
    <w:rsid w:val="00B8499B"/>
    <w:rsid w:val="00B84D91"/>
    <w:rsid w:val="00B8532A"/>
    <w:rsid w:val="00B854C3"/>
    <w:rsid w:val="00B855B6"/>
    <w:rsid w:val="00B86004"/>
    <w:rsid w:val="00B86123"/>
    <w:rsid w:val="00B86425"/>
    <w:rsid w:val="00B86CA4"/>
    <w:rsid w:val="00B86D39"/>
    <w:rsid w:val="00B870E8"/>
    <w:rsid w:val="00B87256"/>
    <w:rsid w:val="00B877C0"/>
    <w:rsid w:val="00B877F5"/>
    <w:rsid w:val="00B90394"/>
    <w:rsid w:val="00B904D6"/>
    <w:rsid w:val="00B90803"/>
    <w:rsid w:val="00B90A1E"/>
    <w:rsid w:val="00B90E6E"/>
    <w:rsid w:val="00B91516"/>
    <w:rsid w:val="00B918F6"/>
    <w:rsid w:val="00B91B42"/>
    <w:rsid w:val="00B91DD1"/>
    <w:rsid w:val="00B92426"/>
    <w:rsid w:val="00B926E4"/>
    <w:rsid w:val="00B92865"/>
    <w:rsid w:val="00B92AAE"/>
    <w:rsid w:val="00B935EE"/>
    <w:rsid w:val="00B93DE7"/>
    <w:rsid w:val="00B9403B"/>
    <w:rsid w:val="00B943E5"/>
    <w:rsid w:val="00B9453B"/>
    <w:rsid w:val="00B94EC4"/>
    <w:rsid w:val="00B9549A"/>
    <w:rsid w:val="00B95689"/>
    <w:rsid w:val="00B960E5"/>
    <w:rsid w:val="00B962F2"/>
    <w:rsid w:val="00B96325"/>
    <w:rsid w:val="00B9689B"/>
    <w:rsid w:val="00B96AAC"/>
    <w:rsid w:val="00B96EB8"/>
    <w:rsid w:val="00B97896"/>
    <w:rsid w:val="00BA0D97"/>
    <w:rsid w:val="00BA0EAE"/>
    <w:rsid w:val="00BA0FBF"/>
    <w:rsid w:val="00BA0FE0"/>
    <w:rsid w:val="00BA10BF"/>
    <w:rsid w:val="00BA12D6"/>
    <w:rsid w:val="00BA1347"/>
    <w:rsid w:val="00BA209B"/>
    <w:rsid w:val="00BA236C"/>
    <w:rsid w:val="00BA268F"/>
    <w:rsid w:val="00BA285C"/>
    <w:rsid w:val="00BA29CC"/>
    <w:rsid w:val="00BA2E82"/>
    <w:rsid w:val="00BA3411"/>
    <w:rsid w:val="00BA3823"/>
    <w:rsid w:val="00BA3897"/>
    <w:rsid w:val="00BA391A"/>
    <w:rsid w:val="00BA43C4"/>
    <w:rsid w:val="00BA45EB"/>
    <w:rsid w:val="00BA4676"/>
    <w:rsid w:val="00BA495B"/>
    <w:rsid w:val="00BA5155"/>
    <w:rsid w:val="00BA51E3"/>
    <w:rsid w:val="00BA51E4"/>
    <w:rsid w:val="00BA5220"/>
    <w:rsid w:val="00BA5623"/>
    <w:rsid w:val="00BA56F1"/>
    <w:rsid w:val="00BA640C"/>
    <w:rsid w:val="00BA666A"/>
    <w:rsid w:val="00BA66F4"/>
    <w:rsid w:val="00BA67E8"/>
    <w:rsid w:val="00BA6F3B"/>
    <w:rsid w:val="00BA73A1"/>
    <w:rsid w:val="00BA7889"/>
    <w:rsid w:val="00BA796D"/>
    <w:rsid w:val="00BA7B93"/>
    <w:rsid w:val="00BB0550"/>
    <w:rsid w:val="00BB081D"/>
    <w:rsid w:val="00BB0EEE"/>
    <w:rsid w:val="00BB0FBB"/>
    <w:rsid w:val="00BB1145"/>
    <w:rsid w:val="00BB12A3"/>
    <w:rsid w:val="00BB1958"/>
    <w:rsid w:val="00BB1A36"/>
    <w:rsid w:val="00BB1C7E"/>
    <w:rsid w:val="00BB1D14"/>
    <w:rsid w:val="00BB2837"/>
    <w:rsid w:val="00BB2E74"/>
    <w:rsid w:val="00BB2FCE"/>
    <w:rsid w:val="00BB3940"/>
    <w:rsid w:val="00BB3DC7"/>
    <w:rsid w:val="00BB40B4"/>
    <w:rsid w:val="00BB410C"/>
    <w:rsid w:val="00BB4188"/>
    <w:rsid w:val="00BB41EB"/>
    <w:rsid w:val="00BB53F3"/>
    <w:rsid w:val="00BB5BD8"/>
    <w:rsid w:val="00BB5BEC"/>
    <w:rsid w:val="00BB5C18"/>
    <w:rsid w:val="00BB5D0C"/>
    <w:rsid w:val="00BB632E"/>
    <w:rsid w:val="00BB68ED"/>
    <w:rsid w:val="00BB6DF8"/>
    <w:rsid w:val="00BB6EB8"/>
    <w:rsid w:val="00BB761B"/>
    <w:rsid w:val="00BB78BA"/>
    <w:rsid w:val="00BB78FB"/>
    <w:rsid w:val="00BB7BF8"/>
    <w:rsid w:val="00BB7DC3"/>
    <w:rsid w:val="00BB7F86"/>
    <w:rsid w:val="00BC0445"/>
    <w:rsid w:val="00BC04F6"/>
    <w:rsid w:val="00BC0CE4"/>
    <w:rsid w:val="00BC1353"/>
    <w:rsid w:val="00BC13A5"/>
    <w:rsid w:val="00BC192E"/>
    <w:rsid w:val="00BC19C2"/>
    <w:rsid w:val="00BC1C19"/>
    <w:rsid w:val="00BC22FB"/>
    <w:rsid w:val="00BC251C"/>
    <w:rsid w:val="00BC2D17"/>
    <w:rsid w:val="00BC2D2B"/>
    <w:rsid w:val="00BC31AB"/>
    <w:rsid w:val="00BC342C"/>
    <w:rsid w:val="00BC3874"/>
    <w:rsid w:val="00BC4344"/>
    <w:rsid w:val="00BC4409"/>
    <w:rsid w:val="00BC51ED"/>
    <w:rsid w:val="00BC58B6"/>
    <w:rsid w:val="00BC58F0"/>
    <w:rsid w:val="00BC5A18"/>
    <w:rsid w:val="00BC5ABA"/>
    <w:rsid w:val="00BC5C80"/>
    <w:rsid w:val="00BC5D40"/>
    <w:rsid w:val="00BC6395"/>
    <w:rsid w:val="00BC63E3"/>
    <w:rsid w:val="00BC6D46"/>
    <w:rsid w:val="00BC7C3E"/>
    <w:rsid w:val="00BD01DB"/>
    <w:rsid w:val="00BD07A1"/>
    <w:rsid w:val="00BD0882"/>
    <w:rsid w:val="00BD09AD"/>
    <w:rsid w:val="00BD0B20"/>
    <w:rsid w:val="00BD117B"/>
    <w:rsid w:val="00BD1247"/>
    <w:rsid w:val="00BD162C"/>
    <w:rsid w:val="00BD17B0"/>
    <w:rsid w:val="00BD1A53"/>
    <w:rsid w:val="00BD1CF0"/>
    <w:rsid w:val="00BD24A4"/>
    <w:rsid w:val="00BD2625"/>
    <w:rsid w:val="00BD2F23"/>
    <w:rsid w:val="00BD3A18"/>
    <w:rsid w:val="00BD3C45"/>
    <w:rsid w:val="00BD417A"/>
    <w:rsid w:val="00BD4568"/>
    <w:rsid w:val="00BD4653"/>
    <w:rsid w:val="00BD4A72"/>
    <w:rsid w:val="00BD5611"/>
    <w:rsid w:val="00BD5CC0"/>
    <w:rsid w:val="00BD5D94"/>
    <w:rsid w:val="00BD6F73"/>
    <w:rsid w:val="00BD70F5"/>
    <w:rsid w:val="00BD7121"/>
    <w:rsid w:val="00BD7A29"/>
    <w:rsid w:val="00BD7B4E"/>
    <w:rsid w:val="00BD7C7D"/>
    <w:rsid w:val="00BE0913"/>
    <w:rsid w:val="00BE19D1"/>
    <w:rsid w:val="00BE2215"/>
    <w:rsid w:val="00BE2826"/>
    <w:rsid w:val="00BE29D4"/>
    <w:rsid w:val="00BE2ECC"/>
    <w:rsid w:val="00BE32F2"/>
    <w:rsid w:val="00BE34E9"/>
    <w:rsid w:val="00BE370F"/>
    <w:rsid w:val="00BE38B6"/>
    <w:rsid w:val="00BE3B6F"/>
    <w:rsid w:val="00BE4A12"/>
    <w:rsid w:val="00BE4CFF"/>
    <w:rsid w:val="00BE4DA3"/>
    <w:rsid w:val="00BE4E38"/>
    <w:rsid w:val="00BE4FF0"/>
    <w:rsid w:val="00BE5072"/>
    <w:rsid w:val="00BE6515"/>
    <w:rsid w:val="00BE6DC8"/>
    <w:rsid w:val="00BE75D6"/>
    <w:rsid w:val="00BE7A0A"/>
    <w:rsid w:val="00BF09FF"/>
    <w:rsid w:val="00BF1494"/>
    <w:rsid w:val="00BF160E"/>
    <w:rsid w:val="00BF2634"/>
    <w:rsid w:val="00BF3216"/>
    <w:rsid w:val="00BF33A5"/>
    <w:rsid w:val="00BF3C66"/>
    <w:rsid w:val="00BF40F0"/>
    <w:rsid w:val="00BF4653"/>
    <w:rsid w:val="00BF49F4"/>
    <w:rsid w:val="00BF4B60"/>
    <w:rsid w:val="00BF4EEA"/>
    <w:rsid w:val="00BF4FB6"/>
    <w:rsid w:val="00BF5567"/>
    <w:rsid w:val="00BF6348"/>
    <w:rsid w:val="00BF669F"/>
    <w:rsid w:val="00BF6BED"/>
    <w:rsid w:val="00BF72A6"/>
    <w:rsid w:val="00BF78A2"/>
    <w:rsid w:val="00BF7EA0"/>
    <w:rsid w:val="00C00693"/>
    <w:rsid w:val="00C00AC1"/>
    <w:rsid w:val="00C00F04"/>
    <w:rsid w:val="00C02168"/>
    <w:rsid w:val="00C02891"/>
    <w:rsid w:val="00C0289D"/>
    <w:rsid w:val="00C031A5"/>
    <w:rsid w:val="00C032D8"/>
    <w:rsid w:val="00C035AD"/>
    <w:rsid w:val="00C03F8C"/>
    <w:rsid w:val="00C0439F"/>
    <w:rsid w:val="00C04AA3"/>
    <w:rsid w:val="00C058B1"/>
    <w:rsid w:val="00C05C3F"/>
    <w:rsid w:val="00C05D4F"/>
    <w:rsid w:val="00C05ED8"/>
    <w:rsid w:val="00C06757"/>
    <w:rsid w:val="00C06C60"/>
    <w:rsid w:val="00C06E54"/>
    <w:rsid w:val="00C07043"/>
    <w:rsid w:val="00C070E6"/>
    <w:rsid w:val="00C073CE"/>
    <w:rsid w:val="00C074D9"/>
    <w:rsid w:val="00C076FC"/>
    <w:rsid w:val="00C0772F"/>
    <w:rsid w:val="00C07E53"/>
    <w:rsid w:val="00C108BC"/>
    <w:rsid w:val="00C10F9E"/>
    <w:rsid w:val="00C114DF"/>
    <w:rsid w:val="00C11CF5"/>
    <w:rsid w:val="00C12007"/>
    <w:rsid w:val="00C126EB"/>
    <w:rsid w:val="00C12FB5"/>
    <w:rsid w:val="00C132FA"/>
    <w:rsid w:val="00C137DC"/>
    <w:rsid w:val="00C13EDC"/>
    <w:rsid w:val="00C149A0"/>
    <w:rsid w:val="00C15125"/>
    <w:rsid w:val="00C155B0"/>
    <w:rsid w:val="00C15621"/>
    <w:rsid w:val="00C15DED"/>
    <w:rsid w:val="00C15FAF"/>
    <w:rsid w:val="00C16997"/>
    <w:rsid w:val="00C16C08"/>
    <w:rsid w:val="00C16FE3"/>
    <w:rsid w:val="00C1721E"/>
    <w:rsid w:val="00C17FED"/>
    <w:rsid w:val="00C207CC"/>
    <w:rsid w:val="00C2096A"/>
    <w:rsid w:val="00C20EE6"/>
    <w:rsid w:val="00C20F4C"/>
    <w:rsid w:val="00C2176D"/>
    <w:rsid w:val="00C2222E"/>
    <w:rsid w:val="00C22DDA"/>
    <w:rsid w:val="00C22F97"/>
    <w:rsid w:val="00C2314D"/>
    <w:rsid w:val="00C2325B"/>
    <w:rsid w:val="00C23B70"/>
    <w:rsid w:val="00C23D0A"/>
    <w:rsid w:val="00C24611"/>
    <w:rsid w:val="00C248B2"/>
    <w:rsid w:val="00C24ADA"/>
    <w:rsid w:val="00C24B3B"/>
    <w:rsid w:val="00C24B46"/>
    <w:rsid w:val="00C25744"/>
    <w:rsid w:val="00C25AA7"/>
    <w:rsid w:val="00C26266"/>
    <w:rsid w:val="00C26C9E"/>
    <w:rsid w:val="00C27266"/>
    <w:rsid w:val="00C274DC"/>
    <w:rsid w:val="00C27E99"/>
    <w:rsid w:val="00C27EB2"/>
    <w:rsid w:val="00C30355"/>
    <w:rsid w:val="00C30922"/>
    <w:rsid w:val="00C30EEB"/>
    <w:rsid w:val="00C318A9"/>
    <w:rsid w:val="00C318E3"/>
    <w:rsid w:val="00C31A30"/>
    <w:rsid w:val="00C31AFF"/>
    <w:rsid w:val="00C31CBA"/>
    <w:rsid w:val="00C31E00"/>
    <w:rsid w:val="00C3219E"/>
    <w:rsid w:val="00C323B7"/>
    <w:rsid w:val="00C328B6"/>
    <w:rsid w:val="00C32C5F"/>
    <w:rsid w:val="00C336EE"/>
    <w:rsid w:val="00C3371C"/>
    <w:rsid w:val="00C339E2"/>
    <w:rsid w:val="00C33DE6"/>
    <w:rsid w:val="00C33E2B"/>
    <w:rsid w:val="00C342B9"/>
    <w:rsid w:val="00C34492"/>
    <w:rsid w:val="00C3456F"/>
    <w:rsid w:val="00C3459B"/>
    <w:rsid w:val="00C348FE"/>
    <w:rsid w:val="00C353C9"/>
    <w:rsid w:val="00C35420"/>
    <w:rsid w:val="00C36B1D"/>
    <w:rsid w:val="00C36B4E"/>
    <w:rsid w:val="00C36C11"/>
    <w:rsid w:val="00C36C99"/>
    <w:rsid w:val="00C36E74"/>
    <w:rsid w:val="00C37254"/>
    <w:rsid w:val="00C3729B"/>
    <w:rsid w:val="00C372BA"/>
    <w:rsid w:val="00C3765C"/>
    <w:rsid w:val="00C37D49"/>
    <w:rsid w:val="00C37DB0"/>
    <w:rsid w:val="00C40800"/>
    <w:rsid w:val="00C40822"/>
    <w:rsid w:val="00C412E3"/>
    <w:rsid w:val="00C412EB"/>
    <w:rsid w:val="00C41667"/>
    <w:rsid w:val="00C417CC"/>
    <w:rsid w:val="00C41E41"/>
    <w:rsid w:val="00C4209F"/>
    <w:rsid w:val="00C42470"/>
    <w:rsid w:val="00C4259B"/>
    <w:rsid w:val="00C42F3F"/>
    <w:rsid w:val="00C432D3"/>
    <w:rsid w:val="00C433CA"/>
    <w:rsid w:val="00C43FE5"/>
    <w:rsid w:val="00C442E4"/>
    <w:rsid w:val="00C445B7"/>
    <w:rsid w:val="00C4486D"/>
    <w:rsid w:val="00C44D3C"/>
    <w:rsid w:val="00C44E11"/>
    <w:rsid w:val="00C45025"/>
    <w:rsid w:val="00C4527F"/>
    <w:rsid w:val="00C452FB"/>
    <w:rsid w:val="00C45702"/>
    <w:rsid w:val="00C45FF3"/>
    <w:rsid w:val="00C46437"/>
    <w:rsid w:val="00C46490"/>
    <w:rsid w:val="00C465AA"/>
    <w:rsid w:val="00C468B5"/>
    <w:rsid w:val="00C46ACD"/>
    <w:rsid w:val="00C46C7F"/>
    <w:rsid w:val="00C4704D"/>
    <w:rsid w:val="00C4751A"/>
    <w:rsid w:val="00C500BF"/>
    <w:rsid w:val="00C5069C"/>
    <w:rsid w:val="00C5174D"/>
    <w:rsid w:val="00C5192F"/>
    <w:rsid w:val="00C52564"/>
    <w:rsid w:val="00C52A36"/>
    <w:rsid w:val="00C52FD5"/>
    <w:rsid w:val="00C53304"/>
    <w:rsid w:val="00C537E5"/>
    <w:rsid w:val="00C5383B"/>
    <w:rsid w:val="00C53EDE"/>
    <w:rsid w:val="00C53F99"/>
    <w:rsid w:val="00C53FF6"/>
    <w:rsid w:val="00C540F0"/>
    <w:rsid w:val="00C54171"/>
    <w:rsid w:val="00C54460"/>
    <w:rsid w:val="00C54526"/>
    <w:rsid w:val="00C54F0A"/>
    <w:rsid w:val="00C54F0C"/>
    <w:rsid w:val="00C551BD"/>
    <w:rsid w:val="00C5560D"/>
    <w:rsid w:val="00C55CA3"/>
    <w:rsid w:val="00C56943"/>
    <w:rsid w:val="00C569BE"/>
    <w:rsid w:val="00C56B76"/>
    <w:rsid w:val="00C56E3D"/>
    <w:rsid w:val="00C56F95"/>
    <w:rsid w:val="00C5725A"/>
    <w:rsid w:val="00C572EE"/>
    <w:rsid w:val="00C57506"/>
    <w:rsid w:val="00C57591"/>
    <w:rsid w:val="00C576DF"/>
    <w:rsid w:val="00C5795C"/>
    <w:rsid w:val="00C57B64"/>
    <w:rsid w:val="00C57DBC"/>
    <w:rsid w:val="00C60028"/>
    <w:rsid w:val="00C60250"/>
    <w:rsid w:val="00C603A3"/>
    <w:rsid w:val="00C61FE7"/>
    <w:rsid w:val="00C623CC"/>
    <w:rsid w:val="00C624C6"/>
    <w:rsid w:val="00C624F8"/>
    <w:rsid w:val="00C62C71"/>
    <w:rsid w:val="00C62FA7"/>
    <w:rsid w:val="00C63035"/>
    <w:rsid w:val="00C633C0"/>
    <w:rsid w:val="00C634BF"/>
    <w:rsid w:val="00C6390F"/>
    <w:rsid w:val="00C64DC0"/>
    <w:rsid w:val="00C654D3"/>
    <w:rsid w:val="00C6581C"/>
    <w:rsid w:val="00C65968"/>
    <w:rsid w:val="00C65AB6"/>
    <w:rsid w:val="00C660FE"/>
    <w:rsid w:val="00C661CA"/>
    <w:rsid w:val="00C66D65"/>
    <w:rsid w:val="00C6708D"/>
    <w:rsid w:val="00C6738A"/>
    <w:rsid w:val="00C674AE"/>
    <w:rsid w:val="00C67653"/>
    <w:rsid w:val="00C6774C"/>
    <w:rsid w:val="00C67ACA"/>
    <w:rsid w:val="00C67BCC"/>
    <w:rsid w:val="00C67D0B"/>
    <w:rsid w:val="00C70C7E"/>
    <w:rsid w:val="00C7106F"/>
    <w:rsid w:val="00C71698"/>
    <w:rsid w:val="00C71A57"/>
    <w:rsid w:val="00C724EA"/>
    <w:rsid w:val="00C72F85"/>
    <w:rsid w:val="00C73363"/>
    <w:rsid w:val="00C73450"/>
    <w:rsid w:val="00C73458"/>
    <w:rsid w:val="00C73852"/>
    <w:rsid w:val="00C73911"/>
    <w:rsid w:val="00C7438F"/>
    <w:rsid w:val="00C743EA"/>
    <w:rsid w:val="00C745F9"/>
    <w:rsid w:val="00C749A7"/>
    <w:rsid w:val="00C75426"/>
    <w:rsid w:val="00C75790"/>
    <w:rsid w:val="00C759CC"/>
    <w:rsid w:val="00C75DEC"/>
    <w:rsid w:val="00C75E75"/>
    <w:rsid w:val="00C76324"/>
    <w:rsid w:val="00C767CA"/>
    <w:rsid w:val="00C76C63"/>
    <w:rsid w:val="00C76FCC"/>
    <w:rsid w:val="00C77001"/>
    <w:rsid w:val="00C77E40"/>
    <w:rsid w:val="00C800D4"/>
    <w:rsid w:val="00C801BB"/>
    <w:rsid w:val="00C81407"/>
    <w:rsid w:val="00C8175E"/>
    <w:rsid w:val="00C8230D"/>
    <w:rsid w:val="00C82898"/>
    <w:rsid w:val="00C82FEC"/>
    <w:rsid w:val="00C8325E"/>
    <w:rsid w:val="00C84576"/>
    <w:rsid w:val="00C84C89"/>
    <w:rsid w:val="00C85462"/>
    <w:rsid w:val="00C85EAC"/>
    <w:rsid w:val="00C86E31"/>
    <w:rsid w:val="00C86F29"/>
    <w:rsid w:val="00C87420"/>
    <w:rsid w:val="00C87C4F"/>
    <w:rsid w:val="00C901F1"/>
    <w:rsid w:val="00C9042F"/>
    <w:rsid w:val="00C90A29"/>
    <w:rsid w:val="00C90EB8"/>
    <w:rsid w:val="00C91C23"/>
    <w:rsid w:val="00C91C89"/>
    <w:rsid w:val="00C924C6"/>
    <w:rsid w:val="00C9265F"/>
    <w:rsid w:val="00C92B8A"/>
    <w:rsid w:val="00C92DCE"/>
    <w:rsid w:val="00C932DF"/>
    <w:rsid w:val="00C93432"/>
    <w:rsid w:val="00C938D5"/>
    <w:rsid w:val="00C93D22"/>
    <w:rsid w:val="00C93E00"/>
    <w:rsid w:val="00C93F9E"/>
    <w:rsid w:val="00C94374"/>
    <w:rsid w:val="00C946E1"/>
    <w:rsid w:val="00C94B54"/>
    <w:rsid w:val="00C957BC"/>
    <w:rsid w:val="00C958CE"/>
    <w:rsid w:val="00C95BFF"/>
    <w:rsid w:val="00C95F28"/>
    <w:rsid w:val="00C9620F"/>
    <w:rsid w:val="00C9648C"/>
    <w:rsid w:val="00C97989"/>
    <w:rsid w:val="00CA02B6"/>
    <w:rsid w:val="00CA0425"/>
    <w:rsid w:val="00CA061E"/>
    <w:rsid w:val="00CA06F0"/>
    <w:rsid w:val="00CA0CEF"/>
    <w:rsid w:val="00CA1BC9"/>
    <w:rsid w:val="00CA1DF4"/>
    <w:rsid w:val="00CA1EBA"/>
    <w:rsid w:val="00CA23D4"/>
    <w:rsid w:val="00CA2717"/>
    <w:rsid w:val="00CA2C1A"/>
    <w:rsid w:val="00CA2CBE"/>
    <w:rsid w:val="00CA2E77"/>
    <w:rsid w:val="00CA30C4"/>
    <w:rsid w:val="00CA3213"/>
    <w:rsid w:val="00CA3A9D"/>
    <w:rsid w:val="00CA3CA1"/>
    <w:rsid w:val="00CA4171"/>
    <w:rsid w:val="00CA4454"/>
    <w:rsid w:val="00CA44B9"/>
    <w:rsid w:val="00CA4557"/>
    <w:rsid w:val="00CA47E1"/>
    <w:rsid w:val="00CA4BB2"/>
    <w:rsid w:val="00CA57A6"/>
    <w:rsid w:val="00CA5E68"/>
    <w:rsid w:val="00CA652D"/>
    <w:rsid w:val="00CA689F"/>
    <w:rsid w:val="00CA7452"/>
    <w:rsid w:val="00CA794F"/>
    <w:rsid w:val="00CA79EE"/>
    <w:rsid w:val="00CA7F31"/>
    <w:rsid w:val="00CB03DD"/>
    <w:rsid w:val="00CB0927"/>
    <w:rsid w:val="00CB0C0E"/>
    <w:rsid w:val="00CB1376"/>
    <w:rsid w:val="00CB2856"/>
    <w:rsid w:val="00CB2FD8"/>
    <w:rsid w:val="00CB33F6"/>
    <w:rsid w:val="00CB3507"/>
    <w:rsid w:val="00CB354A"/>
    <w:rsid w:val="00CB3BD7"/>
    <w:rsid w:val="00CB3DA9"/>
    <w:rsid w:val="00CB3E6F"/>
    <w:rsid w:val="00CB3FD7"/>
    <w:rsid w:val="00CB4234"/>
    <w:rsid w:val="00CB4388"/>
    <w:rsid w:val="00CB5120"/>
    <w:rsid w:val="00CB559D"/>
    <w:rsid w:val="00CB5781"/>
    <w:rsid w:val="00CB5E8F"/>
    <w:rsid w:val="00CB619A"/>
    <w:rsid w:val="00CB6215"/>
    <w:rsid w:val="00CB6895"/>
    <w:rsid w:val="00CB6DF2"/>
    <w:rsid w:val="00CB6FDD"/>
    <w:rsid w:val="00CB7130"/>
    <w:rsid w:val="00CB73EE"/>
    <w:rsid w:val="00CC024E"/>
    <w:rsid w:val="00CC0802"/>
    <w:rsid w:val="00CC0C89"/>
    <w:rsid w:val="00CC1410"/>
    <w:rsid w:val="00CC17E3"/>
    <w:rsid w:val="00CC1848"/>
    <w:rsid w:val="00CC19AA"/>
    <w:rsid w:val="00CC1A53"/>
    <w:rsid w:val="00CC1C90"/>
    <w:rsid w:val="00CC2401"/>
    <w:rsid w:val="00CC261B"/>
    <w:rsid w:val="00CC40F0"/>
    <w:rsid w:val="00CC428F"/>
    <w:rsid w:val="00CC46A6"/>
    <w:rsid w:val="00CC497A"/>
    <w:rsid w:val="00CC4981"/>
    <w:rsid w:val="00CC4B4C"/>
    <w:rsid w:val="00CC53CE"/>
    <w:rsid w:val="00CC53F2"/>
    <w:rsid w:val="00CC5794"/>
    <w:rsid w:val="00CC5C10"/>
    <w:rsid w:val="00CC5F6B"/>
    <w:rsid w:val="00CC60AE"/>
    <w:rsid w:val="00CC6C01"/>
    <w:rsid w:val="00CC7083"/>
    <w:rsid w:val="00CC7570"/>
    <w:rsid w:val="00CC7673"/>
    <w:rsid w:val="00CC7D84"/>
    <w:rsid w:val="00CD0258"/>
    <w:rsid w:val="00CD0629"/>
    <w:rsid w:val="00CD1D3E"/>
    <w:rsid w:val="00CD1E07"/>
    <w:rsid w:val="00CD270A"/>
    <w:rsid w:val="00CD2852"/>
    <w:rsid w:val="00CD296D"/>
    <w:rsid w:val="00CD331A"/>
    <w:rsid w:val="00CD37FB"/>
    <w:rsid w:val="00CD3CF6"/>
    <w:rsid w:val="00CD3D78"/>
    <w:rsid w:val="00CD52DC"/>
    <w:rsid w:val="00CD5BCC"/>
    <w:rsid w:val="00CD5C69"/>
    <w:rsid w:val="00CD6693"/>
    <w:rsid w:val="00CD68F4"/>
    <w:rsid w:val="00CD69B2"/>
    <w:rsid w:val="00CD6A08"/>
    <w:rsid w:val="00CD6F2A"/>
    <w:rsid w:val="00CD78EA"/>
    <w:rsid w:val="00CD7E4D"/>
    <w:rsid w:val="00CD7EB3"/>
    <w:rsid w:val="00CE0530"/>
    <w:rsid w:val="00CE05C9"/>
    <w:rsid w:val="00CE130E"/>
    <w:rsid w:val="00CE1367"/>
    <w:rsid w:val="00CE1BEC"/>
    <w:rsid w:val="00CE1CC1"/>
    <w:rsid w:val="00CE2290"/>
    <w:rsid w:val="00CE3508"/>
    <w:rsid w:val="00CE362B"/>
    <w:rsid w:val="00CE423F"/>
    <w:rsid w:val="00CE473B"/>
    <w:rsid w:val="00CE494B"/>
    <w:rsid w:val="00CE4C1E"/>
    <w:rsid w:val="00CE5A81"/>
    <w:rsid w:val="00CE5B69"/>
    <w:rsid w:val="00CE5BD1"/>
    <w:rsid w:val="00CE6557"/>
    <w:rsid w:val="00CE6865"/>
    <w:rsid w:val="00CE6C51"/>
    <w:rsid w:val="00CE6F68"/>
    <w:rsid w:val="00CE71D7"/>
    <w:rsid w:val="00CF001D"/>
    <w:rsid w:val="00CF0EFA"/>
    <w:rsid w:val="00CF101E"/>
    <w:rsid w:val="00CF1505"/>
    <w:rsid w:val="00CF19A0"/>
    <w:rsid w:val="00CF1F21"/>
    <w:rsid w:val="00CF2239"/>
    <w:rsid w:val="00CF248C"/>
    <w:rsid w:val="00CF2F44"/>
    <w:rsid w:val="00CF3C72"/>
    <w:rsid w:val="00CF404C"/>
    <w:rsid w:val="00CF4248"/>
    <w:rsid w:val="00CF4603"/>
    <w:rsid w:val="00CF4D1F"/>
    <w:rsid w:val="00CF524C"/>
    <w:rsid w:val="00CF5387"/>
    <w:rsid w:val="00CF5FC3"/>
    <w:rsid w:val="00CF61BA"/>
    <w:rsid w:val="00CF6349"/>
    <w:rsid w:val="00CF78EE"/>
    <w:rsid w:val="00CF7D68"/>
    <w:rsid w:val="00D005F8"/>
    <w:rsid w:val="00D0068A"/>
    <w:rsid w:val="00D00875"/>
    <w:rsid w:val="00D01E06"/>
    <w:rsid w:val="00D02646"/>
    <w:rsid w:val="00D02B79"/>
    <w:rsid w:val="00D02BEF"/>
    <w:rsid w:val="00D02FD9"/>
    <w:rsid w:val="00D03082"/>
    <w:rsid w:val="00D034E4"/>
    <w:rsid w:val="00D037A0"/>
    <w:rsid w:val="00D04892"/>
    <w:rsid w:val="00D048ED"/>
    <w:rsid w:val="00D04D7E"/>
    <w:rsid w:val="00D04DCB"/>
    <w:rsid w:val="00D05261"/>
    <w:rsid w:val="00D054D7"/>
    <w:rsid w:val="00D057BF"/>
    <w:rsid w:val="00D05BB6"/>
    <w:rsid w:val="00D06526"/>
    <w:rsid w:val="00D067D4"/>
    <w:rsid w:val="00D06EE1"/>
    <w:rsid w:val="00D06F51"/>
    <w:rsid w:val="00D06F7E"/>
    <w:rsid w:val="00D0732B"/>
    <w:rsid w:val="00D0761F"/>
    <w:rsid w:val="00D107D6"/>
    <w:rsid w:val="00D108CB"/>
    <w:rsid w:val="00D10FBE"/>
    <w:rsid w:val="00D1131D"/>
    <w:rsid w:val="00D11B5D"/>
    <w:rsid w:val="00D11F41"/>
    <w:rsid w:val="00D12282"/>
    <w:rsid w:val="00D13BC8"/>
    <w:rsid w:val="00D142A3"/>
    <w:rsid w:val="00D1432C"/>
    <w:rsid w:val="00D144D8"/>
    <w:rsid w:val="00D14B81"/>
    <w:rsid w:val="00D1524D"/>
    <w:rsid w:val="00D15EC1"/>
    <w:rsid w:val="00D15F33"/>
    <w:rsid w:val="00D1629C"/>
    <w:rsid w:val="00D16CBD"/>
    <w:rsid w:val="00D170DD"/>
    <w:rsid w:val="00D171A3"/>
    <w:rsid w:val="00D172C1"/>
    <w:rsid w:val="00D17670"/>
    <w:rsid w:val="00D178F6"/>
    <w:rsid w:val="00D17941"/>
    <w:rsid w:val="00D17FAE"/>
    <w:rsid w:val="00D2002E"/>
    <w:rsid w:val="00D2034B"/>
    <w:rsid w:val="00D20D6B"/>
    <w:rsid w:val="00D22BC4"/>
    <w:rsid w:val="00D22F7B"/>
    <w:rsid w:val="00D2345F"/>
    <w:rsid w:val="00D23CB6"/>
    <w:rsid w:val="00D23CC4"/>
    <w:rsid w:val="00D23CDA"/>
    <w:rsid w:val="00D23DE5"/>
    <w:rsid w:val="00D2408E"/>
    <w:rsid w:val="00D245AA"/>
    <w:rsid w:val="00D24714"/>
    <w:rsid w:val="00D24A1A"/>
    <w:rsid w:val="00D24D4B"/>
    <w:rsid w:val="00D261E4"/>
    <w:rsid w:val="00D262E5"/>
    <w:rsid w:val="00D2652C"/>
    <w:rsid w:val="00D2663A"/>
    <w:rsid w:val="00D26B57"/>
    <w:rsid w:val="00D26FD4"/>
    <w:rsid w:val="00D2728B"/>
    <w:rsid w:val="00D2786F"/>
    <w:rsid w:val="00D27A8A"/>
    <w:rsid w:val="00D27C31"/>
    <w:rsid w:val="00D3002F"/>
    <w:rsid w:val="00D30169"/>
    <w:rsid w:val="00D301B1"/>
    <w:rsid w:val="00D302C1"/>
    <w:rsid w:val="00D30613"/>
    <w:rsid w:val="00D306D7"/>
    <w:rsid w:val="00D306F0"/>
    <w:rsid w:val="00D3193D"/>
    <w:rsid w:val="00D32464"/>
    <w:rsid w:val="00D32606"/>
    <w:rsid w:val="00D32997"/>
    <w:rsid w:val="00D32F9E"/>
    <w:rsid w:val="00D33D9F"/>
    <w:rsid w:val="00D3420F"/>
    <w:rsid w:val="00D34537"/>
    <w:rsid w:val="00D34789"/>
    <w:rsid w:val="00D348D6"/>
    <w:rsid w:val="00D34DCD"/>
    <w:rsid w:val="00D35073"/>
    <w:rsid w:val="00D353E1"/>
    <w:rsid w:val="00D35E82"/>
    <w:rsid w:val="00D36149"/>
    <w:rsid w:val="00D36245"/>
    <w:rsid w:val="00D36BEE"/>
    <w:rsid w:val="00D370DF"/>
    <w:rsid w:val="00D37543"/>
    <w:rsid w:val="00D40F49"/>
    <w:rsid w:val="00D424B8"/>
    <w:rsid w:val="00D4287F"/>
    <w:rsid w:val="00D428EE"/>
    <w:rsid w:val="00D42962"/>
    <w:rsid w:val="00D431F1"/>
    <w:rsid w:val="00D434EE"/>
    <w:rsid w:val="00D43DB2"/>
    <w:rsid w:val="00D43F06"/>
    <w:rsid w:val="00D44486"/>
    <w:rsid w:val="00D4470F"/>
    <w:rsid w:val="00D44986"/>
    <w:rsid w:val="00D449C4"/>
    <w:rsid w:val="00D457D7"/>
    <w:rsid w:val="00D45892"/>
    <w:rsid w:val="00D4612E"/>
    <w:rsid w:val="00D46538"/>
    <w:rsid w:val="00D46E94"/>
    <w:rsid w:val="00D472B5"/>
    <w:rsid w:val="00D477AA"/>
    <w:rsid w:val="00D478D3"/>
    <w:rsid w:val="00D47A07"/>
    <w:rsid w:val="00D47A34"/>
    <w:rsid w:val="00D503D0"/>
    <w:rsid w:val="00D5059F"/>
    <w:rsid w:val="00D50681"/>
    <w:rsid w:val="00D506CD"/>
    <w:rsid w:val="00D50762"/>
    <w:rsid w:val="00D50BCA"/>
    <w:rsid w:val="00D514E6"/>
    <w:rsid w:val="00D51E32"/>
    <w:rsid w:val="00D524B0"/>
    <w:rsid w:val="00D52774"/>
    <w:rsid w:val="00D5299F"/>
    <w:rsid w:val="00D52EB0"/>
    <w:rsid w:val="00D52FF5"/>
    <w:rsid w:val="00D533DB"/>
    <w:rsid w:val="00D54170"/>
    <w:rsid w:val="00D54A87"/>
    <w:rsid w:val="00D558AF"/>
    <w:rsid w:val="00D55C40"/>
    <w:rsid w:val="00D56892"/>
    <w:rsid w:val="00D56B04"/>
    <w:rsid w:val="00D56B25"/>
    <w:rsid w:val="00D571C2"/>
    <w:rsid w:val="00D5730B"/>
    <w:rsid w:val="00D57504"/>
    <w:rsid w:val="00D5779E"/>
    <w:rsid w:val="00D577D7"/>
    <w:rsid w:val="00D57D17"/>
    <w:rsid w:val="00D603BF"/>
    <w:rsid w:val="00D60673"/>
    <w:rsid w:val="00D6070C"/>
    <w:rsid w:val="00D60D0E"/>
    <w:rsid w:val="00D60D5A"/>
    <w:rsid w:val="00D60E70"/>
    <w:rsid w:val="00D6124A"/>
    <w:rsid w:val="00D619A3"/>
    <w:rsid w:val="00D61DD1"/>
    <w:rsid w:val="00D6219E"/>
    <w:rsid w:val="00D62BB0"/>
    <w:rsid w:val="00D62D37"/>
    <w:rsid w:val="00D634DC"/>
    <w:rsid w:val="00D63557"/>
    <w:rsid w:val="00D6381E"/>
    <w:rsid w:val="00D63886"/>
    <w:rsid w:val="00D63F54"/>
    <w:rsid w:val="00D6421D"/>
    <w:rsid w:val="00D64BF8"/>
    <w:rsid w:val="00D64E7D"/>
    <w:rsid w:val="00D6503C"/>
    <w:rsid w:val="00D6529B"/>
    <w:rsid w:val="00D6608C"/>
    <w:rsid w:val="00D661D1"/>
    <w:rsid w:val="00D66474"/>
    <w:rsid w:val="00D6733F"/>
    <w:rsid w:val="00D67470"/>
    <w:rsid w:val="00D67504"/>
    <w:rsid w:val="00D67736"/>
    <w:rsid w:val="00D67896"/>
    <w:rsid w:val="00D700DB"/>
    <w:rsid w:val="00D701F7"/>
    <w:rsid w:val="00D70879"/>
    <w:rsid w:val="00D70B69"/>
    <w:rsid w:val="00D71CE3"/>
    <w:rsid w:val="00D71DC4"/>
    <w:rsid w:val="00D71EA1"/>
    <w:rsid w:val="00D7236A"/>
    <w:rsid w:val="00D725F9"/>
    <w:rsid w:val="00D7270D"/>
    <w:rsid w:val="00D72752"/>
    <w:rsid w:val="00D72B41"/>
    <w:rsid w:val="00D72C0B"/>
    <w:rsid w:val="00D72F69"/>
    <w:rsid w:val="00D73357"/>
    <w:rsid w:val="00D7348A"/>
    <w:rsid w:val="00D734C1"/>
    <w:rsid w:val="00D73B72"/>
    <w:rsid w:val="00D74091"/>
    <w:rsid w:val="00D74C8A"/>
    <w:rsid w:val="00D752F4"/>
    <w:rsid w:val="00D7539E"/>
    <w:rsid w:val="00D75650"/>
    <w:rsid w:val="00D756F0"/>
    <w:rsid w:val="00D758CA"/>
    <w:rsid w:val="00D75DBD"/>
    <w:rsid w:val="00D75F90"/>
    <w:rsid w:val="00D75F9B"/>
    <w:rsid w:val="00D768CC"/>
    <w:rsid w:val="00D76904"/>
    <w:rsid w:val="00D7693F"/>
    <w:rsid w:val="00D77154"/>
    <w:rsid w:val="00D771AB"/>
    <w:rsid w:val="00D774CE"/>
    <w:rsid w:val="00D77F90"/>
    <w:rsid w:val="00D77FED"/>
    <w:rsid w:val="00D8086F"/>
    <w:rsid w:val="00D80933"/>
    <w:rsid w:val="00D80A55"/>
    <w:rsid w:val="00D81674"/>
    <w:rsid w:val="00D816C7"/>
    <w:rsid w:val="00D8274D"/>
    <w:rsid w:val="00D82F14"/>
    <w:rsid w:val="00D834BA"/>
    <w:rsid w:val="00D83C4B"/>
    <w:rsid w:val="00D848FE"/>
    <w:rsid w:val="00D853AE"/>
    <w:rsid w:val="00D86283"/>
    <w:rsid w:val="00D863B1"/>
    <w:rsid w:val="00D86E66"/>
    <w:rsid w:val="00D8703A"/>
    <w:rsid w:val="00D87665"/>
    <w:rsid w:val="00D8770B"/>
    <w:rsid w:val="00D87743"/>
    <w:rsid w:val="00D8774B"/>
    <w:rsid w:val="00D9019B"/>
    <w:rsid w:val="00D90427"/>
    <w:rsid w:val="00D90936"/>
    <w:rsid w:val="00D9161B"/>
    <w:rsid w:val="00D92012"/>
    <w:rsid w:val="00D921E4"/>
    <w:rsid w:val="00D926E0"/>
    <w:rsid w:val="00D929BA"/>
    <w:rsid w:val="00D929FB"/>
    <w:rsid w:val="00D92E43"/>
    <w:rsid w:val="00D932BF"/>
    <w:rsid w:val="00D934BF"/>
    <w:rsid w:val="00D93A67"/>
    <w:rsid w:val="00D93B4A"/>
    <w:rsid w:val="00D93BAB"/>
    <w:rsid w:val="00D93C9A"/>
    <w:rsid w:val="00D940B5"/>
    <w:rsid w:val="00D940D5"/>
    <w:rsid w:val="00D943CC"/>
    <w:rsid w:val="00D945AE"/>
    <w:rsid w:val="00D94D22"/>
    <w:rsid w:val="00D95315"/>
    <w:rsid w:val="00D954A7"/>
    <w:rsid w:val="00D95B0E"/>
    <w:rsid w:val="00D95D17"/>
    <w:rsid w:val="00D96A13"/>
    <w:rsid w:val="00D973B7"/>
    <w:rsid w:val="00D97B14"/>
    <w:rsid w:val="00DA03FF"/>
    <w:rsid w:val="00DA0AB3"/>
    <w:rsid w:val="00DA0C5A"/>
    <w:rsid w:val="00DA1DE7"/>
    <w:rsid w:val="00DA20D4"/>
    <w:rsid w:val="00DA23AE"/>
    <w:rsid w:val="00DA2678"/>
    <w:rsid w:val="00DA293C"/>
    <w:rsid w:val="00DA389D"/>
    <w:rsid w:val="00DA42D2"/>
    <w:rsid w:val="00DA45AD"/>
    <w:rsid w:val="00DA46EC"/>
    <w:rsid w:val="00DA4946"/>
    <w:rsid w:val="00DA4B3D"/>
    <w:rsid w:val="00DA4F6D"/>
    <w:rsid w:val="00DA67BC"/>
    <w:rsid w:val="00DA6B8C"/>
    <w:rsid w:val="00DA6D72"/>
    <w:rsid w:val="00DA6D7A"/>
    <w:rsid w:val="00DA725B"/>
    <w:rsid w:val="00DA7EDF"/>
    <w:rsid w:val="00DB00C9"/>
    <w:rsid w:val="00DB033A"/>
    <w:rsid w:val="00DB076D"/>
    <w:rsid w:val="00DB0AA5"/>
    <w:rsid w:val="00DB0E00"/>
    <w:rsid w:val="00DB1115"/>
    <w:rsid w:val="00DB1381"/>
    <w:rsid w:val="00DB13FC"/>
    <w:rsid w:val="00DB1409"/>
    <w:rsid w:val="00DB1D23"/>
    <w:rsid w:val="00DB1D55"/>
    <w:rsid w:val="00DB1D6E"/>
    <w:rsid w:val="00DB2263"/>
    <w:rsid w:val="00DB366A"/>
    <w:rsid w:val="00DB3676"/>
    <w:rsid w:val="00DB3BFD"/>
    <w:rsid w:val="00DB3E7C"/>
    <w:rsid w:val="00DB408B"/>
    <w:rsid w:val="00DB442A"/>
    <w:rsid w:val="00DB470E"/>
    <w:rsid w:val="00DB4DF7"/>
    <w:rsid w:val="00DB4E67"/>
    <w:rsid w:val="00DB5011"/>
    <w:rsid w:val="00DB5890"/>
    <w:rsid w:val="00DB58B9"/>
    <w:rsid w:val="00DB65BB"/>
    <w:rsid w:val="00DB7048"/>
    <w:rsid w:val="00DB712D"/>
    <w:rsid w:val="00DB7CE5"/>
    <w:rsid w:val="00DB7E97"/>
    <w:rsid w:val="00DC0E30"/>
    <w:rsid w:val="00DC0E92"/>
    <w:rsid w:val="00DC0FD2"/>
    <w:rsid w:val="00DC17C3"/>
    <w:rsid w:val="00DC24FE"/>
    <w:rsid w:val="00DC2834"/>
    <w:rsid w:val="00DC2C77"/>
    <w:rsid w:val="00DC340B"/>
    <w:rsid w:val="00DC366E"/>
    <w:rsid w:val="00DC425D"/>
    <w:rsid w:val="00DC43A4"/>
    <w:rsid w:val="00DC4C01"/>
    <w:rsid w:val="00DC4F8B"/>
    <w:rsid w:val="00DC5172"/>
    <w:rsid w:val="00DC52AD"/>
    <w:rsid w:val="00DC5403"/>
    <w:rsid w:val="00DC560A"/>
    <w:rsid w:val="00DC5C81"/>
    <w:rsid w:val="00DC62FB"/>
    <w:rsid w:val="00DC6D13"/>
    <w:rsid w:val="00DC6F21"/>
    <w:rsid w:val="00DC7079"/>
    <w:rsid w:val="00DC7085"/>
    <w:rsid w:val="00DC741C"/>
    <w:rsid w:val="00DC7E3C"/>
    <w:rsid w:val="00DD0493"/>
    <w:rsid w:val="00DD078D"/>
    <w:rsid w:val="00DD0B7F"/>
    <w:rsid w:val="00DD0D3B"/>
    <w:rsid w:val="00DD0F69"/>
    <w:rsid w:val="00DD1C50"/>
    <w:rsid w:val="00DD23BE"/>
    <w:rsid w:val="00DD2D32"/>
    <w:rsid w:val="00DD2ECE"/>
    <w:rsid w:val="00DD30ED"/>
    <w:rsid w:val="00DD3681"/>
    <w:rsid w:val="00DD3D9D"/>
    <w:rsid w:val="00DD3F69"/>
    <w:rsid w:val="00DD4D66"/>
    <w:rsid w:val="00DD5674"/>
    <w:rsid w:val="00DD598C"/>
    <w:rsid w:val="00DD641F"/>
    <w:rsid w:val="00DD6649"/>
    <w:rsid w:val="00DD68C5"/>
    <w:rsid w:val="00DD6BDD"/>
    <w:rsid w:val="00DD712C"/>
    <w:rsid w:val="00DD7286"/>
    <w:rsid w:val="00DD7371"/>
    <w:rsid w:val="00DD7C15"/>
    <w:rsid w:val="00DD7DE8"/>
    <w:rsid w:val="00DD7FC2"/>
    <w:rsid w:val="00DE0309"/>
    <w:rsid w:val="00DE0590"/>
    <w:rsid w:val="00DE0637"/>
    <w:rsid w:val="00DE09A1"/>
    <w:rsid w:val="00DE0BED"/>
    <w:rsid w:val="00DE0C23"/>
    <w:rsid w:val="00DE1254"/>
    <w:rsid w:val="00DE20DF"/>
    <w:rsid w:val="00DE28A2"/>
    <w:rsid w:val="00DE43DD"/>
    <w:rsid w:val="00DE43E7"/>
    <w:rsid w:val="00DE4472"/>
    <w:rsid w:val="00DE562A"/>
    <w:rsid w:val="00DE5A75"/>
    <w:rsid w:val="00DE5BBA"/>
    <w:rsid w:val="00DE62DC"/>
    <w:rsid w:val="00DE6F40"/>
    <w:rsid w:val="00DE7002"/>
    <w:rsid w:val="00DE774A"/>
    <w:rsid w:val="00DE7B7A"/>
    <w:rsid w:val="00DF03A6"/>
    <w:rsid w:val="00DF03B6"/>
    <w:rsid w:val="00DF0691"/>
    <w:rsid w:val="00DF0DED"/>
    <w:rsid w:val="00DF111F"/>
    <w:rsid w:val="00DF232C"/>
    <w:rsid w:val="00DF24F5"/>
    <w:rsid w:val="00DF29E7"/>
    <w:rsid w:val="00DF2BCE"/>
    <w:rsid w:val="00DF3064"/>
    <w:rsid w:val="00DF3220"/>
    <w:rsid w:val="00DF35D3"/>
    <w:rsid w:val="00DF383F"/>
    <w:rsid w:val="00DF3DB8"/>
    <w:rsid w:val="00DF3DD3"/>
    <w:rsid w:val="00DF4A0A"/>
    <w:rsid w:val="00DF4B45"/>
    <w:rsid w:val="00DF55DA"/>
    <w:rsid w:val="00DF55FE"/>
    <w:rsid w:val="00DF5621"/>
    <w:rsid w:val="00DF585A"/>
    <w:rsid w:val="00DF5C38"/>
    <w:rsid w:val="00DF5E9F"/>
    <w:rsid w:val="00DF64AF"/>
    <w:rsid w:val="00DF6C7E"/>
    <w:rsid w:val="00DF7294"/>
    <w:rsid w:val="00DF737A"/>
    <w:rsid w:val="00DF7400"/>
    <w:rsid w:val="00DF7559"/>
    <w:rsid w:val="00DF7925"/>
    <w:rsid w:val="00E00151"/>
    <w:rsid w:val="00E005F9"/>
    <w:rsid w:val="00E0064F"/>
    <w:rsid w:val="00E00FDB"/>
    <w:rsid w:val="00E01ABD"/>
    <w:rsid w:val="00E01FC1"/>
    <w:rsid w:val="00E02102"/>
    <w:rsid w:val="00E02433"/>
    <w:rsid w:val="00E03497"/>
    <w:rsid w:val="00E03F83"/>
    <w:rsid w:val="00E04005"/>
    <w:rsid w:val="00E0443E"/>
    <w:rsid w:val="00E0470A"/>
    <w:rsid w:val="00E04797"/>
    <w:rsid w:val="00E0494E"/>
    <w:rsid w:val="00E04C7A"/>
    <w:rsid w:val="00E04D20"/>
    <w:rsid w:val="00E04D83"/>
    <w:rsid w:val="00E0564F"/>
    <w:rsid w:val="00E056C1"/>
    <w:rsid w:val="00E06007"/>
    <w:rsid w:val="00E062B0"/>
    <w:rsid w:val="00E0632F"/>
    <w:rsid w:val="00E06331"/>
    <w:rsid w:val="00E065C3"/>
    <w:rsid w:val="00E0677D"/>
    <w:rsid w:val="00E067D3"/>
    <w:rsid w:val="00E068DD"/>
    <w:rsid w:val="00E06932"/>
    <w:rsid w:val="00E06B1C"/>
    <w:rsid w:val="00E06F10"/>
    <w:rsid w:val="00E0729C"/>
    <w:rsid w:val="00E07662"/>
    <w:rsid w:val="00E0778D"/>
    <w:rsid w:val="00E1093C"/>
    <w:rsid w:val="00E10D7F"/>
    <w:rsid w:val="00E10E85"/>
    <w:rsid w:val="00E10EF5"/>
    <w:rsid w:val="00E1198D"/>
    <w:rsid w:val="00E11C25"/>
    <w:rsid w:val="00E12202"/>
    <w:rsid w:val="00E1281E"/>
    <w:rsid w:val="00E12C32"/>
    <w:rsid w:val="00E12F86"/>
    <w:rsid w:val="00E1366C"/>
    <w:rsid w:val="00E1369B"/>
    <w:rsid w:val="00E139DD"/>
    <w:rsid w:val="00E13A72"/>
    <w:rsid w:val="00E1492B"/>
    <w:rsid w:val="00E15826"/>
    <w:rsid w:val="00E158CE"/>
    <w:rsid w:val="00E16503"/>
    <w:rsid w:val="00E16F50"/>
    <w:rsid w:val="00E178E9"/>
    <w:rsid w:val="00E17A1D"/>
    <w:rsid w:val="00E17D03"/>
    <w:rsid w:val="00E17E47"/>
    <w:rsid w:val="00E17F62"/>
    <w:rsid w:val="00E17F77"/>
    <w:rsid w:val="00E17FBA"/>
    <w:rsid w:val="00E20B01"/>
    <w:rsid w:val="00E2130F"/>
    <w:rsid w:val="00E21514"/>
    <w:rsid w:val="00E21DE1"/>
    <w:rsid w:val="00E229A6"/>
    <w:rsid w:val="00E229F0"/>
    <w:rsid w:val="00E22D27"/>
    <w:rsid w:val="00E23050"/>
    <w:rsid w:val="00E231A3"/>
    <w:rsid w:val="00E241E6"/>
    <w:rsid w:val="00E24C64"/>
    <w:rsid w:val="00E24E13"/>
    <w:rsid w:val="00E24F0F"/>
    <w:rsid w:val="00E25451"/>
    <w:rsid w:val="00E254DB"/>
    <w:rsid w:val="00E25ECC"/>
    <w:rsid w:val="00E2672C"/>
    <w:rsid w:val="00E26BE1"/>
    <w:rsid w:val="00E27591"/>
    <w:rsid w:val="00E2780C"/>
    <w:rsid w:val="00E27BD1"/>
    <w:rsid w:val="00E27D2D"/>
    <w:rsid w:val="00E3059E"/>
    <w:rsid w:val="00E30AE2"/>
    <w:rsid w:val="00E30E09"/>
    <w:rsid w:val="00E31797"/>
    <w:rsid w:val="00E31B5B"/>
    <w:rsid w:val="00E31C48"/>
    <w:rsid w:val="00E32065"/>
    <w:rsid w:val="00E32371"/>
    <w:rsid w:val="00E32F97"/>
    <w:rsid w:val="00E33ACF"/>
    <w:rsid w:val="00E34BE9"/>
    <w:rsid w:val="00E355CE"/>
    <w:rsid w:val="00E35706"/>
    <w:rsid w:val="00E36914"/>
    <w:rsid w:val="00E3787C"/>
    <w:rsid w:val="00E3799D"/>
    <w:rsid w:val="00E37A13"/>
    <w:rsid w:val="00E37A8C"/>
    <w:rsid w:val="00E37C5D"/>
    <w:rsid w:val="00E37F68"/>
    <w:rsid w:val="00E40E7E"/>
    <w:rsid w:val="00E41C90"/>
    <w:rsid w:val="00E425AF"/>
    <w:rsid w:val="00E427C0"/>
    <w:rsid w:val="00E430DD"/>
    <w:rsid w:val="00E43584"/>
    <w:rsid w:val="00E43A2E"/>
    <w:rsid w:val="00E43D7C"/>
    <w:rsid w:val="00E43E00"/>
    <w:rsid w:val="00E444F6"/>
    <w:rsid w:val="00E44BC0"/>
    <w:rsid w:val="00E451A6"/>
    <w:rsid w:val="00E457B8"/>
    <w:rsid w:val="00E4676A"/>
    <w:rsid w:val="00E46A26"/>
    <w:rsid w:val="00E47703"/>
    <w:rsid w:val="00E50C95"/>
    <w:rsid w:val="00E50E79"/>
    <w:rsid w:val="00E51DD0"/>
    <w:rsid w:val="00E52B16"/>
    <w:rsid w:val="00E52E9B"/>
    <w:rsid w:val="00E5322B"/>
    <w:rsid w:val="00E532ED"/>
    <w:rsid w:val="00E5417D"/>
    <w:rsid w:val="00E54781"/>
    <w:rsid w:val="00E552A0"/>
    <w:rsid w:val="00E5530B"/>
    <w:rsid w:val="00E5542D"/>
    <w:rsid w:val="00E557E9"/>
    <w:rsid w:val="00E559CC"/>
    <w:rsid w:val="00E55C4F"/>
    <w:rsid w:val="00E55D7A"/>
    <w:rsid w:val="00E560BF"/>
    <w:rsid w:val="00E566DE"/>
    <w:rsid w:val="00E56F36"/>
    <w:rsid w:val="00E576D9"/>
    <w:rsid w:val="00E57EAA"/>
    <w:rsid w:val="00E60095"/>
    <w:rsid w:val="00E60251"/>
    <w:rsid w:val="00E606CE"/>
    <w:rsid w:val="00E60C61"/>
    <w:rsid w:val="00E61459"/>
    <w:rsid w:val="00E616C5"/>
    <w:rsid w:val="00E616D4"/>
    <w:rsid w:val="00E61703"/>
    <w:rsid w:val="00E618B8"/>
    <w:rsid w:val="00E61ED4"/>
    <w:rsid w:val="00E621F7"/>
    <w:rsid w:val="00E62766"/>
    <w:rsid w:val="00E62D5C"/>
    <w:rsid w:val="00E6300D"/>
    <w:rsid w:val="00E63120"/>
    <w:rsid w:val="00E632D5"/>
    <w:rsid w:val="00E6330B"/>
    <w:rsid w:val="00E63BB8"/>
    <w:rsid w:val="00E63D47"/>
    <w:rsid w:val="00E63D94"/>
    <w:rsid w:val="00E63FEF"/>
    <w:rsid w:val="00E641CA"/>
    <w:rsid w:val="00E641E4"/>
    <w:rsid w:val="00E6468A"/>
    <w:rsid w:val="00E64996"/>
    <w:rsid w:val="00E64AA6"/>
    <w:rsid w:val="00E64B86"/>
    <w:rsid w:val="00E65184"/>
    <w:rsid w:val="00E652B2"/>
    <w:rsid w:val="00E65A9F"/>
    <w:rsid w:val="00E65B71"/>
    <w:rsid w:val="00E66873"/>
    <w:rsid w:val="00E668E3"/>
    <w:rsid w:val="00E66B44"/>
    <w:rsid w:val="00E66FE8"/>
    <w:rsid w:val="00E6791D"/>
    <w:rsid w:val="00E67F3C"/>
    <w:rsid w:val="00E70C02"/>
    <w:rsid w:val="00E70C3B"/>
    <w:rsid w:val="00E71170"/>
    <w:rsid w:val="00E7154D"/>
    <w:rsid w:val="00E71646"/>
    <w:rsid w:val="00E719CC"/>
    <w:rsid w:val="00E725D2"/>
    <w:rsid w:val="00E72D67"/>
    <w:rsid w:val="00E72FA3"/>
    <w:rsid w:val="00E73426"/>
    <w:rsid w:val="00E736CD"/>
    <w:rsid w:val="00E738A6"/>
    <w:rsid w:val="00E7396F"/>
    <w:rsid w:val="00E73D02"/>
    <w:rsid w:val="00E73EC1"/>
    <w:rsid w:val="00E742BF"/>
    <w:rsid w:val="00E745A0"/>
    <w:rsid w:val="00E754A8"/>
    <w:rsid w:val="00E755B5"/>
    <w:rsid w:val="00E755E3"/>
    <w:rsid w:val="00E75A99"/>
    <w:rsid w:val="00E75AB4"/>
    <w:rsid w:val="00E75D61"/>
    <w:rsid w:val="00E76C1C"/>
    <w:rsid w:val="00E76D24"/>
    <w:rsid w:val="00E778AD"/>
    <w:rsid w:val="00E77CD4"/>
    <w:rsid w:val="00E8009A"/>
    <w:rsid w:val="00E803B0"/>
    <w:rsid w:val="00E80612"/>
    <w:rsid w:val="00E80840"/>
    <w:rsid w:val="00E80CBD"/>
    <w:rsid w:val="00E80DFB"/>
    <w:rsid w:val="00E80E49"/>
    <w:rsid w:val="00E8149C"/>
    <w:rsid w:val="00E8174D"/>
    <w:rsid w:val="00E81972"/>
    <w:rsid w:val="00E81B8F"/>
    <w:rsid w:val="00E81CF4"/>
    <w:rsid w:val="00E81FF9"/>
    <w:rsid w:val="00E82267"/>
    <w:rsid w:val="00E827AF"/>
    <w:rsid w:val="00E828E5"/>
    <w:rsid w:val="00E82967"/>
    <w:rsid w:val="00E82976"/>
    <w:rsid w:val="00E82D5B"/>
    <w:rsid w:val="00E8313F"/>
    <w:rsid w:val="00E831F0"/>
    <w:rsid w:val="00E832EF"/>
    <w:rsid w:val="00E838A0"/>
    <w:rsid w:val="00E83A1D"/>
    <w:rsid w:val="00E83AA3"/>
    <w:rsid w:val="00E83E71"/>
    <w:rsid w:val="00E8451B"/>
    <w:rsid w:val="00E85C8A"/>
    <w:rsid w:val="00E86B58"/>
    <w:rsid w:val="00E86E62"/>
    <w:rsid w:val="00E9065C"/>
    <w:rsid w:val="00E90858"/>
    <w:rsid w:val="00E908D0"/>
    <w:rsid w:val="00E90D3A"/>
    <w:rsid w:val="00E90FB0"/>
    <w:rsid w:val="00E9118D"/>
    <w:rsid w:val="00E919F0"/>
    <w:rsid w:val="00E92AFA"/>
    <w:rsid w:val="00E92C93"/>
    <w:rsid w:val="00E92CD3"/>
    <w:rsid w:val="00E92E99"/>
    <w:rsid w:val="00E9300C"/>
    <w:rsid w:val="00E9365D"/>
    <w:rsid w:val="00E937B3"/>
    <w:rsid w:val="00E94035"/>
    <w:rsid w:val="00E9413C"/>
    <w:rsid w:val="00E95EB5"/>
    <w:rsid w:val="00E96265"/>
    <w:rsid w:val="00E96582"/>
    <w:rsid w:val="00E96C5A"/>
    <w:rsid w:val="00E96F37"/>
    <w:rsid w:val="00E97469"/>
    <w:rsid w:val="00E9754F"/>
    <w:rsid w:val="00EA005A"/>
    <w:rsid w:val="00EA0628"/>
    <w:rsid w:val="00EA06CF"/>
    <w:rsid w:val="00EA080E"/>
    <w:rsid w:val="00EA0BAD"/>
    <w:rsid w:val="00EA0BEE"/>
    <w:rsid w:val="00EA15EB"/>
    <w:rsid w:val="00EA1AEA"/>
    <w:rsid w:val="00EA1CD4"/>
    <w:rsid w:val="00EA1D03"/>
    <w:rsid w:val="00EA216C"/>
    <w:rsid w:val="00EA242C"/>
    <w:rsid w:val="00EA2720"/>
    <w:rsid w:val="00EA2CD2"/>
    <w:rsid w:val="00EA2E23"/>
    <w:rsid w:val="00EA2F90"/>
    <w:rsid w:val="00EA3356"/>
    <w:rsid w:val="00EA34E4"/>
    <w:rsid w:val="00EA3B82"/>
    <w:rsid w:val="00EA40FE"/>
    <w:rsid w:val="00EA4A92"/>
    <w:rsid w:val="00EA5235"/>
    <w:rsid w:val="00EA53A9"/>
    <w:rsid w:val="00EA53BB"/>
    <w:rsid w:val="00EA5A2C"/>
    <w:rsid w:val="00EA5A81"/>
    <w:rsid w:val="00EA6973"/>
    <w:rsid w:val="00EA754A"/>
    <w:rsid w:val="00EA76FD"/>
    <w:rsid w:val="00EA7F3F"/>
    <w:rsid w:val="00EB0D1A"/>
    <w:rsid w:val="00EB10A6"/>
    <w:rsid w:val="00EB1379"/>
    <w:rsid w:val="00EB1749"/>
    <w:rsid w:val="00EB1B49"/>
    <w:rsid w:val="00EB1D30"/>
    <w:rsid w:val="00EB1E20"/>
    <w:rsid w:val="00EB25B6"/>
    <w:rsid w:val="00EB35CC"/>
    <w:rsid w:val="00EB35D3"/>
    <w:rsid w:val="00EB37F4"/>
    <w:rsid w:val="00EB37F9"/>
    <w:rsid w:val="00EB3D05"/>
    <w:rsid w:val="00EB438C"/>
    <w:rsid w:val="00EB47FB"/>
    <w:rsid w:val="00EB4D01"/>
    <w:rsid w:val="00EB52E9"/>
    <w:rsid w:val="00EB558D"/>
    <w:rsid w:val="00EB5AB8"/>
    <w:rsid w:val="00EB5C6C"/>
    <w:rsid w:val="00EB6CF2"/>
    <w:rsid w:val="00EB6DD6"/>
    <w:rsid w:val="00EB7038"/>
    <w:rsid w:val="00EB70CC"/>
    <w:rsid w:val="00EB741B"/>
    <w:rsid w:val="00EB744F"/>
    <w:rsid w:val="00EB78F5"/>
    <w:rsid w:val="00EB7DD1"/>
    <w:rsid w:val="00EB7F9B"/>
    <w:rsid w:val="00EC0C5C"/>
    <w:rsid w:val="00EC1340"/>
    <w:rsid w:val="00EC1682"/>
    <w:rsid w:val="00EC1696"/>
    <w:rsid w:val="00EC1756"/>
    <w:rsid w:val="00EC2206"/>
    <w:rsid w:val="00EC26EE"/>
    <w:rsid w:val="00EC4530"/>
    <w:rsid w:val="00EC49D8"/>
    <w:rsid w:val="00EC4B9F"/>
    <w:rsid w:val="00EC4C0E"/>
    <w:rsid w:val="00EC5349"/>
    <w:rsid w:val="00EC5482"/>
    <w:rsid w:val="00EC56A2"/>
    <w:rsid w:val="00EC57E4"/>
    <w:rsid w:val="00EC5B83"/>
    <w:rsid w:val="00EC5D69"/>
    <w:rsid w:val="00EC6838"/>
    <w:rsid w:val="00EC70B1"/>
    <w:rsid w:val="00EC76A2"/>
    <w:rsid w:val="00ED016C"/>
    <w:rsid w:val="00ED050C"/>
    <w:rsid w:val="00ED0664"/>
    <w:rsid w:val="00ED0A53"/>
    <w:rsid w:val="00ED0F2D"/>
    <w:rsid w:val="00ED20A0"/>
    <w:rsid w:val="00ED2361"/>
    <w:rsid w:val="00ED2D99"/>
    <w:rsid w:val="00ED3083"/>
    <w:rsid w:val="00ED3386"/>
    <w:rsid w:val="00ED34EC"/>
    <w:rsid w:val="00ED36CC"/>
    <w:rsid w:val="00ED3C08"/>
    <w:rsid w:val="00ED3EF6"/>
    <w:rsid w:val="00ED5978"/>
    <w:rsid w:val="00ED597B"/>
    <w:rsid w:val="00ED5CC7"/>
    <w:rsid w:val="00ED66B6"/>
    <w:rsid w:val="00ED69CD"/>
    <w:rsid w:val="00ED69E6"/>
    <w:rsid w:val="00ED763C"/>
    <w:rsid w:val="00ED7CCE"/>
    <w:rsid w:val="00EE08CE"/>
    <w:rsid w:val="00EE11CA"/>
    <w:rsid w:val="00EE137C"/>
    <w:rsid w:val="00EE154B"/>
    <w:rsid w:val="00EE1567"/>
    <w:rsid w:val="00EE1893"/>
    <w:rsid w:val="00EE1E31"/>
    <w:rsid w:val="00EE24F1"/>
    <w:rsid w:val="00EE27A0"/>
    <w:rsid w:val="00EE2A4B"/>
    <w:rsid w:val="00EE3234"/>
    <w:rsid w:val="00EE335F"/>
    <w:rsid w:val="00EE3619"/>
    <w:rsid w:val="00EE3870"/>
    <w:rsid w:val="00EE3923"/>
    <w:rsid w:val="00EE3B85"/>
    <w:rsid w:val="00EE4A71"/>
    <w:rsid w:val="00EE5857"/>
    <w:rsid w:val="00EE696E"/>
    <w:rsid w:val="00EE6B40"/>
    <w:rsid w:val="00EE6C1E"/>
    <w:rsid w:val="00EE78D2"/>
    <w:rsid w:val="00EE7D60"/>
    <w:rsid w:val="00EE7E85"/>
    <w:rsid w:val="00EF039A"/>
    <w:rsid w:val="00EF06E6"/>
    <w:rsid w:val="00EF0D71"/>
    <w:rsid w:val="00EF0E3C"/>
    <w:rsid w:val="00EF1147"/>
    <w:rsid w:val="00EF1179"/>
    <w:rsid w:val="00EF16EA"/>
    <w:rsid w:val="00EF1759"/>
    <w:rsid w:val="00EF198F"/>
    <w:rsid w:val="00EF256E"/>
    <w:rsid w:val="00EF27EC"/>
    <w:rsid w:val="00EF3249"/>
    <w:rsid w:val="00EF3399"/>
    <w:rsid w:val="00EF36A4"/>
    <w:rsid w:val="00EF3E03"/>
    <w:rsid w:val="00EF3F09"/>
    <w:rsid w:val="00EF43FE"/>
    <w:rsid w:val="00EF44C1"/>
    <w:rsid w:val="00EF4758"/>
    <w:rsid w:val="00EF49F5"/>
    <w:rsid w:val="00EF5401"/>
    <w:rsid w:val="00EF55F7"/>
    <w:rsid w:val="00EF5AE9"/>
    <w:rsid w:val="00EF66D3"/>
    <w:rsid w:val="00EF6E3B"/>
    <w:rsid w:val="00EF6F67"/>
    <w:rsid w:val="00F00BEE"/>
    <w:rsid w:val="00F00F86"/>
    <w:rsid w:val="00F01430"/>
    <w:rsid w:val="00F017E1"/>
    <w:rsid w:val="00F01A40"/>
    <w:rsid w:val="00F01EEC"/>
    <w:rsid w:val="00F0231F"/>
    <w:rsid w:val="00F029B5"/>
    <w:rsid w:val="00F02D7D"/>
    <w:rsid w:val="00F03910"/>
    <w:rsid w:val="00F03950"/>
    <w:rsid w:val="00F03BB1"/>
    <w:rsid w:val="00F040CD"/>
    <w:rsid w:val="00F04C5C"/>
    <w:rsid w:val="00F05021"/>
    <w:rsid w:val="00F05233"/>
    <w:rsid w:val="00F057F2"/>
    <w:rsid w:val="00F06030"/>
    <w:rsid w:val="00F0668A"/>
    <w:rsid w:val="00F06D30"/>
    <w:rsid w:val="00F06E15"/>
    <w:rsid w:val="00F07D84"/>
    <w:rsid w:val="00F07D91"/>
    <w:rsid w:val="00F101C2"/>
    <w:rsid w:val="00F104AF"/>
    <w:rsid w:val="00F10798"/>
    <w:rsid w:val="00F1245A"/>
    <w:rsid w:val="00F12696"/>
    <w:rsid w:val="00F12881"/>
    <w:rsid w:val="00F12A36"/>
    <w:rsid w:val="00F13A4B"/>
    <w:rsid w:val="00F14489"/>
    <w:rsid w:val="00F1464B"/>
    <w:rsid w:val="00F14840"/>
    <w:rsid w:val="00F14DF1"/>
    <w:rsid w:val="00F14EC6"/>
    <w:rsid w:val="00F1581A"/>
    <w:rsid w:val="00F173F9"/>
    <w:rsid w:val="00F17526"/>
    <w:rsid w:val="00F205F4"/>
    <w:rsid w:val="00F20662"/>
    <w:rsid w:val="00F215D0"/>
    <w:rsid w:val="00F22284"/>
    <w:rsid w:val="00F230C0"/>
    <w:rsid w:val="00F235B9"/>
    <w:rsid w:val="00F237D9"/>
    <w:rsid w:val="00F23A39"/>
    <w:rsid w:val="00F23AD1"/>
    <w:rsid w:val="00F23AF2"/>
    <w:rsid w:val="00F23B1A"/>
    <w:rsid w:val="00F23B4A"/>
    <w:rsid w:val="00F24110"/>
    <w:rsid w:val="00F24353"/>
    <w:rsid w:val="00F246B4"/>
    <w:rsid w:val="00F2477A"/>
    <w:rsid w:val="00F24E16"/>
    <w:rsid w:val="00F25406"/>
    <w:rsid w:val="00F25409"/>
    <w:rsid w:val="00F2555B"/>
    <w:rsid w:val="00F256EE"/>
    <w:rsid w:val="00F257A7"/>
    <w:rsid w:val="00F25818"/>
    <w:rsid w:val="00F25C96"/>
    <w:rsid w:val="00F2674B"/>
    <w:rsid w:val="00F268F3"/>
    <w:rsid w:val="00F26E32"/>
    <w:rsid w:val="00F271DC"/>
    <w:rsid w:val="00F278C4"/>
    <w:rsid w:val="00F27C5C"/>
    <w:rsid w:val="00F31D99"/>
    <w:rsid w:val="00F3237B"/>
    <w:rsid w:val="00F330D6"/>
    <w:rsid w:val="00F33291"/>
    <w:rsid w:val="00F33499"/>
    <w:rsid w:val="00F3440B"/>
    <w:rsid w:val="00F34662"/>
    <w:rsid w:val="00F346BD"/>
    <w:rsid w:val="00F349DE"/>
    <w:rsid w:val="00F35174"/>
    <w:rsid w:val="00F35396"/>
    <w:rsid w:val="00F3558B"/>
    <w:rsid w:val="00F35618"/>
    <w:rsid w:val="00F357DF"/>
    <w:rsid w:val="00F35BAB"/>
    <w:rsid w:val="00F35C94"/>
    <w:rsid w:val="00F35D18"/>
    <w:rsid w:val="00F3601E"/>
    <w:rsid w:val="00F36179"/>
    <w:rsid w:val="00F36676"/>
    <w:rsid w:val="00F3690F"/>
    <w:rsid w:val="00F36A9E"/>
    <w:rsid w:val="00F36C51"/>
    <w:rsid w:val="00F36EEE"/>
    <w:rsid w:val="00F36F47"/>
    <w:rsid w:val="00F372E3"/>
    <w:rsid w:val="00F37595"/>
    <w:rsid w:val="00F37777"/>
    <w:rsid w:val="00F405E5"/>
    <w:rsid w:val="00F40D54"/>
    <w:rsid w:val="00F40E68"/>
    <w:rsid w:val="00F41456"/>
    <w:rsid w:val="00F414B4"/>
    <w:rsid w:val="00F41777"/>
    <w:rsid w:val="00F41EEB"/>
    <w:rsid w:val="00F41F4C"/>
    <w:rsid w:val="00F423CF"/>
    <w:rsid w:val="00F424EC"/>
    <w:rsid w:val="00F42C4E"/>
    <w:rsid w:val="00F4330B"/>
    <w:rsid w:val="00F43A2C"/>
    <w:rsid w:val="00F43B9A"/>
    <w:rsid w:val="00F44096"/>
    <w:rsid w:val="00F4410C"/>
    <w:rsid w:val="00F44112"/>
    <w:rsid w:val="00F44BCC"/>
    <w:rsid w:val="00F44CD9"/>
    <w:rsid w:val="00F45142"/>
    <w:rsid w:val="00F45456"/>
    <w:rsid w:val="00F460AF"/>
    <w:rsid w:val="00F464B7"/>
    <w:rsid w:val="00F46591"/>
    <w:rsid w:val="00F467EC"/>
    <w:rsid w:val="00F46D2B"/>
    <w:rsid w:val="00F46E0F"/>
    <w:rsid w:val="00F46EEE"/>
    <w:rsid w:val="00F474DF"/>
    <w:rsid w:val="00F474E9"/>
    <w:rsid w:val="00F47720"/>
    <w:rsid w:val="00F477AA"/>
    <w:rsid w:val="00F505E2"/>
    <w:rsid w:val="00F508E2"/>
    <w:rsid w:val="00F5120F"/>
    <w:rsid w:val="00F5167B"/>
    <w:rsid w:val="00F51B13"/>
    <w:rsid w:val="00F52619"/>
    <w:rsid w:val="00F5289F"/>
    <w:rsid w:val="00F5308E"/>
    <w:rsid w:val="00F530A7"/>
    <w:rsid w:val="00F53407"/>
    <w:rsid w:val="00F53A54"/>
    <w:rsid w:val="00F53A5B"/>
    <w:rsid w:val="00F5448F"/>
    <w:rsid w:val="00F55823"/>
    <w:rsid w:val="00F559A0"/>
    <w:rsid w:val="00F55D6A"/>
    <w:rsid w:val="00F55E4B"/>
    <w:rsid w:val="00F56751"/>
    <w:rsid w:val="00F5711E"/>
    <w:rsid w:val="00F572FC"/>
    <w:rsid w:val="00F5755C"/>
    <w:rsid w:val="00F5773F"/>
    <w:rsid w:val="00F57FEE"/>
    <w:rsid w:val="00F603DA"/>
    <w:rsid w:val="00F605C6"/>
    <w:rsid w:val="00F611F2"/>
    <w:rsid w:val="00F6167C"/>
    <w:rsid w:val="00F61771"/>
    <w:rsid w:val="00F61830"/>
    <w:rsid w:val="00F61F3A"/>
    <w:rsid w:val="00F6207C"/>
    <w:rsid w:val="00F62B11"/>
    <w:rsid w:val="00F62E54"/>
    <w:rsid w:val="00F6313A"/>
    <w:rsid w:val="00F631A9"/>
    <w:rsid w:val="00F649D3"/>
    <w:rsid w:val="00F64A94"/>
    <w:rsid w:val="00F64CAE"/>
    <w:rsid w:val="00F64CF3"/>
    <w:rsid w:val="00F64E72"/>
    <w:rsid w:val="00F64E8B"/>
    <w:rsid w:val="00F64F94"/>
    <w:rsid w:val="00F6504C"/>
    <w:rsid w:val="00F6571F"/>
    <w:rsid w:val="00F65734"/>
    <w:rsid w:val="00F65ECA"/>
    <w:rsid w:val="00F664B3"/>
    <w:rsid w:val="00F668C1"/>
    <w:rsid w:val="00F66C5A"/>
    <w:rsid w:val="00F66E0D"/>
    <w:rsid w:val="00F67021"/>
    <w:rsid w:val="00F673F9"/>
    <w:rsid w:val="00F675E9"/>
    <w:rsid w:val="00F67F43"/>
    <w:rsid w:val="00F70243"/>
    <w:rsid w:val="00F704DE"/>
    <w:rsid w:val="00F705FF"/>
    <w:rsid w:val="00F70948"/>
    <w:rsid w:val="00F71374"/>
    <w:rsid w:val="00F71A1C"/>
    <w:rsid w:val="00F72178"/>
    <w:rsid w:val="00F72286"/>
    <w:rsid w:val="00F723CC"/>
    <w:rsid w:val="00F73E0B"/>
    <w:rsid w:val="00F743C2"/>
    <w:rsid w:val="00F7573F"/>
    <w:rsid w:val="00F7575E"/>
    <w:rsid w:val="00F758FF"/>
    <w:rsid w:val="00F75F1D"/>
    <w:rsid w:val="00F75F46"/>
    <w:rsid w:val="00F768C7"/>
    <w:rsid w:val="00F76CB1"/>
    <w:rsid w:val="00F76DDE"/>
    <w:rsid w:val="00F778A4"/>
    <w:rsid w:val="00F77AF6"/>
    <w:rsid w:val="00F80B96"/>
    <w:rsid w:val="00F812AC"/>
    <w:rsid w:val="00F8147A"/>
    <w:rsid w:val="00F814DB"/>
    <w:rsid w:val="00F81C38"/>
    <w:rsid w:val="00F81EDE"/>
    <w:rsid w:val="00F8203F"/>
    <w:rsid w:val="00F8237D"/>
    <w:rsid w:val="00F82692"/>
    <w:rsid w:val="00F82774"/>
    <w:rsid w:val="00F83105"/>
    <w:rsid w:val="00F835F5"/>
    <w:rsid w:val="00F83B95"/>
    <w:rsid w:val="00F83C3A"/>
    <w:rsid w:val="00F83D9A"/>
    <w:rsid w:val="00F83FC2"/>
    <w:rsid w:val="00F8442B"/>
    <w:rsid w:val="00F84AF6"/>
    <w:rsid w:val="00F84DD3"/>
    <w:rsid w:val="00F85499"/>
    <w:rsid w:val="00F864A0"/>
    <w:rsid w:val="00F86668"/>
    <w:rsid w:val="00F86A83"/>
    <w:rsid w:val="00F86AD0"/>
    <w:rsid w:val="00F872E6"/>
    <w:rsid w:val="00F87500"/>
    <w:rsid w:val="00F87870"/>
    <w:rsid w:val="00F90096"/>
    <w:rsid w:val="00F90710"/>
    <w:rsid w:val="00F908DD"/>
    <w:rsid w:val="00F90950"/>
    <w:rsid w:val="00F90B5A"/>
    <w:rsid w:val="00F90CA0"/>
    <w:rsid w:val="00F91443"/>
    <w:rsid w:val="00F91E23"/>
    <w:rsid w:val="00F92B8F"/>
    <w:rsid w:val="00F9341E"/>
    <w:rsid w:val="00F93518"/>
    <w:rsid w:val="00F93A70"/>
    <w:rsid w:val="00F93F58"/>
    <w:rsid w:val="00F94261"/>
    <w:rsid w:val="00F94731"/>
    <w:rsid w:val="00F94C04"/>
    <w:rsid w:val="00F94C82"/>
    <w:rsid w:val="00F94C84"/>
    <w:rsid w:val="00F94D45"/>
    <w:rsid w:val="00F94F9C"/>
    <w:rsid w:val="00F95A0E"/>
    <w:rsid w:val="00F95C39"/>
    <w:rsid w:val="00F95DCA"/>
    <w:rsid w:val="00F965B2"/>
    <w:rsid w:val="00F96C26"/>
    <w:rsid w:val="00F96E38"/>
    <w:rsid w:val="00F97141"/>
    <w:rsid w:val="00F97552"/>
    <w:rsid w:val="00F977F7"/>
    <w:rsid w:val="00F979AF"/>
    <w:rsid w:val="00F97B0B"/>
    <w:rsid w:val="00FA0058"/>
    <w:rsid w:val="00FA007E"/>
    <w:rsid w:val="00FA062D"/>
    <w:rsid w:val="00FA0A82"/>
    <w:rsid w:val="00FA1436"/>
    <w:rsid w:val="00FA1636"/>
    <w:rsid w:val="00FA19E0"/>
    <w:rsid w:val="00FA1A60"/>
    <w:rsid w:val="00FA1C80"/>
    <w:rsid w:val="00FA1FCB"/>
    <w:rsid w:val="00FA2146"/>
    <w:rsid w:val="00FA24C2"/>
    <w:rsid w:val="00FA261C"/>
    <w:rsid w:val="00FA2D2E"/>
    <w:rsid w:val="00FA2DFF"/>
    <w:rsid w:val="00FA36BA"/>
    <w:rsid w:val="00FA3CB6"/>
    <w:rsid w:val="00FA4FFC"/>
    <w:rsid w:val="00FA52FF"/>
    <w:rsid w:val="00FA5A94"/>
    <w:rsid w:val="00FA5C01"/>
    <w:rsid w:val="00FA5F91"/>
    <w:rsid w:val="00FA6068"/>
    <w:rsid w:val="00FA6A3A"/>
    <w:rsid w:val="00FA6E80"/>
    <w:rsid w:val="00FB032C"/>
    <w:rsid w:val="00FB03CF"/>
    <w:rsid w:val="00FB0D61"/>
    <w:rsid w:val="00FB0D7D"/>
    <w:rsid w:val="00FB0F3A"/>
    <w:rsid w:val="00FB1166"/>
    <w:rsid w:val="00FB12CF"/>
    <w:rsid w:val="00FB14E6"/>
    <w:rsid w:val="00FB1F9F"/>
    <w:rsid w:val="00FB281F"/>
    <w:rsid w:val="00FB2E0A"/>
    <w:rsid w:val="00FB38F5"/>
    <w:rsid w:val="00FB3988"/>
    <w:rsid w:val="00FB3B14"/>
    <w:rsid w:val="00FB3B5E"/>
    <w:rsid w:val="00FB4AC5"/>
    <w:rsid w:val="00FB5623"/>
    <w:rsid w:val="00FB5D96"/>
    <w:rsid w:val="00FB6056"/>
    <w:rsid w:val="00FB663B"/>
    <w:rsid w:val="00FB7297"/>
    <w:rsid w:val="00FB7592"/>
    <w:rsid w:val="00FB765E"/>
    <w:rsid w:val="00FB77B8"/>
    <w:rsid w:val="00FB77C2"/>
    <w:rsid w:val="00FB77D1"/>
    <w:rsid w:val="00FB78FC"/>
    <w:rsid w:val="00FB7B8B"/>
    <w:rsid w:val="00FB7F84"/>
    <w:rsid w:val="00FB7FEC"/>
    <w:rsid w:val="00FC031F"/>
    <w:rsid w:val="00FC0BFD"/>
    <w:rsid w:val="00FC0D89"/>
    <w:rsid w:val="00FC1647"/>
    <w:rsid w:val="00FC1892"/>
    <w:rsid w:val="00FC1999"/>
    <w:rsid w:val="00FC19D9"/>
    <w:rsid w:val="00FC1A49"/>
    <w:rsid w:val="00FC1A98"/>
    <w:rsid w:val="00FC1ECD"/>
    <w:rsid w:val="00FC1F96"/>
    <w:rsid w:val="00FC2A45"/>
    <w:rsid w:val="00FC2E02"/>
    <w:rsid w:val="00FC2F27"/>
    <w:rsid w:val="00FC3BB7"/>
    <w:rsid w:val="00FC3E7B"/>
    <w:rsid w:val="00FC414F"/>
    <w:rsid w:val="00FC4191"/>
    <w:rsid w:val="00FC4735"/>
    <w:rsid w:val="00FC48CA"/>
    <w:rsid w:val="00FC4B08"/>
    <w:rsid w:val="00FC4B27"/>
    <w:rsid w:val="00FC4F53"/>
    <w:rsid w:val="00FC4F65"/>
    <w:rsid w:val="00FC4FA0"/>
    <w:rsid w:val="00FC5003"/>
    <w:rsid w:val="00FC512A"/>
    <w:rsid w:val="00FC54D4"/>
    <w:rsid w:val="00FC5755"/>
    <w:rsid w:val="00FC5B14"/>
    <w:rsid w:val="00FC6155"/>
    <w:rsid w:val="00FC6713"/>
    <w:rsid w:val="00FC68B8"/>
    <w:rsid w:val="00FC6E8C"/>
    <w:rsid w:val="00FC6F35"/>
    <w:rsid w:val="00FC769A"/>
    <w:rsid w:val="00FC7F6A"/>
    <w:rsid w:val="00FD0B90"/>
    <w:rsid w:val="00FD0BAA"/>
    <w:rsid w:val="00FD0D54"/>
    <w:rsid w:val="00FD0DDD"/>
    <w:rsid w:val="00FD109B"/>
    <w:rsid w:val="00FD12B4"/>
    <w:rsid w:val="00FD1DDE"/>
    <w:rsid w:val="00FD2006"/>
    <w:rsid w:val="00FD288A"/>
    <w:rsid w:val="00FD28E4"/>
    <w:rsid w:val="00FD2982"/>
    <w:rsid w:val="00FD2DF2"/>
    <w:rsid w:val="00FD2E41"/>
    <w:rsid w:val="00FD30A5"/>
    <w:rsid w:val="00FD3403"/>
    <w:rsid w:val="00FD3993"/>
    <w:rsid w:val="00FD3EF0"/>
    <w:rsid w:val="00FD41FE"/>
    <w:rsid w:val="00FD4587"/>
    <w:rsid w:val="00FD4B72"/>
    <w:rsid w:val="00FD5334"/>
    <w:rsid w:val="00FD6494"/>
    <w:rsid w:val="00FD6966"/>
    <w:rsid w:val="00FD7122"/>
    <w:rsid w:val="00FD76FB"/>
    <w:rsid w:val="00FD773B"/>
    <w:rsid w:val="00FD7AF7"/>
    <w:rsid w:val="00FD7DB5"/>
    <w:rsid w:val="00FE036B"/>
    <w:rsid w:val="00FE03B3"/>
    <w:rsid w:val="00FE0681"/>
    <w:rsid w:val="00FE072B"/>
    <w:rsid w:val="00FE0AD9"/>
    <w:rsid w:val="00FE0DF5"/>
    <w:rsid w:val="00FE14D9"/>
    <w:rsid w:val="00FE15F3"/>
    <w:rsid w:val="00FE1B04"/>
    <w:rsid w:val="00FE1BAE"/>
    <w:rsid w:val="00FE28B5"/>
    <w:rsid w:val="00FE3003"/>
    <w:rsid w:val="00FE3057"/>
    <w:rsid w:val="00FE30C6"/>
    <w:rsid w:val="00FE3393"/>
    <w:rsid w:val="00FE34D7"/>
    <w:rsid w:val="00FE354B"/>
    <w:rsid w:val="00FE362D"/>
    <w:rsid w:val="00FE3692"/>
    <w:rsid w:val="00FE3E5F"/>
    <w:rsid w:val="00FE48F5"/>
    <w:rsid w:val="00FE4C7B"/>
    <w:rsid w:val="00FE4FFD"/>
    <w:rsid w:val="00FE5165"/>
    <w:rsid w:val="00FE51F9"/>
    <w:rsid w:val="00FE523F"/>
    <w:rsid w:val="00FE5A79"/>
    <w:rsid w:val="00FE5E0D"/>
    <w:rsid w:val="00FE619E"/>
    <w:rsid w:val="00FE64ED"/>
    <w:rsid w:val="00FE6EEE"/>
    <w:rsid w:val="00FE6EFE"/>
    <w:rsid w:val="00FE7BD8"/>
    <w:rsid w:val="00FE7FAE"/>
    <w:rsid w:val="00FF07B3"/>
    <w:rsid w:val="00FF0D8A"/>
    <w:rsid w:val="00FF0F44"/>
    <w:rsid w:val="00FF0F95"/>
    <w:rsid w:val="00FF110F"/>
    <w:rsid w:val="00FF15B2"/>
    <w:rsid w:val="00FF19E6"/>
    <w:rsid w:val="00FF1BE4"/>
    <w:rsid w:val="00FF2588"/>
    <w:rsid w:val="00FF2712"/>
    <w:rsid w:val="00FF2CEC"/>
    <w:rsid w:val="00FF33BF"/>
    <w:rsid w:val="00FF3898"/>
    <w:rsid w:val="00FF39CC"/>
    <w:rsid w:val="00FF3B7A"/>
    <w:rsid w:val="00FF3B9D"/>
    <w:rsid w:val="00FF3C55"/>
    <w:rsid w:val="00FF4401"/>
    <w:rsid w:val="00FF4AAA"/>
    <w:rsid w:val="00FF4AE9"/>
    <w:rsid w:val="00FF4E18"/>
    <w:rsid w:val="00FF61D5"/>
    <w:rsid w:val="00FF6285"/>
    <w:rsid w:val="00FF6747"/>
    <w:rsid w:val="00FF69BD"/>
    <w:rsid w:val="00FF6CE3"/>
    <w:rsid w:val="00FF6F7F"/>
    <w:rsid w:val="00FF6FC0"/>
    <w:rsid w:val="00FF70CE"/>
    <w:rsid w:val="00FF773A"/>
    <w:rsid w:val="00FF789B"/>
    <w:rsid w:val="00FF78F1"/>
    <w:rsid w:val="00FF79EE"/>
    <w:rsid w:val="00FF7A27"/>
    <w:rsid w:val="06EB17D3"/>
    <w:rsid w:val="16142596"/>
    <w:rsid w:val="17B61EF8"/>
    <w:rsid w:val="38AC7189"/>
    <w:rsid w:val="4BD421E9"/>
    <w:rsid w:val="59A06542"/>
    <w:rsid w:val="68197EDE"/>
    <w:rsid w:val="6A9A0E5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rules v:ext="edit">
        <o:r id="V:Rule1" type="connector" idref="#直接箭头连接符 228"/>
        <o:r id="V:Rule2" type="connector" idref="#直接箭头连接符 4"/>
        <o:r id="V:Rule3" type="connector" idref="#直接箭头连接符 9"/>
        <o:r id="V:Rule4" type="connector" idref="#直接箭头连接符 226"/>
        <o:r id="V:Rule5" type="connector" idref="#直接箭头连接符 225"/>
        <o:r id="V:Rule6" type="connector" idref="#直接箭头连接符 13"/>
        <o:r id="V:Rule7" type="connector" idref="#直接箭头连接符 17"/>
        <o:r id="V:Rule8" type="connector" idref="#直接箭头连接符 2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ocked="1"/>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ocked="1"/>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ocked="1"/>
    <w:lsdException w:unhideWhenUsed="0" w:uiPriority="0" w:semiHidden="0" w:name="Body Text 3" w:locked="1"/>
    <w:lsdException w:unhideWhenUsed="0" w:uiPriority="0" w:semiHidden="0" w:name="Body Text Indent 2" w:locked="1"/>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unhideWhenUsed="0" w:uiPriority="0" w:semiHidden="0" w:name="Strong" w:locked="1"/>
    <w:lsdException w:qFormat="1" w:unhideWhenUsed="0" w:uiPriority="20" w:semiHidden="0" w:name="Emphasis" w:locked="1"/>
    <w:lsdException w:qFormat="1" w:unhideWhenUsed="0" w:uiPriority="0" w:semiHidden="0" w:name="Document Map"/>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topLinePunct/>
      <w:adjustRightInd w:val="0"/>
      <w:snapToGrid w:val="0"/>
      <w:spacing w:line="360" w:lineRule="auto"/>
      <w:ind w:firstLine="200" w:firstLineChars="200"/>
      <w:jc w:val="both"/>
    </w:pPr>
    <w:rPr>
      <w:rFonts w:ascii="Times New Roman" w:hAnsi="Times New Roman" w:eastAsia="仿宋" w:cs="Times New Roman"/>
      <w:sz w:val="24"/>
      <w:szCs w:val="24"/>
      <w:lang w:val="en-US" w:eastAsia="zh-CN" w:bidi="ar-SA"/>
    </w:rPr>
  </w:style>
  <w:style w:type="paragraph" w:styleId="2">
    <w:name w:val="heading 1"/>
    <w:basedOn w:val="1"/>
    <w:next w:val="1"/>
    <w:link w:val="52"/>
    <w:qFormat/>
    <w:uiPriority w:val="0"/>
    <w:pPr>
      <w:keepNext/>
      <w:keepLines/>
      <w:pageBreakBefore/>
      <w:tabs>
        <w:tab w:val="left" w:pos="432"/>
      </w:tabs>
      <w:ind w:firstLine="0" w:firstLineChars="0"/>
      <w:jc w:val="left"/>
      <w:outlineLvl w:val="0"/>
    </w:pPr>
    <w:rPr>
      <w:b/>
      <w:bCs/>
      <w:sz w:val="32"/>
      <w:szCs w:val="32"/>
    </w:rPr>
  </w:style>
  <w:style w:type="paragraph" w:styleId="3">
    <w:name w:val="heading 2"/>
    <w:basedOn w:val="1"/>
    <w:next w:val="1"/>
    <w:link w:val="51"/>
    <w:qFormat/>
    <w:uiPriority w:val="0"/>
    <w:pPr>
      <w:keepNext/>
      <w:keepLines/>
      <w:tabs>
        <w:tab w:val="left" w:pos="432"/>
        <w:tab w:val="left" w:pos="1002"/>
      </w:tabs>
      <w:ind w:firstLine="0" w:firstLineChars="0"/>
      <w:jc w:val="left"/>
      <w:outlineLvl w:val="1"/>
    </w:pPr>
    <w:rPr>
      <w:b/>
      <w:bCs/>
      <w:sz w:val="30"/>
      <w:szCs w:val="30"/>
    </w:rPr>
  </w:style>
  <w:style w:type="paragraph" w:styleId="4">
    <w:name w:val="heading 3"/>
    <w:basedOn w:val="1"/>
    <w:next w:val="1"/>
    <w:link w:val="53"/>
    <w:qFormat/>
    <w:uiPriority w:val="0"/>
    <w:pPr>
      <w:keepNext/>
      <w:tabs>
        <w:tab w:val="left" w:pos="432"/>
        <w:tab w:val="left" w:pos="960"/>
      </w:tabs>
      <w:kinsoku w:val="0"/>
      <w:overflowPunct w:val="0"/>
      <w:autoSpaceDE w:val="0"/>
      <w:autoSpaceDN w:val="0"/>
      <w:ind w:firstLine="0" w:firstLineChars="0"/>
      <w:jc w:val="left"/>
      <w:outlineLvl w:val="2"/>
    </w:pPr>
    <w:rPr>
      <w:b/>
      <w:bCs/>
      <w:sz w:val="28"/>
      <w:szCs w:val="28"/>
    </w:rPr>
  </w:style>
  <w:style w:type="paragraph" w:styleId="5">
    <w:name w:val="heading 4"/>
    <w:basedOn w:val="1"/>
    <w:next w:val="1"/>
    <w:link w:val="49"/>
    <w:qFormat/>
    <w:uiPriority w:val="0"/>
    <w:pPr>
      <w:keepNext/>
      <w:keepLines/>
      <w:widowControl/>
      <w:numPr>
        <w:ilvl w:val="3"/>
        <w:numId w:val="1"/>
      </w:numPr>
      <w:tabs>
        <w:tab w:val="left" w:pos="432"/>
      </w:tabs>
      <w:ind w:firstLineChars="0"/>
      <w:outlineLvl w:val="3"/>
    </w:pPr>
    <w:rPr>
      <w:rFonts w:eastAsia="仿宋_GB2312"/>
      <w:b/>
      <w:bCs/>
    </w:rPr>
  </w:style>
  <w:style w:type="paragraph" w:styleId="6">
    <w:name w:val="heading 5"/>
    <w:basedOn w:val="1"/>
    <w:next w:val="1"/>
    <w:uiPriority w:val="0"/>
    <w:pPr>
      <w:keepNext/>
      <w:keepLines/>
      <w:numPr>
        <w:ilvl w:val="4"/>
        <w:numId w:val="2"/>
      </w:numPr>
      <w:spacing w:before="280" w:after="290" w:line="376" w:lineRule="auto"/>
      <w:ind w:firstLine="0" w:firstLineChars="0"/>
      <w:outlineLvl w:val="4"/>
    </w:pPr>
    <w:rPr>
      <w:b/>
      <w:bCs/>
      <w:sz w:val="28"/>
      <w:szCs w:val="28"/>
    </w:rPr>
  </w:style>
  <w:style w:type="paragraph" w:styleId="7">
    <w:name w:val="heading 6"/>
    <w:basedOn w:val="1"/>
    <w:next w:val="1"/>
    <w:uiPriority w:val="0"/>
    <w:pPr>
      <w:keepNext/>
      <w:keepLines/>
      <w:numPr>
        <w:ilvl w:val="5"/>
        <w:numId w:val="2"/>
      </w:numPr>
      <w:spacing w:before="240" w:after="64" w:line="320" w:lineRule="auto"/>
      <w:ind w:firstLine="0" w:firstLineChars="0"/>
      <w:outlineLvl w:val="5"/>
    </w:pPr>
    <w:rPr>
      <w:rFonts w:ascii="Cambria" w:hAnsi="Cambria"/>
      <w:b/>
      <w:bCs/>
    </w:rPr>
  </w:style>
  <w:style w:type="paragraph" w:styleId="8">
    <w:name w:val="heading 7"/>
    <w:basedOn w:val="1"/>
    <w:next w:val="1"/>
    <w:uiPriority w:val="0"/>
    <w:pPr>
      <w:keepNext/>
      <w:keepLines/>
      <w:numPr>
        <w:ilvl w:val="6"/>
        <w:numId w:val="2"/>
      </w:numPr>
      <w:spacing w:before="240" w:after="64" w:line="320" w:lineRule="auto"/>
      <w:ind w:firstLine="0" w:firstLineChars="0"/>
      <w:outlineLvl w:val="6"/>
    </w:pPr>
    <w:rPr>
      <w:b/>
      <w:bCs/>
    </w:rPr>
  </w:style>
  <w:style w:type="paragraph" w:styleId="9">
    <w:name w:val="heading 8"/>
    <w:basedOn w:val="1"/>
    <w:next w:val="1"/>
    <w:uiPriority w:val="0"/>
    <w:pPr>
      <w:keepNext/>
      <w:keepLines/>
      <w:numPr>
        <w:ilvl w:val="7"/>
        <w:numId w:val="2"/>
      </w:numPr>
      <w:spacing w:before="240" w:after="64" w:line="320" w:lineRule="auto"/>
      <w:ind w:firstLine="0" w:firstLineChars="0"/>
      <w:outlineLvl w:val="7"/>
    </w:pPr>
    <w:rPr>
      <w:rFonts w:ascii="Cambria" w:hAnsi="Cambria"/>
    </w:rPr>
  </w:style>
  <w:style w:type="paragraph" w:styleId="10">
    <w:name w:val="heading 9"/>
    <w:basedOn w:val="1"/>
    <w:next w:val="1"/>
    <w:uiPriority w:val="0"/>
    <w:pPr>
      <w:keepNext/>
      <w:keepLines/>
      <w:numPr>
        <w:ilvl w:val="8"/>
        <w:numId w:val="2"/>
      </w:numPr>
      <w:spacing w:before="240" w:after="64" w:line="320" w:lineRule="auto"/>
      <w:ind w:firstLine="0" w:firstLineChars="0"/>
      <w:outlineLvl w:val="8"/>
    </w:pPr>
    <w:rPr>
      <w:rFonts w:ascii="Cambria" w:hAnsi="Cambria"/>
      <w:sz w:val="21"/>
    </w:rPr>
  </w:style>
  <w:style w:type="character" w:default="1" w:styleId="42">
    <w:name w:val="Default Paragraph Font"/>
    <w:semiHidden/>
    <w:unhideWhenUsed/>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firstLine="0"/>
      <w:jc w:val="left"/>
    </w:pPr>
    <w:rPr>
      <w:rFonts w:asciiTheme="minorHAnsi" w:hAnsiTheme="minorHAnsi" w:cstheme="minorHAnsi"/>
      <w:sz w:val="22"/>
      <w:szCs w:val="22"/>
    </w:rPr>
  </w:style>
  <w:style w:type="paragraph" w:styleId="12">
    <w:name w:val="List Number"/>
    <w:basedOn w:val="1"/>
    <w:qFormat/>
    <w:uiPriority w:val="0"/>
    <w:pPr>
      <w:tabs>
        <w:tab w:val="left" w:pos="480"/>
      </w:tabs>
      <w:ind w:left="480" w:firstLine="0" w:firstLineChars="0"/>
    </w:pPr>
  </w:style>
  <w:style w:type="paragraph" w:styleId="13">
    <w:name w:val="Normal Indent"/>
    <w:basedOn w:val="1"/>
    <w:link w:val="152"/>
    <w:qFormat/>
    <w:locked/>
    <w:uiPriority w:val="0"/>
    <w:pPr>
      <w:topLinePunct w:val="0"/>
      <w:adjustRightInd/>
      <w:snapToGrid/>
      <w:ind w:firstLine="420"/>
      <w:jc w:val="left"/>
    </w:pPr>
    <w:rPr>
      <w:kern w:val="2"/>
    </w:rPr>
  </w:style>
  <w:style w:type="paragraph" w:styleId="14">
    <w:name w:val="caption"/>
    <w:basedOn w:val="1"/>
    <w:next w:val="15"/>
    <w:link w:val="58"/>
    <w:qFormat/>
    <w:uiPriority w:val="0"/>
    <w:pPr>
      <w:keepNext/>
      <w:widowControl/>
      <w:ind w:firstLine="0" w:firstLineChars="0"/>
      <w:jc w:val="center"/>
    </w:pPr>
    <w:rPr>
      <w:rFonts w:ascii="Arial Unicode MS" w:hAnsi="Arial Unicode MS" w:eastAsia="黑体"/>
      <w:b/>
      <w:sz w:val="21"/>
      <w:szCs w:val="21"/>
    </w:rPr>
  </w:style>
  <w:style w:type="paragraph" w:customStyle="1" w:styleId="15">
    <w:name w:val="默认段落"/>
    <w:basedOn w:val="1"/>
    <w:link w:val="55"/>
    <w:qFormat/>
    <w:uiPriority w:val="0"/>
  </w:style>
  <w:style w:type="paragraph" w:styleId="16">
    <w:name w:val="Document Map"/>
    <w:basedOn w:val="1"/>
    <w:link w:val="59"/>
    <w:qFormat/>
    <w:uiPriority w:val="0"/>
    <w:rPr>
      <w:rFonts w:ascii="宋体"/>
      <w:sz w:val="18"/>
      <w:szCs w:val="18"/>
    </w:rPr>
  </w:style>
  <w:style w:type="paragraph" w:styleId="17">
    <w:name w:val="annotation text"/>
    <w:basedOn w:val="1"/>
    <w:link w:val="54"/>
    <w:qFormat/>
    <w:uiPriority w:val="0"/>
    <w:pPr>
      <w:spacing w:line="480" w:lineRule="auto"/>
      <w:jc w:val="left"/>
    </w:pPr>
    <w:rPr>
      <w:rFonts w:eastAsia="仿宋_GB2312"/>
      <w:sz w:val="21"/>
    </w:rPr>
  </w:style>
  <w:style w:type="paragraph" w:styleId="18">
    <w:name w:val="Body Text"/>
    <w:basedOn w:val="1"/>
    <w:next w:val="15"/>
    <w:link w:val="56"/>
    <w:qFormat/>
    <w:uiPriority w:val="0"/>
    <w:pPr>
      <w:spacing w:after="120"/>
    </w:pPr>
  </w:style>
  <w:style w:type="paragraph" w:styleId="19">
    <w:name w:val="Body Text Indent"/>
    <w:basedOn w:val="1"/>
    <w:link w:val="60"/>
    <w:qFormat/>
    <w:uiPriority w:val="0"/>
    <w:pPr>
      <w:spacing w:after="120"/>
      <w:ind w:left="420" w:leftChars="200"/>
    </w:pPr>
  </w:style>
  <w:style w:type="paragraph" w:styleId="20">
    <w:name w:val="toc 5"/>
    <w:basedOn w:val="1"/>
    <w:next w:val="1"/>
    <w:qFormat/>
    <w:uiPriority w:val="39"/>
    <w:pPr>
      <w:ind w:firstLine="0"/>
      <w:jc w:val="left"/>
    </w:pPr>
    <w:rPr>
      <w:rFonts w:asciiTheme="minorHAnsi" w:hAnsiTheme="minorHAnsi" w:cstheme="minorHAnsi"/>
      <w:sz w:val="22"/>
      <w:szCs w:val="22"/>
    </w:rPr>
  </w:style>
  <w:style w:type="paragraph" w:styleId="21">
    <w:name w:val="toc 3"/>
    <w:basedOn w:val="1"/>
    <w:next w:val="1"/>
    <w:qFormat/>
    <w:uiPriority w:val="39"/>
    <w:pPr>
      <w:ind w:firstLine="0"/>
      <w:jc w:val="left"/>
    </w:pPr>
    <w:rPr>
      <w:rFonts w:asciiTheme="minorHAnsi" w:hAnsiTheme="minorHAnsi" w:cstheme="minorHAnsi"/>
      <w:smallCaps/>
      <w:sz w:val="22"/>
      <w:szCs w:val="22"/>
    </w:rPr>
  </w:style>
  <w:style w:type="paragraph" w:styleId="22">
    <w:name w:val="Plain Text"/>
    <w:basedOn w:val="1"/>
    <w:link w:val="61"/>
    <w:qFormat/>
    <w:locked/>
    <w:uiPriority w:val="99"/>
    <w:pPr>
      <w:spacing w:line="240" w:lineRule="auto"/>
      <w:ind w:firstLine="0" w:firstLineChars="0"/>
    </w:pPr>
    <w:rPr>
      <w:rFonts w:ascii="宋体" w:hAnsi="Courier New" w:cs="Courier New"/>
      <w:kern w:val="2"/>
      <w:sz w:val="21"/>
      <w:szCs w:val="21"/>
    </w:rPr>
  </w:style>
  <w:style w:type="paragraph" w:styleId="23">
    <w:name w:val="toc 8"/>
    <w:basedOn w:val="1"/>
    <w:next w:val="1"/>
    <w:qFormat/>
    <w:uiPriority w:val="39"/>
    <w:pPr>
      <w:ind w:firstLine="0"/>
      <w:jc w:val="left"/>
    </w:pPr>
    <w:rPr>
      <w:rFonts w:asciiTheme="minorHAnsi" w:hAnsiTheme="minorHAnsi" w:cstheme="minorHAnsi"/>
      <w:sz w:val="22"/>
      <w:szCs w:val="22"/>
    </w:rPr>
  </w:style>
  <w:style w:type="paragraph" w:styleId="24">
    <w:name w:val="Date"/>
    <w:basedOn w:val="1"/>
    <w:next w:val="1"/>
    <w:link w:val="149"/>
    <w:qFormat/>
    <w:locked/>
    <w:uiPriority w:val="0"/>
    <w:pPr>
      <w:ind w:left="100" w:leftChars="2500"/>
    </w:pPr>
  </w:style>
  <w:style w:type="paragraph" w:styleId="25">
    <w:name w:val="Balloon Text"/>
    <w:basedOn w:val="1"/>
    <w:qFormat/>
    <w:uiPriority w:val="0"/>
    <w:rPr>
      <w:sz w:val="18"/>
      <w:szCs w:val="18"/>
    </w:rPr>
  </w:style>
  <w:style w:type="paragraph" w:styleId="26">
    <w:name w:val="footer"/>
    <w:basedOn w:val="1"/>
    <w:link w:val="190"/>
    <w:qFormat/>
    <w:uiPriority w:val="99"/>
    <w:pPr>
      <w:tabs>
        <w:tab w:val="center" w:pos="4153"/>
        <w:tab w:val="right" w:pos="8306"/>
      </w:tabs>
      <w:spacing w:line="240" w:lineRule="auto"/>
      <w:ind w:firstLine="0" w:firstLineChars="0"/>
      <w:jc w:val="left"/>
    </w:pPr>
    <w:rPr>
      <w:sz w:val="18"/>
      <w:szCs w:val="18"/>
    </w:rPr>
  </w:style>
  <w:style w:type="paragraph" w:styleId="27">
    <w:name w:val="header"/>
    <w:basedOn w:val="1"/>
    <w:link w:val="187"/>
    <w:qFormat/>
    <w:uiPriority w:val="0"/>
    <w:pPr>
      <w:widowControl/>
      <w:pBdr>
        <w:bottom w:val="single" w:color="auto" w:sz="6" w:space="1"/>
      </w:pBdr>
      <w:spacing w:line="240" w:lineRule="auto"/>
      <w:ind w:firstLine="0" w:firstLineChars="0"/>
      <w:jc w:val="center"/>
      <w:textAlignment w:val="center"/>
    </w:pPr>
    <w:rPr>
      <w:sz w:val="18"/>
      <w:szCs w:val="18"/>
    </w:rPr>
  </w:style>
  <w:style w:type="paragraph" w:styleId="28">
    <w:name w:val="toc 1"/>
    <w:next w:val="1"/>
    <w:qFormat/>
    <w:uiPriority w:val="39"/>
    <w:pPr>
      <w:adjustRightInd w:val="0"/>
      <w:spacing w:line="360" w:lineRule="auto"/>
    </w:pPr>
    <w:rPr>
      <w:rFonts w:eastAsia="仿宋_GB2312" w:asciiTheme="minorHAnsi" w:hAnsiTheme="minorHAnsi" w:cstheme="minorHAnsi"/>
      <w:b/>
      <w:bCs/>
      <w:caps/>
      <w:sz w:val="28"/>
      <w:szCs w:val="22"/>
      <w:lang w:val="en-US" w:eastAsia="zh-CN" w:bidi="ar-SA"/>
    </w:rPr>
  </w:style>
  <w:style w:type="paragraph" w:styleId="29">
    <w:name w:val="toc 4"/>
    <w:basedOn w:val="1"/>
    <w:next w:val="1"/>
    <w:qFormat/>
    <w:uiPriority w:val="39"/>
    <w:pPr>
      <w:ind w:firstLine="0"/>
      <w:jc w:val="left"/>
    </w:pPr>
    <w:rPr>
      <w:rFonts w:asciiTheme="minorHAnsi" w:hAnsiTheme="minorHAnsi" w:cstheme="minorHAnsi"/>
      <w:sz w:val="22"/>
      <w:szCs w:val="22"/>
    </w:rPr>
  </w:style>
  <w:style w:type="paragraph" w:styleId="30">
    <w:name w:val="Subtitle"/>
    <w:basedOn w:val="1"/>
    <w:next w:val="1"/>
    <w:link w:val="62"/>
    <w:qFormat/>
    <w:locked/>
    <w:uiPriority w:val="0"/>
    <w:pPr>
      <w:spacing w:before="240" w:after="60" w:line="312" w:lineRule="auto"/>
      <w:jc w:val="center"/>
      <w:outlineLvl w:val="1"/>
    </w:pPr>
    <w:rPr>
      <w:rFonts w:ascii="Cambria" w:hAnsi="Cambria"/>
      <w:b/>
      <w:bCs/>
      <w:kern w:val="28"/>
      <w:sz w:val="32"/>
      <w:szCs w:val="32"/>
    </w:rPr>
  </w:style>
  <w:style w:type="paragraph" w:styleId="31">
    <w:name w:val="List"/>
    <w:basedOn w:val="1"/>
    <w:qFormat/>
    <w:uiPriority w:val="0"/>
    <w:pPr>
      <w:ind w:left="200" w:hanging="200" w:hangingChars="200"/>
      <w:contextualSpacing/>
    </w:pPr>
  </w:style>
  <w:style w:type="paragraph" w:styleId="32">
    <w:name w:val="toc 6"/>
    <w:basedOn w:val="1"/>
    <w:next w:val="1"/>
    <w:qFormat/>
    <w:uiPriority w:val="39"/>
    <w:pPr>
      <w:ind w:firstLine="0"/>
      <w:jc w:val="left"/>
    </w:pPr>
    <w:rPr>
      <w:rFonts w:asciiTheme="minorHAnsi" w:hAnsiTheme="minorHAnsi" w:cstheme="minorHAnsi"/>
      <w:sz w:val="22"/>
      <w:szCs w:val="22"/>
    </w:rPr>
  </w:style>
  <w:style w:type="paragraph" w:styleId="33">
    <w:name w:val="Body Text Indent 3"/>
    <w:basedOn w:val="1"/>
    <w:link w:val="200"/>
    <w:qFormat/>
    <w:uiPriority w:val="0"/>
    <w:pPr>
      <w:spacing w:after="120"/>
      <w:ind w:left="420" w:leftChars="200"/>
    </w:pPr>
    <w:rPr>
      <w:sz w:val="16"/>
      <w:szCs w:val="16"/>
    </w:rPr>
  </w:style>
  <w:style w:type="paragraph" w:styleId="34">
    <w:name w:val="table of figures"/>
    <w:basedOn w:val="1"/>
    <w:next w:val="1"/>
    <w:qFormat/>
    <w:uiPriority w:val="0"/>
    <w:pPr>
      <w:widowControl/>
      <w:jc w:val="left"/>
    </w:pPr>
  </w:style>
  <w:style w:type="paragraph" w:styleId="35">
    <w:name w:val="toc 2"/>
    <w:next w:val="1"/>
    <w:qFormat/>
    <w:uiPriority w:val="39"/>
    <w:pPr>
      <w:adjustRightInd w:val="0"/>
      <w:spacing w:line="360" w:lineRule="auto"/>
      <w:ind w:left="100" w:leftChars="100"/>
    </w:pPr>
    <w:rPr>
      <w:rFonts w:eastAsia="仿宋_GB2312" w:asciiTheme="minorHAnsi" w:hAnsiTheme="minorHAnsi" w:cstheme="minorHAnsi"/>
      <w:bCs/>
      <w:smallCaps/>
      <w:sz w:val="28"/>
      <w:szCs w:val="22"/>
      <w:lang w:val="en-US" w:eastAsia="zh-CN" w:bidi="ar-SA"/>
    </w:rPr>
  </w:style>
  <w:style w:type="paragraph" w:styleId="36">
    <w:name w:val="toc 9"/>
    <w:basedOn w:val="1"/>
    <w:next w:val="1"/>
    <w:qFormat/>
    <w:uiPriority w:val="39"/>
    <w:pPr>
      <w:ind w:firstLine="0"/>
      <w:jc w:val="left"/>
    </w:pPr>
    <w:rPr>
      <w:rFonts w:asciiTheme="minorHAnsi" w:hAnsiTheme="minorHAnsi" w:cstheme="minorHAnsi"/>
      <w:sz w:val="22"/>
      <w:szCs w:val="22"/>
    </w:rPr>
  </w:style>
  <w:style w:type="paragraph" w:styleId="37">
    <w:name w:val="Normal (Web)"/>
    <w:basedOn w:val="1"/>
    <w:qFormat/>
    <w:uiPriority w:val="0"/>
    <w:pPr>
      <w:widowControl/>
      <w:spacing w:before="100" w:beforeAutospacing="1" w:after="100" w:afterAutospacing="1" w:line="240" w:lineRule="auto"/>
      <w:ind w:firstLine="0" w:firstLineChars="0"/>
      <w:jc w:val="left"/>
    </w:pPr>
    <w:rPr>
      <w:rFonts w:ascii="宋体" w:hAnsi="宋体" w:cs="宋体"/>
    </w:rPr>
  </w:style>
  <w:style w:type="paragraph" w:styleId="38">
    <w:name w:val="annotation subject"/>
    <w:basedOn w:val="1"/>
    <w:next w:val="17"/>
    <w:semiHidden/>
    <w:qFormat/>
    <w:uiPriority w:val="0"/>
    <w:rPr>
      <w:b/>
      <w:bCs/>
      <w:szCs w:val="21"/>
    </w:rPr>
  </w:style>
  <w:style w:type="paragraph" w:styleId="39">
    <w:name w:val="Body Text First Indent"/>
    <w:basedOn w:val="18"/>
    <w:link w:val="57"/>
    <w:qFormat/>
    <w:uiPriority w:val="0"/>
    <w:pPr>
      <w:ind w:firstLine="420" w:firstLineChars="100"/>
    </w:pPr>
  </w:style>
  <w:style w:type="table" w:styleId="41">
    <w:name w:val="Table Grid"/>
    <w:basedOn w:val="40"/>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page number"/>
    <w:qFormat/>
    <w:uiPriority w:val="0"/>
    <w:rPr>
      <w:rFonts w:ascii="Times New Roman" w:hAnsi="Times New Roman" w:eastAsia="宋体"/>
      <w:sz w:val="18"/>
    </w:rPr>
  </w:style>
  <w:style w:type="character" w:styleId="44">
    <w:name w:val="FollowedHyperlink"/>
    <w:qFormat/>
    <w:uiPriority w:val="99"/>
    <w:rPr>
      <w:rFonts w:cs="Times New Roman"/>
      <w:color w:val="800080"/>
      <w:u w:val="single"/>
    </w:rPr>
  </w:style>
  <w:style w:type="character" w:styleId="45">
    <w:name w:val="Emphasis"/>
    <w:basedOn w:val="42"/>
    <w:qFormat/>
    <w:locked/>
    <w:uiPriority w:val="20"/>
    <w:rPr>
      <w:i/>
      <w:iCs/>
    </w:rPr>
  </w:style>
  <w:style w:type="character" w:styleId="46">
    <w:name w:val="Hyperlink"/>
    <w:qFormat/>
    <w:uiPriority w:val="99"/>
    <w:rPr>
      <w:rFonts w:cs="Times New Roman"/>
      <w:color w:val="0000FF"/>
      <w:u w:val="single"/>
    </w:rPr>
  </w:style>
  <w:style w:type="character" w:styleId="47">
    <w:name w:val="annotation reference"/>
    <w:semiHidden/>
    <w:qFormat/>
    <w:uiPriority w:val="0"/>
    <w:rPr>
      <w:rFonts w:cs="Times New Roman"/>
      <w:sz w:val="21"/>
      <w:szCs w:val="21"/>
    </w:rPr>
  </w:style>
  <w:style w:type="character" w:styleId="48">
    <w:name w:val="footnote reference"/>
    <w:semiHidden/>
    <w:qFormat/>
    <w:uiPriority w:val="0"/>
    <w:rPr>
      <w:rFonts w:cs="Times New Roman"/>
      <w:vertAlign w:val="superscript"/>
    </w:rPr>
  </w:style>
  <w:style w:type="character" w:customStyle="1" w:styleId="49">
    <w:name w:val="标题 4 Char"/>
    <w:basedOn w:val="42"/>
    <w:link w:val="5"/>
    <w:qFormat/>
    <w:uiPriority w:val="0"/>
    <w:rPr>
      <w:rFonts w:ascii="Times New Roman" w:hAnsi="Times New Roman" w:eastAsia="仿宋_GB2312" w:cs="Times New Roman"/>
      <w:b/>
      <w:bCs/>
      <w:sz w:val="24"/>
      <w:szCs w:val="24"/>
    </w:rPr>
  </w:style>
  <w:style w:type="paragraph" w:customStyle="1" w:styleId="50">
    <w:name w:val="标题一"/>
    <w:basedOn w:val="2"/>
    <w:qFormat/>
    <w:uiPriority w:val="0"/>
    <w:pPr>
      <w:pageBreakBefore w:val="0"/>
      <w:tabs>
        <w:tab w:val="clear" w:pos="432"/>
      </w:tabs>
      <w:topLinePunct w:val="0"/>
      <w:adjustRightInd/>
      <w:snapToGrid/>
      <w:spacing w:before="340" w:after="330"/>
      <w:jc w:val="center"/>
    </w:pPr>
    <w:rPr>
      <w:rFonts w:eastAsia="宋体"/>
      <w:kern w:val="44"/>
      <w:sz w:val="36"/>
      <w:szCs w:val="44"/>
    </w:rPr>
  </w:style>
  <w:style w:type="character" w:customStyle="1" w:styleId="51">
    <w:name w:val="标题 2 Char"/>
    <w:basedOn w:val="42"/>
    <w:link w:val="3"/>
    <w:qFormat/>
    <w:uiPriority w:val="0"/>
    <w:rPr>
      <w:rFonts w:ascii="Times New Roman" w:hAnsi="Times New Roman" w:eastAsia="仿宋" w:cs="Times New Roman"/>
      <w:b/>
      <w:bCs/>
      <w:sz w:val="30"/>
      <w:szCs w:val="30"/>
    </w:rPr>
  </w:style>
  <w:style w:type="character" w:customStyle="1" w:styleId="52">
    <w:name w:val="标题 1 Char"/>
    <w:link w:val="2"/>
    <w:qFormat/>
    <w:uiPriority w:val="0"/>
    <w:rPr>
      <w:rFonts w:ascii="Times New Roman" w:hAnsi="Times New Roman" w:cs="Times New Roman"/>
      <w:b/>
      <w:bCs/>
      <w:sz w:val="32"/>
      <w:szCs w:val="32"/>
    </w:rPr>
  </w:style>
  <w:style w:type="character" w:customStyle="1" w:styleId="53">
    <w:name w:val="标题 3 Char"/>
    <w:link w:val="4"/>
    <w:qFormat/>
    <w:uiPriority w:val="0"/>
    <w:rPr>
      <w:rFonts w:ascii="Times New Roman" w:hAnsi="Times New Roman" w:eastAsia="仿宋" w:cs="Times New Roman"/>
      <w:b/>
      <w:bCs/>
      <w:sz w:val="28"/>
      <w:szCs w:val="28"/>
    </w:rPr>
  </w:style>
  <w:style w:type="character" w:customStyle="1" w:styleId="54">
    <w:name w:val="批注文字 Char"/>
    <w:link w:val="17"/>
    <w:qFormat/>
    <w:locked/>
    <w:uiPriority w:val="0"/>
    <w:rPr>
      <w:rFonts w:eastAsia="仿宋_GB2312" w:cs="Times New Roman"/>
      <w:sz w:val="24"/>
      <w:szCs w:val="24"/>
      <w:lang w:val="en-US" w:eastAsia="zh-CN" w:bidi="ar-SA"/>
    </w:rPr>
  </w:style>
  <w:style w:type="character" w:customStyle="1" w:styleId="55">
    <w:name w:val="默认段落 Char"/>
    <w:link w:val="15"/>
    <w:qFormat/>
    <w:locked/>
    <w:uiPriority w:val="0"/>
    <w:rPr>
      <w:rFonts w:eastAsia="宋体" w:cs="Times New Roman"/>
      <w:sz w:val="24"/>
      <w:szCs w:val="24"/>
      <w:lang w:val="en-US" w:eastAsia="zh-CN" w:bidi="ar-SA"/>
    </w:rPr>
  </w:style>
  <w:style w:type="character" w:customStyle="1" w:styleId="56">
    <w:name w:val="正文文本 Char"/>
    <w:link w:val="18"/>
    <w:qFormat/>
    <w:uiPriority w:val="0"/>
    <w:rPr>
      <w:rFonts w:ascii="Times New Roman" w:hAnsi="Times New Roman"/>
      <w:sz w:val="24"/>
      <w:szCs w:val="24"/>
    </w:rPr>
  </w:style>
  <w:style w:type="character" w:customStyle="1" w:styleId="57">
    <w:name w:val="正文首行缩进 Char"/>
    <w:link w:val="39"/>
    <w:qFormat/>
    <w:uiPriority w:val="0"/>
    <w:rPr>
      <w:rFonts w:ascii="Times New Roman" w:hAnsi="Times New Roman"/>
      <w:sz w:val="24"/>
      <w:szCs w:val="24"/>
    </w:rPr>
  </w:style>
  <w:style w:type="character" w:customStyle="1" w:styleId="58">
    <w:name w:val="题注 Char"/>
    <w:link w:val="14"/>
    <w:qFormat/>
    <w:locked/>
    <w:uiPriority w:val="0"/>
    <w:rPr>
      <w:rFonts w:ascii="Arial Unicode MS" w:hAnsi="Arial Unicode MS" w:eastAsia="黑体" w:cs="Times New Roman"/>
      <w:b/>
      <w:sz w:val="21"/>
      <w:szCs w:val="21"/>
      <w:lang w:val="en-US" w:eastAsia="zh-CN" w:bidi="ar-SA"/>
    </w:rPr>
  </w:style>
  <w:style w:type="character" w:customStyle="1" w:styleId="59">
    <w:name w:val="文档结构图 Char"/>
    <w:basedOn w:val="42"/>
    <w:link w:val="16"/>
    <w:qFormat/>
    <w:uiPriority w:val="0"/>
    <w:rPr>
      <w:rFonts w:ascii="宋体" w:hAnsi="Times New Roman" w:cs="Times New Roman"/>
      <w:sz w:val="18"/>
      <w:szCs w:val="18"/>
    </w:rPr>
  </w:style>
  <w:style w:type="character" w:customStyle="1" w:styleId="60">
    <w:name w:val="正文文本缩进 Char"/>
    <w:link w:val="19"/>
    <w:qFormat/>
    <w:uiPriority w:val="0"/>
    <w:rPr>
      <w:rFonts w:ascii="Times New Roman" w:hAnsi="Times New Roman" w:cs="Times New Roman"/>
      <w:sz w:val="24"/>
      <w:szCs w:val="24"/>
    </w:rPr>
  </w:style>
  <w:style w:type="character" w:customStyle="1" w:styleId="61">
    <w:name w:val="纯文本 Char"/>
    <w:link w:val="22"/>
    <w:qFormat/>
    <w:uiPriority w:val="99"/>
    <w:rPr>
      <w:rFonts w:ascii="宋体" w:hAnsi="Courier New" w:cs="Courier New"/>
      <w:kern w:val="2"/>
      <w:sz w:val="21"/>
      <w:szCs w:val="21"/>
    </w:rPr>
  </w:style>
  <w:style w:type="character" w:customStyle="1" w:styleId="62">
    <w:name w:val="副标题 Char"/>
    <w:link w:val="30"/>
    <w:qFormat/>
    <w:uiPriority w:val="0"/>
    <w:rPr>
      <w:rFonts w:ascii="Cambria" w:hAnsi="Cambria" w:cs="Times New Roman"/>
      <w:b/>
      <w:bCs/>
      <w:kern w:val="28"/>
      <w:sz w:val="32"/>
      <w:szCs w:val="32"/>
    </w:rPr>
  </w:style>
  <w:style w:type="paragraph" w:customStyle="1" w:styleId="63">
    <w:name w:val="03"/>
    <w:basedOn w:val="64"/>
    <w:link w:val="66"/>
    <w:qFormat/>
    <w:uiPriority w:val="0"/>
    <w:pPr>
      <w:spacing w:line="360" w:lineRule="auto"/>
      <w:ind w:left="0" w:hanging="431"/>
      <w:outlineLvl w:val="2"/>
    </w:pPr>
    <w:rPr>
      <w:sz w:val="28"/>
    </w:rPr>
  </w:style>
  <w:style w:type="paragraph" w:customStyle="1" w:styleId="64">
    <w:name w:val="02"/>
    <w:basedOn w:val="1"/>
    <w:link w:val="65"/>
    <w:qFormat/>
    <w:uiPriority w:val="0"/>
    <w:pPr>
      <w:widowControl/>
      <w:spacing w:before="240" w:after="60" w:line="432" w:lineRule="auto"/>
      <w:ind w:left="1" w:hanging="432" w:firstLineChars="0"/>
      <w:outlineLvl w:val="1"/>
    </w:pPr>
    <w:rPr>
      <w:b/>
      <w:bCs/>
      <w:snapToGrid w:val="0"/>
      <w:kern w:val="28"/>
      <w:sz w:val="32"/>
      <w:szCs w:val="44"/>
    </w:rPr>
  </w:style>
  <w:style w:type="character" w:customStyle="1" w:styleId="65">
    <w:name w:val="02 Char"/>
    <w:link w:val="64"/>
    <w:qFormat/>
    <w:uiPriority w:val="0"/>
    <w:rPr>
      <w:rFonts w:ascii="Times New Roman" w:hAnsi="Times New Roman"/>
      <w:b/>
      <w:bCs/>
      <w:snapToGrid w:val="0"/>
      <w:kern w:val="28"/>
      <w:sz w:val="32"/>
      <w:szCs w:val="44"/>
    </w:rPr>
  </w:style>
  <w:style w:type="character" w:customStyle="1" w:styleId="66">
    <w:name w:val="03 Char"/>
    <w:link w:val="63"/>
    <w:qFormat/>
    <w:uiPriority w:val="0"/>
    <w:rPr>
      <w:rFonts w:ascii="Times New Roman" w:hAnsi="Times New Roman"/>
      <w:b/>
      <w:bCs/>
      <w:snapToGrid w:val="0"/>
      <w:kern w:val="28"/>
      <w:sz w:val="28"/>
      <w:szCs w:val="44"/>
    </w:rPr>
  </w:style>
  <w:style w:type="paragraph" w:customStyle="1" w:styleId="67">
    <w:name w:val="Char Char Char Char Char Char Char"/>
    <w:basedOn w:val="1"/>
    <w:qFormat/>
    <w:uiPriority w:val="0"/>
    <w:pPr>
      <w:spacing w:line="240" w:lineRule="auto"/>
      <w:ind w:firstLine="0" w:firstLineChars="0"/>
      <w:jc w:val="center"/>
    </w:pPr>
    <w:rPr>
      <w:rFonts w:ascii="仿宋_GB2312" w:eastAsia="仿宋_GB2312"/>
      <w:b/>
      <w:kern w:val="2"/>
      <w:sz w:val="32"/>
      <w:szCs w:val="32"/>
    </w:rPr>
  </w:style>
  <w:style w:type="paragraph" w:customStyle="1" w:styleId="68">
    <w:name w:val="表题"/>
    <w:basedOn w:val="1"/>
    <w:next w:val="1"/>
    <w:link w:val="69"/>
    <w:qFormat/>
    <w:uiPriority w:val="0"/>
    <w:pPr>
      <w:ind w:firstLine="0" w:firstLineChars="0"/>
      <w:jc w:val="center"/>
    </w:pPr>
    <w:rPr>
      <w:b/>
      <w:bCs/>
      <w:kern w:val="2"/>
      <w:sz w:val="21"/>
      <w:szCs w:val="21"/>
    </w:rPr>
  </w:style>
  <w:style w:type="character" w:customStyle="1" w:styleId="69">
    <w:name w:val="表题 Char"/>
    <w:link w:val="68"/>
    <w:qFormat/>
    <w:locked/>
    <w:uiPriority w:val="0"/>
    <w:rPr>
      <w:rFonts w:eastAsia="宋体" w:cs="Times New Roman"/>
      <w:b/>
      <w:bCs/>
      <w:kern w:val="2"/>
      <w:sz w:val="21"/>
      <w:szCs w:val="21"/>
      <w:lang w:val="en-US" w:eastAsia="zh-CN" w:bidi="ar-SA"/>
    </w:rPr>
  </w:style>
  <w:style w:type="paragraph" w:customStyle="1" w:styleId="70">
    <w:name w:val="辅助"/>
    <w:qFormat/>
    <w:uiPriority w:val="0"/>
    <w:pPr>
      <w:spacing w:line="360" w:lineRule="auto"/>
      <w:jc w:val="center"/>
      <w:textAlignment w:val="center"/>
    </w:pPr>
    <w:rPr>
      <w:rFonts w:ascii="Times New Roman" w:hAnsi="Times New Roman" w:eastAsia="仿宋_GB2312" w:cs="Calibri"/>
      <w:vanish/>
      <w:color w:val="FF00FF"/>
      <w:sz w:val="21"/>
      <w:szCs w:val="24"/>
      <w:lang w:val="en-US" w:eastAsia="zh-CN" w:bidi="ar-SA"/>
    </w:rPr>
  </w:style>
  <w:style w:type="paragraph" w:customStyle="1" w:styleId="71">
    <w:name w:val="公式样式"/>
    <w:basedOn w:val="1"/>
    <w:qFormat/>
    <w:uiPriority w:val="0"/>
    <w:pPr>
      <w:ind w:firstLine="0" w:firstLineChars="0"/>
      <w:jc w:val="center"/>
    </w:pPr>
    <w:rPr>
      <w:rFonts w:cs="宋体"/>
      <w:szCs w:val="20"/>
    </w:rPr>
  </w:style>
  <w:style w:type="paragraph" w:customStyle="1" w:styleId="72">
    <w:name w:val="公式注释"/>
    <w:basedOn w:val="71"/>
    <w:qFormat/>
    <w:uiPriority w:val="0"/>
    <w:pPr>
      <w:ind w:firstLine="1680" w:firstLineChars="700"/>
      <w:jc w:val="left"/>
    </w:pPr>
  </w:style>
  <w:style w:type="paragraph" w:customStyle="1" w:styleId="73">
    <w:name w:val="表格正文"/>
    <w:link w:val="74"/>
    <w:qFormat/>
    <w:uiPriority w:val="0"/>
    <w:pPr>
      <w:keepNext/>
      <w:spacing w:line="360" w:lineRule="auto"/>
      <w:jc w:val="both"/>
    </w:pPr>
    <w:rPr>
      <w:rFonts w:ascii="Times New Roman" w:hAnsi="Times New Roman" w:eastAsia="仿宋_GB2312" w:cs="Calibri"/>
      <w:color w:val="000000"/>
      <w:kern w:val="2"/>
      <w:sz w:val="21"/>
      <w:szCs w:val="21"/>
      <w:lang w:val="en-US" w:eastAsia="zh-CN" w:bidi="ar-SA"/>
    </w:rPr>
  </w:style>
  <w:style w:type="character" w:customStyle="1" w:styleId="74">
    <w:name w:val="表格正文 Char"/>
    <w:link w:val="73"/>
    <w:qFormat/>
    <w:locked/>
    <w:uiPriority w:val="0"/>
    <w:rPr>
      <w:rFonts w:ascii="Times New Roman" w:hAnsi="Times New Roman" w:eastAsia="仿宋_GB2312"/>
      <w:color w:val="000000"/>
      <w:kern w:val="2"/>
      <w:sz w:val="21"/>
      <w:szCs w:val="21"/>
      <w:lang w:val="en-US" w:eastAsia="zh-CN" w:bidi="ar-SA"/>
    </w:rPr>
  </w:style>
  <w:style w:type="paragraph" w:customStyle="1" w:styleId="75">
    <w:name w:val="表文字"/>
    <w:basedOn w:val="1"/>
    <w:link w:val="76"/>
    <w:qFormat/>
    <w:uiPriority w:val="0"/>
    <w:pPr>
      <w:spacing w:beforeLines="20" w:afterLines="20"/>
      <w:ind w:firstLine="0" w:firstLineChars="0"/>
      <w:jc w:val="center"/>
    </w:pPr>
    <w:rPr>
      <w:b/>
      <w:kern w:val="2"/>
      <w:szCs w:val="20"/>
    </w:rPr>
  </w:style>
  <w:style w:type="character" w:customStyle="1" w:styleId="76">
    <w:name w:val="表文字 Char"/>
    <w:link w:val="75"/>
    <w:qFormat/>
    <w:locked/>
    <w:uiPriority w:val="0"/>
    <w:rPr>
      <w:rFonts w:ascii="Times New Roman" w:hAnsi="Times New Roman"/>
      <w:b/>
      <w:kern w:val="2"/>
      <w:sz w:val="24"/>
    </w:rPr>
  </w:style>
  <w:style w:type="paragraph" w:customStyle="1" w:styleId="77">
    <w:name w:val="表格标题"/>
    <w:basedOn w:val="1"/>
    <w:link w:val="78"/>
    <w:qFormat/>
    <w:uiPriority w:val="0"/>
    <w:pPr>
      <w:widowControl/>
      <w:ind w:firstLine="0" w:firstLineChars="0"/>
      <w:jc w:val="center"/>
    </w:pPr>
    <w:rPr>
      <w:rFonts w:ascii="Arial" w:hAnsi="Arial" w:eastAsia="楷体_GB2312"/>
      <w:b/>
      <w:sz w:val="21"/>
      <w:szCs w:val="20"/>
    </w:rPr>
  </w:style>
  <w:style w:type="character" w:customStyle="1" w:styleId="78">
    <w:name w:val="表格标题 Char"/>
    <w:link w:val="77"/>
    <w:qFormat/>
    <w:locked/>
    <w:uiPriority w:val="0"/>
    <w:rPr>
      <w:rFonts w:ascii="Arial" w:hAnsi="Arial" w:eastAsia="楷体_GB2312"/>
      <w:b/>
      <w:sz w:val="21"/>
    </w:rPr>
  </w:style>
  <w:style w:type="paragraph" w:customStyle="1" w:styleId="79">
    <w:name w:val="好正文"/>
    <w:basedOn w:val="1"/>
    <w:link w:val="80"/>
    <w:qFormat/>
    <w:uiPriority w:val="0"/>
    <w:pPr>
      <w:spacing w:beforeLines="50"/>
      <w:ind w:firstLine="480"/>
    </w:pPr>
    <w:rPr>
      <w:rFonts w:hAnsi="宋体"/>
      <w:kern w:val="44"/>
      <w:szCs w:val="20"/>
    </w:rPr>
  </w:style>
  <w:style w:type="character" w:customStyle="1" w:styleId="80">
    <w:name w:val="好正文 Char"/>
    <w:link w:val="79"/>
    <w:qFormat/>
    <w:locked/>
    <w:uiPriority w:val="0"/>
    <w:rPr>
      <w:rFonts w:ascii="Times New Roman" w:hAnsi="宋体"/>
      <w:kern w:val="44"/>
      <w:sz w:val="24"/>
    </w:rPr>
  </w:style>
  <w:style w:type="paragraph" w:customStyle="1" w:styleId="81">
    <w:name w:val="表内文字"/>
    <w:basedOn w:val="1"/>
    <w:qFormat/>
    <w:uiPriority w:val="0"/>
    <w:pPr>
      <w:spacing w:line="240" w:lineRule="atLeast"/>
      <w:ind w:firstLine="0" w:firstLineChars="0"/>
      <w:jc w:val="center"/>
      <w:textAlignment w:val="center"/>
    </w:pPr>
    <w:rPr>
      <w:kern w:val="2"/>
      <w:sz w:val="21"/>
      <w:szCs w:val="21"/>
    </w:rPr>
  </w:style>
  <w:style w:type="paragraph" w:customStyle="1" w:styleId="82">
    <w:name w:val="Char Char Char Char"/>
    <w:basedOn w:val="1"/>
    <w:qFormat/>
    <w:uiPriority w:val="0"/>
    <w:pPr>
      <w:spacing w:line="240" w:lineRule="auto"/>
      <w:ind w:firstLine="0" w:firstLineChars="0"/>
    </w:pPr>
    <w:rPr>
      <w:color w:val="FF0000"/>
      <w:sz w:val="21"/>
      <w:szCs w:val="21"/>
    </w:rPr>
  </w:style>
  <w:style w:type="paragraph" w:customStyle="1" w:styleId="83">
    <w:name w:val="表5号字"/>
    <w:qFormat/>
    <w:uiPriority w:val="0"/>
    <w:pPr>
      <w:keepNext/>
      <w:widowControl w:val="0"/>
      <w:adjustRightInd w:val="0"/>
      <w:spacing w:before="120" w:line="60" w:lineRule="atLeast"/>
      <w:jc w:val="center"/>
    </w:pPr>
    <w:rPr>
      <w:rFonts w:ascii="Times New Roman" w:hAnsi="Times New Roman" w:eastAsia="宋体" w:cs="Calibri"/>
      <w:sz w:val="21"/>
      <w:lang w:val="en-US" w:eastAsia="zh-CN" w:bidi="ar-SA"/>
    </w:rPr>
  </w:style>
  <w:style w:type="paragraph" w:customStyle="1" w:styleId="84">
    <w:name w:val="hd正文"/>
    <w:basedOn w:val="1"/>
    <w:link w:val="85"/>
    <w:qFormat/>
    <w:uiPriority w:val="0"/>
    <w:pPr>
      <w:textAlignment w:val="center"/>
    </w:pPr>
    <w:rPr>
      <w:kern w:val="2"/>
    </w:rPr>
  </w:style>
  <w:style w:type="character" w:customStyle="1" w:styleId="85">
    <w:name w:val="hd正文 Char"/>
    <w:link w:val="84"/>
    <w:qFormat/>
    <w:locked/>
    <w:uiPriority w:val="0"/>
    <w:rPr>
      <w:rFonts w:ascii="Times New Roman" w:hAnsi="Times New Roman" w:cs="Times New Roman"/>
      <w:kern w:val="2"/>
      <w:sz w:val="24"/>
      <w:szCs w:val="24"/>
    </w:rPr>
  </w:style>
  <w:style w:type="paragraph" w:customStyle="1" w:styleId="86">
    <w:name w:val="表（方案）"/>
    <w:basedOn w:val="1"/>
    <w:link w:val="87"/>
    <w:qFormat/>
    <w:uiPriority w:val="0"/>
    <w:pPr>
      <w:widowControl/>
      <w:ind w:firstLine="0" w:firstLineChars="0"/>
      <w:jc w:val="center"/>
    </w:pPr>
    <w:rPr>
      <w:b/>
      <w:szCs w:val="20"/>
    </w:rPr>
  </w:style>
  <w:style w:type="character" w:customStyle="1" w:styleId="87">
    <w:name w:val="表（方案） Char"/>
    <w:link w:val="86"/>
    <w:qFormat/>
    <w:locked/>
    <w:uiPriority w:val="0"/>
    <w:rPr>
      <w:rFonts w:ascii="Times New Roman" w:hAnsi="Times New Roman"/>
      <w:b/>
      <w:sz w:val="24"/>
    </w:rPr>
  </w:style>
  <w:style w:type="paragraph" w:customStyle="1" w:styleId="88">
    <w:name w:val="列出段落1"/>
    <w:basedOn w:val="1"/>
    <w:qFormat/>
    <w:uiPriority w:val="0"/>
    <w:pPr>
      <w:ind w:firstLine="420"/>
    </w:pPr>
  </w:style>
  <w:style w:type="paragraph" w:customStyle="1" w:styleId="89">
    <w:name w:val="列出段落2"/>
    <w:basedOn w:val="1"/>
    <w:qFormat/>
    <w:uiPriority w:val="34"/>
    <w:pPr>
      <w:ind w:firstLine="420"/>
    </w:pPr>
  </w:style>
  <w:style w:type="paragraph" w:customStyle="1" w:styleId="90">
    <w:name w:val="正文_宜巴"/>
    <w:basedOn w:val="1"/>
    <w:semiHidden/>
    <w:qFormat/>
    <w:uiPriority w:val="0"/>
    <w:rPr>
      <w:rFonts w:cs="宋体"/>
      <w:kern w:val="2"/>
      <w:szCs w:val="20"/>
    </w:rPr>
  </w:style>
  <w:style w:type="paragraph" w:customStyle="1" w:styleId="91">
    <w:name w:val="列出段落21"/>
    <w:basedOn w:val="1"/>
    <w:qFormat/>
    <w:uiPriority w:val="34"/>
    <w:pPr>
      <w:ind w:firstLine="420"/>
    </w:pPr>
  </w:style>
  <w:style w:type="paragraph" w:customStyle="1" w:styleId="92">
    <w:name w:val="样式 正文 +"/>
    <w:basedOn w:val="1"/>
    <w:qFormat/>
    <w:uiPriority w:val="0"/>
    <w:pPr>
      <w:ind w:firstLine="540" w:firstLineChars="225"/>
    </w:pPr>
    <w:rPr>
      <w:rFonts w:ascii="ˎ̥" w:hAnsi="ˎ̥" w:cs="宋体"/>
      <w:szCs w:val="20"/>
    </w:rPr>
  </w:style>
  <w:style w:type="paragraph" w:customStyle="1" w:styleId="93">
    <w:name w:val="font5"/>
    <w:basedOn w:val="1"/>
    <w:qFormat/>
    <w:uiPriority w:val="0"/>
    <w:pPr>
      <w:widowControl/>
      <w:spacing w:before="100" w:beforeAutospacing="1" w:after="100" w:afterAutospacing="1" w:line="240" w:lineRule="auto"/>
      <w:ind w:firstLine="0" w:firstLineChars="0"/>
      <w:jc w:val="left"/>
    </w:pPr>
    <w:rPr>
      <w:rFonts w:ascii="宋体" w:hAnsi="宋体" w:cs="宋体"/>
      <w:sz w:val="18"/>
      <w:szCs w:val="18"/>
    </w:rPr>
  </w:style>
  <w:style w:type="paragraph" w:customStyle="1" w:styleId="94">
    <w:name w:val="font6"/>
    <w:basedOn w:val="1"/>
    <w:qFormat/>
    <w:uiPriority w:val="0"/>
    <w:pPr>
      <w:widowControl/>
      <w:spacing w:before="100" w:beforeAutospacing="1" w:after="100" w:afterAutospacing="1" w:line="240" w:lineRule="auto"/>
      <w:ind w:firstLine="0" w:firstLineChars="0"/>
      <w:jc w:val="left"/>
    </w:pPr>
    <w:rPr>
      <w:color w:val="000000"/>
      <w:sz w:val="20"/>
      <w:szCs w:val="20"/>
    </w:rPr>
  </w:style>
  <w:style w:type="paragraph" w:customStyle="1" w:styleId="95">
    <w:name w:val="font7"/>
    <w:basedOn w:val="1"/>
    <w:qFormat/>
    <w:uiPriority w:val="0"/>
    <w:pPr>
      <w:widowControl/>
      <w:spacing w:before="100" w:beforeAutospacing="1" w:after="100" w:afterAutospacing="1" w:line="240" w:lineRule="auto"/>
      <w:ind w:firstLine="0" w:firstLineChars="0"/>
      <w:jc w:val="left"/>
    </w:pPr>
    <w:rPr>
      <w:color w:val="000000"/>
      <w:sz w:val="20"/>
      <w:szCs w:val="20"/>
    </w:rPr>
  </w:style>
  <w:style w:type="paragraph" w:customStyle="1" w:styleId="96">
    <w:name w:val="font8"/>
    <w:basedOn w:val="1"/>
    <w:qFormat/>
    <w:uiPriority w:val="0"/>
    <w:pPr>
      <w:widowControl/>
      <w:spacing w:before="100" w:beforeAutospacing="1" w:after="100" w:afterAutospacing="1" w:line="240" w:lineRule="auto"/>
      <w:ind w:firstLine="0" w:firstLineChars="0"/>
      <w:jc w:val="left"/>
    </w:pPr>
    <w:rPr>
      <w:rFonts w:ascii="宋体" w:hAnsi="宋体" w:cs="宋体"/>
      <w:color w:val="000000"/>
      <w:sz w:val="20"/>
      <w:szCs w:val="20"/>
    </w:rPr>
  </w:style>
  <w:style w:type="paragraph" w:customStyle="1" w:styleId="97">
    <w:name w:val="font9"/>
    <w:basedOn w:val="1"/>
    <w:qFormat/>
    <w:uiPriority w:val="0"/>
    <w:pPr>
      <w:widowControl/>
      <w:spacing w:before="100" w:beforeAutospacing="1" w:after="100" w:afterAutospacing="1" w:line="240" w:lineRule="auto"/>
      <w:ind w:firstLine="0" w:firstLineChars="0"/>
      <w:jc w:val="left"/>
    </w:pPr>
    <w:rPr>
      <w:rFonts w:ascii="宋体" w:hAnsi="宋体" w:cs="宋体"/>
      <w:color w:val="000000"/>
      <w:sz w:val="20"/>
      <w:szCs w:val="20"/>
    </w:rPr>
  </w:style>
  <w:style w:type="paragraph" w:customStyle="1" w:styleId="98">
    <w:name w:val="font10"/>
    <w:basedOn w:val="1"/>
    <w:qFormat/>
    <w:uiPriority w:val="0"/>
    <w:pPr>
      <w:widowControl/>
      <w:spacing w:before="100" w:beforeAutospacing="1" w:after="100" w:afterAutospacing="1" w:line="240" w:lineRule="auto"/>
      <w:ind w:firstLine="0" w:firstLineChars="0"/>
      <w:jc w:val="left"/>
    </w:pPr>
    <w:rPr>
      <w:rFonts w:ascii="宋体" w:hAnsi="宋体" w:cs="宋体"/>
      <w:b/>
      <w:bCs/>
      <w:color w:val="000000"/>
      <w:sz w:val="20"/>
      <w:szCs w:val="20"/>
    </w:rPr>
  </w:style>
  <w:style w:type="paragraph" w:customStyle="1" w:styleId="99">
    <w:name w:val="xl65"/>
    <w:basedOn w:val="1"/>
    <w:qFormat/>
    <w:uiPriority w:val="0"/>
    <w:pPr>
      <w:widowControl/>
      <w:spacing w:before="100" w:beforeAutospacing="1" w:after="100" w:afterAutospacing="1" w:line="240" w:lineRule="auto"/>
      <w:ind w:firstLine="0" w:firstLineChars="0"/>
      <w:jc w:val="center"/>
    </w:pPr>
    <w:rPr>
      <w:sz w:val="20"/>
      <w:szCs w:val="20"/>
    </w:rPr>
  </w:style>
  <w:style w:type="paragraph" w:customStyle="1" w:styleId="100">
    <w:name w:val="xl66"/>
    <w:basedOn w:val="1"/>
    <w:qFormat/>
    <w:uiPriority w:val="0"/>
    <w:pPr>
      <w:widowControl/>
      <w:spacing w:before="100" w:beforeAutospacing="1" w:after="100" w:afterAutospacing="1" w:line="240" w:lineRule="auto"/>
      <w:ind w:firstLine="0" w:firstLineChars="0"/>
      <w:jc w:val="center"/>
    </w:pPr>
    <w:rPr>
      <w:sz w:val="20"/>
      <w:szCs w:val="20"/>
    </w:rPr>
  </w:style>
  <w:style w:type="paragraph" w:customStyle="1" w:styleId="10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sz w:val="20"/>
      <w:szCs w:val="20"/>
    </w:rPr>
  </w:style>
  <w:style w:type="paragraph" w:customStyle="1" w:styleId="102">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sz w:val="20"/>
      <w:szCs w:val="20"/>
    </w:rPr>
  </w:style>
  <w:style w:type="paragraph" w:customStyle="1" w:styleId="103">
    <w:name w:val="xl69"/>
    <w:basedOn w:val="1"/>
    <w:qFormat/>
    <w:uiPriority w:val="0"/>
    <w:pPr>
      <w:widowControl/>
      <w:spacing w:before="100" w:beforeAutospacing="1" w:after="100" w:afterAutospacing="1" w:line="240" w:lineRule="auto"/>
      <w:ind w:firstLine="0" w:firstLineChars="0"/>
      <w:jc w:val="center"/>
    </w:pPr>
    <w:rPr>
      <w:b/>
      <w:bCs/>
      <w:sz w:val="20"/>
      <w:szCs w:val="20"/>
    </w:rPr>
  </w:style>
  <w:style w:type="paragraph" w:customStyle="1" w:styleId="104">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sz w:val="20"/>
      <w:szCs w:val="20"/>
    </w:rPr>
  </w:style>
  <w:style w:type="paragraph" w:customStyle="1" w:styleId="10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sz w:val="20"/>
      <w:szCs w:val="20"/>
    </w:rPr>
  </w:style>
  <w:style w:type="paragraph" w:customStyle="1" w:styleId="106">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sz w:val="20"/>
      <w:szCs w:val="20"/>
    </w:rPr>
  </w:style>
  <w:style w:type="paragraph" w:customStyle="1" w:styleId="10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sz w:val="20"/>
      <w:szCs w:val="20"/>
    </w:rPr>
  </w:style>
  <w:style w:type="paragraph" w:customStyle="1" w:styleId="10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bottom"/>
    </w:pPr>
    <w:rPr>
      <w:color w:val="000000"/>
      <w:sz w:val="20"/>
      <w:szCs w:val="20"/>
    </w:rPr>
  </w:style>
  <w:style w:type="paragraph" w:customStyle="1" w:styleId="10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sz w:val="20"/>
      <w:szCs w:val="20"/>
    </w:rPr>
  </w:style>
  <w:style w:type="paragraph" w:customStyle="1" w:styleId="110">
    <w:name w:val="xl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sz w:val="20"/>
      <w:szCs w:val="20"/>
    </w:rPr>
  </w:style>
  <w:style w:type="paragraph" w:customStyle="1" w:styleId="111">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sz w:val="20"/>
      <w:szCs w:val="20"/>
    </w:rPr>
  </w:style>
  <w:style w:type="paragraph" w:customStyle="1" w:styleId="112">
    <w:name w:val="xl7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sz w:val="20"/>
      <w:szCs w:val="20"/>
    </w:rPr>
  </w:style>
  <w:style w:type="paragraph" w:customStyle="1" w:styleId="113">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bottom"/>
    </w:pPr>
    <w:rPr>
      <w:sz w:val="20"/>
      <w:szCs w:val="20"/>
    </w:rPr>
  </w:style>
  <w:style w:type="paragraph" w:customStyle="1" w:styleId="114">
    <w:name w:val="xl80"/>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b/>
      <w:bCs/>
      <w:sz w:val="20"/>
      <w:szCs w:val="20"/>
    </w:rPr>
  </w:style>
  <w:style w:type="paragraph" w:customStyle="1" w:styleId="115">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sz w:val="20"/>
      <w:szCs w:val="20"/>
    </w:rPr>
  </w:style>
  <w:style w:type="paragraph" w:customStyle="1" w:styleId="116">
    <w:name w:val="xl8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sz w:val="20"/>
      <w:szCs w:val="20"/>
    </w:rPr>
  </w:style>
  <w:style w:type="paragraph" w:customStyle="1" w:styleId="117">
    <w:name w:val="正文缩进2"/>
    <w:basedOn w:val="1"/>
    <w:qFormat/>
    <w:uiPriority w:val="0"/>
    <w:pPr>
      <w:ind w:firstLine="420"/>
    </w:pPr>
    <w:rPr>
      <w:sz w:val="28"/>
      <w:szCs w:val="20"/>
    </w:rPr>
  </w:style>
  <w:style w:type="paragraph" w:customStyle="1" w:styleId="118">
    <w:name w:val="列出段落3"/>
    <w:basedOn w:val="1"/>
    <w:qFormat/>
    <w:uiPriority w:val="34"/>
    <w:pPr>
      <w:ind w:firstLine="420"/>
    </w:pPr>
  </w:style>
  <w:style w:type="paragraph" w:customStyle="1" w:styleId="11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sz w:val="20"/>
      <w:szCs w:val="20"/>
    </w:rPr>
  </w:style>
  <w:style w:type="paragraph" w:customStyle="1" w:styleId="120">
    <w:name w:val="xl84"/>
    <w:basedOn w:val="1"/>
    <w:qFormat/>
    <w:uiPriority w:val="0"/>
    <w:pPr>
      <w:widowControl/>
      <w:spacing w:before="100" w:beforeAutospacing="1" w:after="100" w:afterAutospacing="1" w:line="240" w:lineRule="auto"/>
      <w:ind w:firstLine="0" w:firstLineChars="0"/>
      <w:jc w:val="center"/>
    </w:pPr>
    <w:rPr>
      <w:sz w:val="20"/>
      <w:szCs w:val="20"/>
    </w:rPr>
  </w:style>
  <w:style w:type="paragraph" w:customStyle="1" w:styleId="121">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b/>
      <w:bCs/>
      <w:sz w:val="20"/>
      <w:szCs w:val="20"/>
    </w:rPr>
  </w:style>
  <w:style w:type="paragraph" w:customStyle="1" w:styleId="122">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sz w:val="20"/>
      <w:szCs w:val="20"/>
    </w:rPr>
  </w:style>
  <w:style w:type="paragraph" w:customStyle="1" w:styleId="123">
    <w:name w:val="列出段落4"/>
    <w:basedOn w:val="1"/>
    <w:link w:val="124"/>
    <w:qFormat/>
    <w:uiPriority w:val="34"/>
    <w:pPr>
      <w:ind w:firstLine="420"/>
    </w:pPr>
  </w:style>
  <w:style w:type="character" w:customStyle="1" w:styleId="124">
    <w:name w:val="列出段落 Char"/>
    <w:link w:val="123"/>
    <w:qFormat/>
    <w:uiPriority w:val="34"/>
    <w:rPr>
      <w:rFonts w:ascii="Times New Roman" w:hAnsi="Times New Roman" w:cs="Times New Roman"/>
      <w:sz w:val="24"/>
      <w:szCs w:val="24"/>
    </w:rPr>
  </w:style>
  <w:style w:type="character" w:customStyle="1" w:styleId="125">
    <w:name w:val="占位符文本1"/>
    <w:semiHidden/>
    <w:uiPriority w:val="0"/>
    <w:rPr>
      <w:rFonts w:cs="Times New Roman"/>
      <w:color w:val="808080"/>
    </w:rPr>
  </w:style>
  <w:style w:type="character" w:customStyle="1" w:styleId="126">
    <w:name w:val="font41"/>
    <w:qFormat/>
    <w:uiPriority w:val="0"/>
    <w:rPr>
      <w:rFonts w:hint="eastAsia" w:ascii="宋体" w:hAnsi="宋体" w:eastAsia="宋体"/>
      <w:b/>
      <w:bCs/>
      <w:color w:val="000000"/>
      <w:sz w:val="20"/>
      <w:szCs w:val="20"/>
      <w:u w:val="none"/>
    </w:rPr>
  </w:style>
  <w:style w:type="character" w:customStyle="1" w:styleId="127">
    <w:name w:val="font51"/>
    <w:qFormat/>
    <w:uiPriority w:val="0"/>
    <w:rPr>
      <w:rFonts w:hint="default" w:ascii="Times New Roman" w:hAnsi="Times New Roman" w:cs="Times New Roman"/>
      <w:b/>
      <w:bCs/>
      <w:color w:val="000000"/>
      <w:sz w:val="20"/>
      <w:szCs w:val="20"/>
      <w:u w:val="none"/>
    </w:rPr>
  </w:style>
  <w:style w:type="character" w:customStyle="1" w:styleId="128">
    <w:name w:val="font11"/>
    <w:qFormat/>
    <w:uiPriority w:val="0"/>
    <w:rPr>
      <w:rFonts w:hint="default" w:ascii="Times New Roman" w:hAnsi="Times New Roman" w:cs="Times New Roman"/>
      <w:color w:val="000000"/>
      <w:sz w:val="20"/>
      <w:szCs w:val="20"/>
      <w:u w:val="none"/>
      <w:vertAlign w:val="superscript"/>
    </w:rPr>
  </w:style>
  <w:style w:type="paragraph" w:customStyle="1" w:styleId="129">
    <w:name w:val="列出段落5"/>
    <w:basedOn w:val="1"/>
    <w:unhideWhenUsed/>
    <w:qFormat/>
    <w:uiPriority w:val="99"/>
    <w:pPr>
      <w:ind w:firstLine="420"/>
    </w:pPr>
  </w:style>
  <w:style w:type="character" w:customStyle="1" w:styleId="130">
    <w:name w:val="description"/>
    <w:qFormat/>
    <w:uiPriority w:val="0"/>
  </w:style>
  <w:style w:type="paragraph" w:customStyle="1" w:styleId="131">
    <w:name w:val="04"/>
    <w:basedOn w:val="63"/>
    <w:qFormat/>
    <w:uiPriority w:val="0"/>
    <w:pPr>
      <w:topLinePunct w:val="0"/>
      <w:snapToGrid/>
      <w:spacing w:before="120" w:after="120" w:line="440" w:lineRule="exact"/>
      <w:ind w:firstLine="0"/>
      <w:outlineLvl w:val="3"/>
    </w:pPr>
    <w:rPr>
      <w:b w:val="0"/>
      <w:sz w:val="24"/>
      <w:szCs w:val="28"/>
    </w:rPr>
  </w:style>
  <w:style w:type="character" w:customStyle="1" w:styleId="132">
    <w:name w:val="apple-converted-space"/>
    <w:qFormat/>
    <w:uiPriority w:val="0"/>
  </w:style>
  <w:style w:type="paragraph" w:customStyle="1" w:styleId="133">
    <w:name w:val="xl24"/>
    <w:basedOn w:val="1"/>
    <w:qFormat/>
    <w:uiPriority w:val="0"/>
    <w:pPr>
      <w:widowControl/>
      <w:pBdr>
        <w:bottom w:val="single" w:color="auto" w:sz="4" w:space="0"/>
        <w:right w:val="single" w:color="auto" w:sz="4" w:space="0"/>
      </w:pBdr>
      <w:topLinePunct w:val="0"/>
      <w:spacing w:before="100" w:beforeAutospacing="1" w:after="100" w:afterAutospacing="1" w:line="240" w:lineRule="auto"/>
      <w:ind w:firstLine="0" w:firstLineChars="0"/>
      <w:jc w:val="center"/>
      <w:textAlignment w:val="top"/>
    </w:pPr>
    <w:rPr>
      <w:sz w:val="21"/>
      <w:szCs w:val="21"/>
    </w:rPr>
  </w:style>
  <w:style w:type="paragraph" w:customStyle="1" w:styleId="134">
    <w:name w:val="正文（文字）"/>
    <w:basedOn w:val="1"/>
    <w:link w:val="135"/>
    <w:qFormat/>
    <w:uiPriority w:val="0"/>
    <w:pPr>
      <w:widowControl/>
      <w:topLinePunct w:val="0"/>
      <w:ind w:firstLine="480"/>
    </w:pPr>
  </w:style>
  <w:style w:type="character" w:customStyle="1" w:styleId="135">
    <w:name w:val="正文（文字） Char"/>
    <w:link w:val="134"/>
    <w:qFormat/>
    <w:uiPriority w:val="0"/>
    <w:rPr>
      <w:rFonts w:ascii="Times New Roman" w:hAnsi="Times New Roman" w:cs="Times New Roman"/>
      <w:sz w:val="24"/>
      <w:szCs w:val="24"/>
    </w:rPr>
  </w:style>
  <w:style w:type="paragraph" w:customStyle="1" w:styleId="136">
    <w:name w:val="三级标题"/>
    <w:basedOn w:val="4"/>
    <w:link w:val="137"/>
    <w:qFormat/>
    <w:uiPriority w:val="0"/>
  </w:style>
  <w:style w:type="character" w:customStyle="1" w:styleId="137">
    <w:name w:val="三级标题 Char"/>
    <w:link w:val="136"/>
    <w:qFormat/>
    <w:uiPriority w:val="0"/>
    <w:rPr>
      <w:rFonts w:ascii="Times New Roman" w:hAnsi="Times New Roman" w:eastAsia="仿宋" w:cs="Times New Roman"/>
      <w:b/>
      <w:bCs/>
      <w:sz w:val="28"/>
      <w:szCs w:val="28"/>
    </w:rPr>
  </w:style>
  <w:style w:type="paragraph" w:customStyle="1" w:styleId="138">
    <w:name w:val="一级标题"/>
    <w:basedOn w:val="2"/>
    <w:link w:val="139"/>
    <w:qFormat/>
    <w:uiPriority w:val="0"/>
  </w:style>
  <w:style w:type="character" w:customStyle="1" w:styleId="139">
    <w:name w:val="一级标题 Char"/>
    <w:link w:val="138"/>
    <w:uiPriority w:val="0"/>
    <w:rPr>
      <w:rFonts w:ascii="Times New Roman" w:hAnsi="Times New Roman" w:cs="Times New Roman"/>
      <w:b/>
      <w:bCs/>
      <w:sz w:val="32"/>
      <w:szCs w:val="32"/>
    </w:rPr>
  </w:style>
  <w:style w:type="paragraph" w:customStyle="1" w:styleId="140">
    <w:name w:val="一级标题syk"/>
    <w:basedOn w:val="2"/>
    <w:link w:val="141"/>
    <w:qFormat/>
    <w:uiPriority w:val="0"/>
    <w:pPr>
      <w:numPr>
        <w:ilvl w:val="0"/>
        <w:numId w:val="1"/>
      </w:numPr>
    </w:pPr>
  </w:style>
  <w:style w:type="character" w:customStyle="1" w:styleId="141">
    <w:name w:val="一级标题syk Char"/>
    <w:link w:val="140"/>
    <w:qFormat/>
    <w:uiPriority w:val="0"/>
    <w:rPr>
      <w:rFonts w:ascii="Times New Roman" w:hAnsi="Times New Roman" w:eastAsia="仿宋" w:cs="Times New Roman"/>
      <w:b/>
      <w:bCs/>
      <w:sz w:val="32"/>
      <w:szCs w:val="32"/>
    </w:rPr>
  </w:style>
  <w:style w:type="paragraph" w:customStyle="1" w:styleId="142">
    <w:name w:val="二级标题"/>
    <w:basedOn w:val="3"/>
    <w:link w:val="143"/>
    <w:qFormat/>
    <w:uiPriority w:val="0"/>
  </w:style>
  <w:style w:type="character" w:customStyle="1" w:styleId="143">
    <w:name w:val="二级标题 Char"/>
    <w:basedOn w:val="51"/>
    <w:link w:val="142"/>
    <w:qFormat/>
    <w:uiPriority w:val="0"/>
    <w:rPr>
      <w:rFonts w:ascii="Times New Roman" w:hAnsi="Times New Roman" w:eastAsia="仿宋" w:cs="Times New Roman"/>
      <w:sz w:val="30"/>
      <w:szCs w:val="30"/>
    </w:rPr>
  </w:style>
  <w:style w:type="paragraph" w:customStyle="1" w:styleId="144">
    <w:name w:val="三级标题0"/>
    <w:basedOn w:val="4"/>
    <w:link w:val="145"/>
    <w:qFormat/>
    <w:uiPriority w:val="0"/>
  </w:style>
  <w:style w:type="character" w:customStyle="1" w:styleId="145">
    <w:name w:val="三级标题0 Char"/>
    <w:basedOn w:val="53"/>
    <w:link w:val="144"/>
    <w:qFormat/>
    <w:uiPriority w:val="0"/>
    <w:rPr>
      <w:rFonts w:ascii="Times New Roman" w:hAnsi="Times New Roman" w:eastAsia="仿宋" w:cs="Times New Roman"/>
      <w:sz w:val="28"/>
      <w:szCs w:val="28"/>
    </w:rPr>
  </w:style>
  <w:style w:type="paragraph" w:customStyle="1" w:styleId="146">
    <w:name w:val="四级标题"/>
    <w:basedOn w:val="5"/>
    <w:link w:val="147"/>
    <w:qFormat/>
    <w:uiPriority w:val="0"/>
    <w:pPr>
      <w:numPr>
        <w:ilvl w:val="0"/>
        <w:numId w:val="0"/>
      </w:numPr>
    </w:pPr>
  </w:style>
  <w:style w:type="character" w:customStyle="1" w:styleId="147">
    <w:name w:val="四级标题 Char"/>
    <w:basedOn w:val="49"/>
    <w:link w:val="146"/>
    <w:qFormat/>
    <w:uiPriority w:val="0"/>
    <w:rPr>
      <w:rFonts w:ascii="Times New Roman" w:hAnsi="Times New Roman" w:eastAsia="仿宋" w:cs="Times New Roman"/>
      <w:sz w:val="24"/>
      <w:szCs w:val="24"/>
    </w:rPr>
  </w:style>
  <w:style w:type="paragraph" w:styleId="148">
    <w:name w:val="List Paragraph"/>
    <w:basedOn w:val="1"/>
    <w:qFormat/>
    <w:uiPriority w:val="34"/>
    <w:pPr>
      <w:topLinePunct w:val="0"/>
      <w:ind w:firstLine="420"/>
      <w:textAlignment w:val="center"/>
    </w:pPr>
    <w:rPr>
      <w:kern w:val="2"/>
      <w:sz w:val="28"/>
    </w:rPr>
  </w:style>
  <w:style w:type="character" w:customStyle="1" w:styleId="149">
    <w:name w:val="日期 Char"/>
    <w:basedOn w:val="42"/>
    <w:link w:val="24"/>
    <w:qFormat/>
    <w:uiPriority w:val="0"/>
    <w:rPr>
      <w:rFonts w:ascii="Times New Roman" w:hAnsi="Times New Roman" w:cs="Times New Roman"/>
      <w:sz w:val="24"/>
      <w:szCs w:val="24"/>
    </w:rPr>
  </w:style>
  <w:style w:type="paragraph" w:customStyle="1" w:styleId="150">
    <w:name w:val="表（方 案）"/>
    <w:basedOn w:val="86"/>
    <w:link w:val="151"/>
    <w:qFormat/>
    <w:uiPriority w:val="0"/>
    <w:pPr>
      <w:topLinePunct w:val="0"/>
      <w:spacing w:line="408" w:lineRule="auto"/>
      <w:ind w:left="1320" w:hanging="420"/>
    </w:pPr>
    <w:rPr>
      <w:snapToGrid w:val="0"/>
      <w:color w:val="000000"/>
      <w:szCs w:val="24"/>
    </w:rPr>
  </w:style>
  <w:style w:type="character" w:customStyle="1" w:styleId="151">
    <w:name w:val="表（方 案） Char"/>
    <w:basedOn w:val="87"/>
    <w:link w:val="150"/>
    <w:qFormat/>
    <w:uiPriority w:val="0"/>
    <w:rPr>
      <w:rFonts w:ascii="Times New Roman" w:hAnsi="Times New Roman" w:cs="Times New Roman"/>
      <w:snapToGrid w:val="0"/>
      <w:color w:val="000000"/>
      <w:sz w:val="24"/>
      <w:szCs w:val="24"/>
    </w:rPr>
  </w:style>
  <w:style w:type="character" w:customStyle="1" w:styleId="152">
    <w:name w:val="正文缩进 Char"/>
    <w:link w:val="13"/>
    <w:qFormat/>
    <w:uiPriority w:val="0"/>
    <w:rPr>
      <w:rFonts w:ascii="Times New Roman" w:hAnsi="Times New Roman" w:cs="Times New Roman"/>
      <w:kern w:val="2"/>
      <w:sz w:val="24"/>
      <w:szCs w:val="24"/>
    </w:rPr>
  </w:style>
  <w:style w:type="paragraph" w:customStyle="1" w:styleId="153">
    <w:name w:val="font1"/>
    <w:basedOn w:val="1"/>
    <w:qFormat/>
    <w:uiPriority w:val="0"/>
    <w:pPr>
      <w:widowControl/>
      <w:topLinePunct w:val="0"/>
      <w:adjustRightInd/>
      <w:snapToGrid/>
      <w:spacing w:before="100" w:beforeAutospacing="1" w:after="100" w:afterAutospacing="1" w:line="240" w:lineRule="auto"/>
      <w:ind w:firstLine="0" w:firstLineChars="0"/>
      <w:jc w:val="left"/>
    </w:pPr>
    <w:rPr>
      <w:rFonts w:ascii="宋体" w:hAnsi="宋体" w:cs="宋体"/>
      <w:color w:val="000000"/>
      <w:sz w:val="22"/>
      <w:szCs w:val="22"/>
    </w:rPr>
  </w:style>
  <w:style w:type="paragraph" w:customStyle="1" w:styleId="154">
    <w:name w:val="xl87"/>
    <w:basedOn w:val="1"/>
    <w:qFormat/>
    <w:uiPriority w:val="0"/>
    <w:pPr>
      <w:widowControl/>
      <w:pBdr>
        <w:top w:val="single" w:color="auto" w:sz="4" w:space="0"/>
        <w:left w:val="single" w:color="auto" w:sz="4" w:space="0"/>
        <w:bottom w:val="single" w:color="auto" w:sz="4" w:space="0"/>
      </w:pBdr>
      <w:topLinePunct w:val="0"/>
      <w:adjustRightInd/>
      <w:snapToGrid/>
      <w:spacing w:before="100" w:beforeAutospacing="1" w:after="100" w:afterAutospacing="1" w:line="240" w:lineRule="auto"/>
      <w:ind w:firstLine="0" w:firstLineChars="0"/>
      <w:jc w:val="center"/>
    </w:pPr>
    <w:rPr>
      <w:b/>
      <w:bCs/>
      <w:sz w:val="20"/>
      <w:szCs w:val="20"/>
    </w:rPr>
  </w:style>
  <w:style w:type="paragraph" w:customStyle="1" w:styleId="155">
    <w:name w:val="xl88"/>
    <w:basedOn w:val="1"/>
    <w:qFormat/>
    <w:uiPriority w:val="0"/>
    <w:pPr>
      <w:widowControl/>
      <w:pBdr>
        <w:top w:val="single" w:color="auto" w:sz="4" w:space="0"/>
        <w:bottom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b/>
      <w:bCs/>
      <w:sz w:val="20"/>
      <w:szCs w:val="20"/>
    </w:rPr>
  </w:style>
  <w:style w:type="paragraph" w:customStyle="1" w:styleId="156">
    <w:name w:val="xl89"/>
    <w:basedOn w:val="1"/>
    <w:qFormat/>
    <w:uiPriority w:val="0"/>
    <w:pPr>
      <w:widowControl/>
      <w:pBdr>
        <w:top w:val="single" w:color="auto" w:sz="4" w:space="0"/>
        <w:left w:val="single" w:color="auto" w:sz="4" w:space="0"/>
        <w:bottom w:val="single" w:color="auto" w:sz="4" w:space="0"/>
      </w:pBdr>
      <w:topLinePunct w:val="0"/>
      <w:adjustRightInd/>
      <w:snapToGrid/>
      <w:spacing w:before="100" w:beforeAutospacing="1" w:after="100" w:afterAutospacing="1" w:line="240" w:lineRule="auto"/>
      <w:ind w:firstLine="0" w:firstLineChars="0"/>
      <w:jc w:val="center"/>
    </w:pPr>
    <w:rPr>
      <w:rFonts w:ascii="宋体" w:hAnsi="宋体" w:cs="宋体"/>
      <w:b/>
      <w:bCs/>
      <w:sz w:val="20"/>
      <w:szCs w:val="20"/>
    </w:rPr>
  </w:style>
  <w:style w:type="paragraph" w:customStyle="1" w:styleId="157">
    <w:name w:val="xl90"/>
    <w:basedOn w:val="1"/>
    <w:qFormat/>
    <w:uiPriority w:val="0"/>
    <w:pPr>
      <w:widowControl/>
      <w:pBdr>
        <w:top w:val="single" w:color="auto" w:sz="4" w:space="0"/>
        <w:left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b/>
      <w:bCs/>
      <w:sz w:val="20"/>
      <w:szCs w:val="20"/>
    </w:rPr>
  </w:style>
  <w:style w:type="paragraph" w:customStyle="1" w:styleId="158">
    <w:name w:val="xl91"/>
    <w:basedOn w:val="1"/>
    <w:qFormat/>
    <w:uiPriority w:val="0"/>
    <w:pPr>
      <w:widowControl/>
      <w:pBdr>
        <w:top w:val="single" w:color="auto" w:sz="4" w:space="0"/>
        <w:left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b/>
      <w:bCs/>
      <w:sz w:val="20"/>
      <w:szCs w:val="20"/>
    </w:rPr>
  </w:style>
  <w:style w:type="paragraph" w:customStyle="1" w:styleId="159">
    <w:name w:val="xl92"/>
    <w:basedOn w:val="1"/>
    <w:qFormat/>
    <w:uiPriority w:val="0"/>
    <w:pPr>
      <w:widowControl/>
      <w:pBdr>
        <w:top w:val="single" w:color="auto" w:sz="4" w:space="0"/>
        <w:left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b/>
      <w:bCs/>
      <w:sz w:val="20"/>
      <w:szCs w:val="20"/>
    </w:rPr>
  </w:style>
  <w:style w:type="paragraph" w:customStyle="1" w:styleId="160">
    <w:name w:val="xl93"/>
    <w:basedOn w:val="1"/>
    <w:uiPriority w:val="0"/>
    <w:pPr>
      <w:widowControl/>
      <w:pBdr>
        <w:left w:val="single" w:color="auto" w:sz="4" w:space="0"/>
        <w:bottom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rFonts w:ascii="宋体" w:hAnsi="宋体" w:cs="宋体"/>
      <w:b/>
      <w:bCs/>
      <w:sz w:val="20"/>
      <w:szCs w:val="20"/>
    </w:rPr>
  </w:style>
  <w:style w:type="paragraph" w:customStyle="1" w:styleId="161">
    <w:name w:val="xl94"/>
    <w:basedOn w:val="1"/>
    <w:qFormat/>
    <w:uiPriority w:val="0"/>
    <w:pPr>
      <w:widowControl/>
      <w:pBdr>
        <w:left w:val="single" w:color="auto" w:sz="4" w:space="0"/>
        <w:bottom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b/>
      <w:bCs/>
      <w:sz w:val="20"/>
      <w:szCs w:val="20"/>
    </w:rPr>
  </w:style>
  <w:style w:type="paragraph" w:customStyle="1" w:styleId="162">
    <w:name w:val="xl95"/>
    <w:basedOn w:val="1"/>
    <w:qFormat/>
    <w:uiPriority w:val="0"/>
    <w:pPr>
      <w:widowControl/>
      <w:pBdr>
        <w:left w:val="single" w:color="auto" w:sz="4" w:space="0"/>
        <w:bottom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b/>
      <w:bCs/>
      <w:sz w:val="20"/>
      <w:szCs w:val="20"/>
    </w:rPr>
  </w:style>
  <w:style w:type="paragraph" w:customStyle="1" w:styleId="163">
    <w:name w:val="xl96"/>
    <w:basedOn w:val="1"/>
    <w:qFormat/>
    <w:uiPriority w:val="0"/>
    <w:pPr>
      <w:widowControl/>
      <w:pBdr>
        <w:left w:val="single" w:color="auto" w:sz="4" w:space="0"/>
        <w:bottom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b/>
      <w:bCs/>
      <w:sz w:val="20"/>
      <w:szCs w:val="20"/>
    </w:rPr>
  </w:style>
  <w:style w:type="paragraph" w:customStyle="1" w:styleId="164">
    <w:name w:val="xl97"/>
    <w:basedOn w:val="1"/>
    <w:qFormat/>
    <w:uiPriority w:val="0"/>
    <w:pPr>
      <w:widowControl/>
      <w:pBdr>
        <w:top w:val="single" w:color="auto" w:sz="4" w:space="0"/>
        <w:left w:val="single" w:color="auto" w:sz="4" w:space="0"/>
        <w:bottom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rFonts w:ascii="宋体" w:hAnsi="宋体" w:cs="宋体"/>
      <w:color w:val="000000"/>
      <w:sz w:val="20"/>
      <w:szCs w:val="20"/>
    </w:rPr>
  </w:style>
  <w:style w:type="paragraph" w:customStyle="1" w:styleId="165">
    <w:name w:val="xl98"/>
    <w:basedOn w:val="1"/>
    <w:qFormat/>
    <w:uiPriority w:val="0"/>
    <w:pPr>
      <w:widowControl/>
      <w:pBdr>
        <w:top w:val="single" w:color="auto" w:sz="4" w:space="0"/>
        <w:left w:val="single" w:color="auto" w:sz="4" w:space="0"/>
        <w:bottom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color w:val="000000"/>
      <w:sz w:val="18"/>
      <w:szCs w:val="18"/>
    </w:rPr>
  </w:style>
  <w:style w:type="paragraph" w:customStyle="1" w:styleId="166">
    <w:name w:val="xl99"/>
    <w:basedOn w:val="1"/>
    <w:qFormat/>
    <w:uiPriority w:val="0"/>
    <w:pPr>
      <w:widowControl/>
      <w:pBdr>
        <w:top w:val="single" w:color="auto" w:sz="4" w:space="0"/>
        <w:left w:val="single" w:color="auto" w:sz="4" w:space="0"/>
      </w:pBdr>
      <w:topLinePunct w:val="0"/>
      <w:adjustRightInd/>
      <w:snapToGrid/>
      <w:spacing w:before="100" w:beforeAutospacing="1" w:after="100" w:afterAutospacing="1" w:line="240" w:lineRule="auto"/>
      <w:ind w:firstLine="0" w:firstLineChars="0"/>
      <w:jc w:val="center"/>
    </w:pPr>
    <w:rPr>
      <w:rFonts w:ascii="宋体" w:hAnsi="宋体" w:cs="宋体"/>
      <w:b/>
      <w:bCs/>
      <w:sz w:val="20"/>
      <w:szCs w:val="20"/>
    </w:rPr>
  </w:style>
  <w:style w:type="paragraph" w:customStyle="1" w:styleId="167">
    <w:name w:val="xl100"/>
    <w:basedOn w:val="1"/>
    <w:qFormat/>
    <w:uiPriority w:val="0"/>
    <w:pPr>
      <w:widowControl/>
      <w:pBdr>
        <w:top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b/>
      <w:bCs/>
      <w:sz w:val="20"/>
      <w:szCs w:val="20"/>
    </w:rPr>
  </w:style>
  <w:style w:type="paragraph" w:customStyle="1" w:styleId="168">
    <w:name w:val="font12"/>
    <w:basedOn w:val="1"/>
    <w:qFormat/>
    <w:uiPriority w:val="0"/>
    <w:pPr>
      <w:widowControl/>
      <w:topLinePunct w:val="0"/>
      <w:adjustRightInd/>
      <w:snapToGrid/>
      <w:spacing w:before="100" w:beforeAutospacing="1" w:after="100" w:afterAutospacing="1" w:line="240" w:lineRule="auto"/>
      <w:ind w:firstLine="0" w:firstLineChars="0"/>
      <w:jc w:val="left"/>
    </w:pPr>
    <w:rPr>
      <w:rFonts w:ascii="宋体" w:hAnsi="宋体" w:cs="宋体"/>
      <w:color w:val="000000"/>
      <w:sz w:val="20"/>
      <w:szCs w:val="20"/>
    </w:rPr>
  </w:style>
  <w:style w:type="paragraph" w:customStyle="1" w:styleId="169">
    <w:name w:val="font13"/>
    <w:basedOn w:val="1"/>
    <w:uiPriority w:val="0"/>
    <w:pPr>
      <w:widowControl/>
      <w:topLinePunct w:val="0"/>
      <w:adjustRightInd/>
      <w:snapToGrid/>
      <w:spacing w:before="100" w:beforeAutospacing="1" w:after="100" w:afterAutospacing="1" w:line="240" w:lineRule="auto"/>
      <w:ind w:firstLine="0" w:firstLineChars="0"/>
      <w:jc w:val="left"/>
    </w:pPr>
    <w:rPr>
      <w:rFonts w:ascii="宋体" w:hAnsi="宋体" w:cs="宋体"/>
      <w:b/>
      <w:bCs/>
      <w:color w:val="000000"/>
      <w:sz w:val="20"/>
      <w:szCs w:val="20"/>
    </w:rPr>
  </w:style>
  <w:style w:type="paragraph" w:customStyle="1" w:styleId="170">
    <w:name w:val="xl64"/>
    <w:basedOn w:val="1"/>
    <w:qFormat/>
    <w:uiPriority w:val="0"/>
    <w:pPr>
      <w:widowControl/>
      <w:pBdr>
        <w:top w:val="single" w:color="auto" w:sz="4" w:space="0"/>
        <w:left w:val="single" w:color="auto" w:sz="4" w:space="0"/>
        <w:bottom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sz w:val="20"/>
      <w:szCs w:val="20"/>
    </w:rPr>
  </w:style>
  <w:style w:type="paragraph" w:customStyle="1" w:styleId="171">
    <w:name w:val="xl63"/>
    <w:basedOn w:val="1"/>
    <w:qFormat/>
    <w:uiPriority w:val="0"/>
    <w:pPr>
      <w:widowControl/>
      <w:topLinePunct w:val="0"/>
      <w:adjustRightInd/>
      <w:snapToGrid/>
      <w:spacing w:before="100" w:beforeAutospacing="1" w:after="100" w:afterAutospacing="1" w:line="240" w:lineRule="auto"/>
      <w:ind w:firstLine="0" w:firstLineChars="0"/>
      <w:jc w:val="left"/>
    </w:pPr>
    <w:rPr>
      <w:b/>
      <w:bCs/>
      <w:sz w:val="20"/>
      <w:szCs w:val="20"/>
    </w:rPr>
  </w:style>
  <w:style w:type="paragraph" w:customStyle="1" w:styleId="172">
    <w:name w:val="xl101"/>
    <w:basedOn w:val="1"/>
    <w:uiPriority w:val="0"/>
    <w:pPr>
      <w:widowControl/>
      <w:pBdr>
        <w:top w:val="single" w:color="auto" w:sz="4" w:space="0"/>
        <w:left w:val="single" w:color="auto" w:sz="4" w:space="0"/>
        <w:bottom w:val="single" w:color="auto" w:sz="4" w:space="0"/>
        <w:right w:val="single" w:color="auto" w:sz="4" w:space="0"/>
      </w:pBdr>
      <w:topLinePunct w:val="0"/>
      <w:adjustRightInd/>
      <w:snapToGrid/>
      <w:spacing w:before="100" w:beforeAutospacing="1" w:after="100" w:afterAutospacing="1" w:line="240" w:lineRule="auto"/>
      <w:ind w:firstLine="0" w:firstLineChars="0"/>
      <w:jc w:val="center"/>
      <w:textAlignment w:val="bottom"/>
    </w:pPr>
    <w:rPr>
      <w:sz w:val="21"/>
      <w:szCs w:val="21"/>
    </w:rPr>
  </w:style>
  <w:style w:type="paragraph" w:customStyle="1" w:styleId="173">
    <w:name w:val="xl102"/>
    <w:basedOn w:val="1"/>
    <w:qFormat/>
    <w:uiPriority w:val="0"/>
    <w:pPr>
      <w:widowControl/>
      <w:pBdr>
        <w:top w:val="single" w:color="auto" w:sz="4" w:space="0"/>
        <w:left w:val="single" w:color="auto" w:sz="4" w:space="0"/>
        <w:bottom w:val="single" w:color="auto" w:sz="4" w:space="0"/>
        <w:right w:val="single" w:color="auto" w:sz="4" w:space="0"/>
      </w:pBdr>
      <w:topLinePunct w:val="0"/>
      <w:adjustRightInd/>
      <w:snapToGrid/>
      <w:spacing w:before="100" w:beforeAutospacing="1" w:after="100" w:afterAutospacing="1" w:line="240" w:lineRule="auto"/>
      <w:ind w:firstLine="0" w:firstLineChars="0"/>
      <w:jc w:val="center"/>
      <w:textAlignment w:val="bottom"/>
    </w:pPr>
    <w:rPr>
      <w:sz w:val="21"/>
      <w:szCs w:val="21"/>
    </w:rPr>
  </w:style>
  <w:style w:type="paragraph" w:customStyle="1" w:styleId="174">
    <w:name w:val="xl103"/>
    <w:basedOn w:val="1"/>
    <w:qFormat/>
    <w:uiPriority w:val="0"/>
    <w:pPr>
      <w:widowControl/>
      <w:pBdr>
        <w:top w:val="single" w:color="auto" w:sz="4" w:space="0"/>
        <w:left w:val="single" w:color="auto" w:sz="4" w:space="0"/>
      </w:pBdr>
      <w:topLinePunct w:val="0"/>
      <w:adjustRightInd/>
      <w:snapToGrid/>
      <w:spacing w:before="100" w:beforeAutospacing="1" w:after="100" w:afterAutospacing="1" w:line="240" w:lineRule="auto"/>
      <w:ind w:firstLine="0" w:firstLineChars="0"/>
      <w:jc w:val="center"/>
    </w:pPr>
    <w:rPr>
      <w:rFonts w:ascii="宋体" w:hAnsi="宋体" w:cs="宋体"/>
      <w:b/>
      <w:bCs/>
      <w:sz w:val="20"/>
      <w:szCs w:val="20"/>
    </w:rPr>
  </w:style>
  <w:style w:type="paragraph" w:customStyle="1" w:styleId="175">
    <w:name w:val="xl104"/>
    <w:basedOn w:val="1"/>
    <w:uiPriority w:val="0"/>
    <w:pPr>
      <w:widowControl/>
      <w:pBdr>
        <w:top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b/>
      <w:bCs/>
      <w:sz w:val="20"/>
      <w:szCs w:val="20"/>
    </w:rPr>
  </w:style>
  <w:style w:type="paragraph" w:customStyle="1" w:styleId="176">
    <w:name w:val="方案正文"/>
    <w:basedOn w:val="1"/>
    <w:link w:val="177"/>
    <w:qFormat/>
    <w:uiPriority w:val="0"/>
    <w:pPr>
      <w:topLinePunct w:val="0"/>
      <w:adjustRightInd/>
      <w:snapToGrid/>
      <w:ind w:firstLine="480"/>
    </w:pPr>
    <w:rPr>
      <w:rFonts w:cs="宋体"/>
      <w:color w:val="000000"/>
      <w:kern w:val="2"/>
    </w:rPr>
  </w:style>
  <w:style w:type="character" w:customStyle="1" w:styleId="177">
    <w:name w:val="方案正文 Char"/>
    <w:link w:val="176"/>
    <w:qFormat/>
    <w:uiPriority w:val="0"/>
    <w:rPr>
      <w:rFonts w:ascii="Times New Roman" w:hAnsi="Times New Roman" w:cs="宋体"/>
      <w:color w:val="000000"/>
      <w:kern w:val="2"/>
      <w:sz w:val="24"/>
      <w:szCs w:val="24"/>
    </w:rPr>
  </w:style>
  <w:style w:type="paragraph" w:customStyle="1" w:styleId="178">
    <w:name w:val="表内容"/>
    <w:basedOn w:val="1"/>
    <w:qFormat/>
    <w:uiPriority w:val="0"/>
    <w:pPr>
      <w:topLinePunct w:val="0"/>
      <w:snapToGrid/>
      <w:spacing w:line="320" w:lineRule="exact"/>
      <w:ind w:firstLine="0" w:firstLineChars="0"/>
      <w:jc w:val="center"/>
    </w:pPr>
  </w:style>
  <w:style w:type="paragraph" w:customStyle="1" w:styleId="179">
    <w:name w:val="（1）标题样式"/>
    <w:basedOn w:val="1"/>
    <w:next w:val="1"/>
    <w:link w:val="180"/>
    <w:qFormat/>
    <w:uiPriority w:val="0"/>
    <w:pPr>
      <w:widowControl/>
      <w:topLinePunct w:val="0"/>
      <w:ind w:left="782" w:hanging="357" w:firstLineChars="0"/>
    </w:pPr>
    <w:rPr>
      <w:color w:val="000000" w:themeColor="text1"/>
    </w:rPr>
  </w:style>
  <w:style w:type="character" w:customStyle="1" w:styleId="180">
    <w:name w:val="（1）标题样式 Char"/>
    <w:basedOn w:val="42"/>
    <w:link w:val="179"/>
    <w:qFormat/>
    <w:uiPriority w:val="0"/>
    <w:rPr>
      <w:rFonts w:ascii="Times New Roman" w:hAnsi="Times New Roman" w:cs="Times New Roman"/>
      <w:color w:val="000000" w:themeColor="text1"/>
      <w:sz w:val="24"/>
      <w:szCs w:val="24"/>
    </w:rPr>
  </w:style>
  <w:style w:type="paragraph" w:customStyle="1" w:styleId="181">
    <w:name w:val="扉页"/>
    <w:basedOn w:val="1"/>
    <w:next w:val="1"/>
    <w:qFormat/>
    <w:uiPriority w:val="99"/>
    <w:pPr>
      <w:widowControl/>
      <w:tabs>
        <w:tab w:val="left" w:pos="420"/>
      </w:tabs>
      <w:topLinePunct w:val="0"/>
      <w:adjustRightInd/>
      <w:snapToGrid/>
      <w:spacing w:line="240" w:lineRule="auto"/>
      <w:ind w:firstLine="0" w:firstLineChars="0"/>
    </w:pPr>
    <w:rPr>
      <w:rFonts w:eastAsia="黑体"/>
      <w:kern w:val="2"/>
      <w:sz w:val="28"/>
      <w:szCs w:val="28"/>
    </w:rPr>
  </w:style>
  <w:style w:type="paragraph" w:customStyle="1" w:styleId="182">
    <w:name w:val="xl105"/>
    <w:basedOn w:val="1"/>
    <w:qFormat/>
    <w:uiPriority w:val="0"/>
    <w:pPr>
      <w:widowControl/>
      <w:pBdr>
        <w:top w:val="single" w:color="auto" w:sz="4" w:space="0"/>
        <w:bottom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sz w:val="20"/>
      <w:szCs w:val="20"/>
    </w:rPr>
  </w:style>
  <w:style w:type="paragraph" w:customStyle="1" w:styleId="183">
    <w:name w:val="xl106"/>
    <w:basedOn w:val="1"/>
    <w:qFormat/>
    <w:uiPriority w:val="0"/>
    <w:pPr>
      <w:widowControl/>
      <w:pBdr>
        <w:top w:val="single" w:color="auto" w:sz="4" w:space="0"/>
        <w:left w:val="single" w:color="auto" w:sz="4" w:space="0"/>
      </w:pBdr>
      <w:topLinePunct w:val="0"/>
      <w:adjustRightInd/>
      <w:snapToGrid/>
      <w:spacing w:before="100" w:beforeAutospacing="1" w:after="100" w:afterAutospacing="1" w:line="240" w:lineRule="auto"/>
      <w:ind w:firstLine="0" w:firstLineChars="0"/>
      <w:jc w:val="center"/>
    </w:pPr>
    <w:rPr>
      <w:rFonts w:ascii="宋体" w:hAnsi="宋体" w:cs="宋体"/>
      <w:b/>
      <w:bCs/>
      <w:sz w:val="20"/>
      <w:szCs w:val="20"/>
    </w:rPr>
  </w:style>
  <w:style w:type="paragraph" w:customStyle="1" w:styleId="184">
    <w:name w:val="xl107"/>
    <w:basedOn w:val="1"/>
    <w:uiPriority w:val="0"/>
    <w:pPr>
      <w:widowControl/>
      <w:pBdr>
        <w:top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b/>
      <w:bCs/>
      <w:sz w:val="20"/>
      <w:szCs w:val="20"/>
    </w:rPr>
  </w:style>
  <w:style w:type="paragraph" w:customStyle="1" w:styleId="185">
    <w:name w:val="xl108"/>
    <w:basedOn w:val="1"/>
    <w:qFormat/>
    <w:uiPriority w:val="0"/>
    <w:pPr>
      <w:widowControl/>
      <w:pBdr>
        <w:top w:val="single" w:color="auto" w:sz="4" w:space="0"/>
        <w:left w:val="single" w:color="auto" w:sz="4" w:space="0"/>
      </w:pBdr>
      <w:topLinePunct w:val="0"/>
      <w:adjustRightInd/>
      <w:snapToGrid/>
      <w:spacing w:before="100" w:beforeAutospacing="1" w:after="100" w:afterAutospacing="1" w:line="240" w:lineRule="auto"/>
      <w:ind w:firstLine="0" w:firstLineChars="0"/>
      <w:jc w:val="center"/>
    </w:pPr>
    <w:rPr>
      <w:rFonts w:ascii="宋体" w:hAnsi="宋体" w:eastAsia="宋体" w:cs="宋体"/>
      <w:b/>
      <w:bCs/>
      <w:sz w:val="20"/>
      <w:szCs w:val="20"/>
    </w:rPr>
  </w:style>
  <w:style w:type="paragraph" w:customStyle="1" w:styleId="186">
    <w:name w:val="xl109"/>
    <w:basedOn w:val="1"/>
    <w:qFormat/>
    <w:uiPriority w:val="0"/>
    <w:pPr>
      <w:widowControl/>
      <w:pBdr>
        <w:top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rFonts w:eastAsia="宋体"/>
      <w:b/>
      <w:bCs/>
      <w:sz w:val="20"/>
      <w:szCs w:val="20"/>
    </w:rPr>
  </w:style>
  <w:style w:type="character" w:customStyle="1" w:styleId="187">
    <w:name w:val="页眉 Char"/>
    <w:link w:val="27"/>
    <w:qFormat/>
    <w:uiPriority w:val="0"/>
    <w:rPr>
      <w:rFonts w:ascii="Times New Roman" w:hAnsi="Times New Roman" w:eastAsia="仿宋" w:cs="Times New Roman"/>
      <w:sz w:val="18"/>
      <w:szCs w:val="18"/>
    </w:rPr>
  </w:style>
  <w:style w:type="paragraph" w:customStyle="1" w:styleId="188">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89">
    <w:name w:val="正文001"/>
    <w:basedOn w:val="1"/>
    <w:qFormat/>
    <w:uiPriority w:val="0"/>
    <w:pPr>
      <w:topLinePunct w:val="0"/>
      <w:adjustRightInd/>
      <w:snapToGrid/>
      <w:spacing w:before="60" w:line="420" w:lineRule="exact"/>
      <w:ind w:firstLine="482" w:firstLineChars="0"/>
    </w:pPr>
    <w:rPr>
      <w:rFonts w:eastAsia="仿宋_GB2312"/>
      <w:kern w:val="2"/>
      <w:szCs w:val="20"/>
    </w:rPr>
  </w:style>
  <w:style w:type="character" w:customStyle="1" w:styleId="190">
    <w:name w:val="页脚 Char"/>
    <w:basedOn w:val="42"/>
    <w:link w:val="26"/>
    <w:uiPriority w:val="99"/>
    <w:rPr>
      <w:rFonts w:ascii="Times New Roman" w:hAnsi="Times New Roman" w:eastAsia="仿宋" w:cs="Times New Roman"/>
      <w:sz w:val="18"/>
      <w:szCs w:val="18"/>
    </w:rPr>
  </w:style>
  <w:style w:type="paragraph" w:customStyle="1" w:styleId="191">
    <w:name w:val="表格五号修"/>
    <w:basedOn w:val="1"/>
    <w:qFormat/>
    <w:uiPriority w:val="0"/>
    <w:pPr>
      <w:topLinePunct w:val="0"/>
      <w:adjustRightInd/>
      <w:snapToGrid/>
      <w:spacing w:line="360" w:lineRule="exact"/>
      <w:ind w:firstLine="0" w:firstLineChars="0"/>
    </w:pPr>
    <w:rPr>
      <w:rFonts w:eastAsia="宋体"/>
      <w:color w:val="000000"/>
      <w:kern w:val="2"/>
    </w:rPr>
  </w:style>
  <w:style w:type="paragraph" w:customStyle="1" w:styleId="192">
    <w:name w:val="表头"/>
    <w:basedOn w:val="1"/>
    <w:link w:val="213"/>
    <w:qFormat/>
    <w:uiPriority w:val="0"/>
    <w:pPr>
      <w:widowControl/>
      <w:topLinePunct w:val="0"/>
      <w:spacing w:line="240" w:lineRule="auto"/>
      <w:ind w:firstLine="0" w:firstLineChars="0"/>
      <w:jc w:val="center"/>
      <w:outlineLvl w:val="6"/>
    </w:pPr>
    <w:rPr>
      <w:rFonts w:eastAsia="仿宋_GB2312"/>
      <w:b/>
      <w:bCs/>
      <w:szCs w:val="21"/>
    </w:rPr>
  </w:style>
  <w:style w:type="paragraph" w:customStyle="1" w:styleId="193">
    <w:name w:val="表格内容2"/>
    <w:basedOn w:val="1"/>
    <w:qFormat/>
    <w:uiPriority w:val="0"/>
    <w:pPr>
      <w:topLinePunct w:val="0"/>
      <w:autoSpaceDE w:val="0"/>
      <w:autoSpaceDN w:val="0"/>
      <w:snapToGrid/>
      <w:spacing w:line="240" w:lineRule="auto"/>
      <w:ind w:firstLine="0" w:firstLineChars="0"/>
      <w:jc w:val="center"/>
    </w:pPr>
    <w:rPr>
      <w:rFonts w:eastAsia="仿宋_GB2312"/>
      <w:spacing w:val="-2"/>
      <w:sz w:val="21"/>
      <w:szCs w:val="21"/>
    </w:rPr>
  </w:style>
  <w:style w:type="character" w:customStyle="1" w:styleId="194">
    <w:name w:val="正文缩进 字符"/>
    <w:qFormat/>
    <w:uiPriority w:val="0"/>
    <w:rPr>
      <w:rFonts w:eastAsia="宋体"/>
      <w:kern w:val="2"/>
      <w:sz w:val="21"/>
      <w:szCs w:val="24"/>
      <w:lang w:val="en-US" w:eastAsia="zh-CN" w:bidi="ar-SA"/>
    </w:rPr>
  </w:style>
  <w:style w:type="character" w:customStyle="1" w:styleId="195">
    <w:name w:val="样式1 Char Char"/>
    <w:link w:val="196"/>
    <w:qFormat/>
    <w:uiPriority w:val="0"/>
    <w:rPr>
      <w:rFonts w:ascii="黑体" w:eastAsia="黑体"/>
      <w:color w:val="000000"/>
      <w:kern w:val="2"/>
      <w:sz w:val="24"/>
      <w:szCs w:val="24"/>
    </w:rPr>
  </w:style>
  <w:style w:type="paragraph" w:customStyle="1" w:styleId="196">
    <w:name w:val="样式1"/>
    <w:basedOn w:val="1"/>
    <w:link w:val="195"/>
    <w:qFormat/>
    <w:uiPriority w:val="0"/>
    <w:pPr>
      <w:topLinePunct w:val="0"/>
      <w:adjustRightInd/>
      <w:snapToGrid/>
      <w:ind w:firstLine="480"/>
    </w:pPr>
    <w:rPr>
      <w:rFonts w:ascii="黑体" w:hAnsi="Calibri" w:eastAsia="黑体" w:cs="Calibri"/>
      <w:color w:val="000000"/>
      <w:kern w:val="2"/>
    </w:rPr>
  </w:style>
  <w:style w:type="paragraph" w:customStyle="1" w:styleId="197">
    <w:name w:val="样式 普通文字 + (符号) 宋体 小四"/>
    <w:basedOn w:val="22"/>
    <w:qFormat/>
    <w:uiPriority w:val="0"/>
    <w:pPr>
      <w:topLinePunct w:val="0"/>
      <w:adjustRightInd/>
      <w:snapToGrid/>
    </w:pPr>
    <w:rPr>
      <w:rFonts w:eastAsia="宋体" w:cs="Times New Roman"/>
      <w:sz w:val="24"/>
      <w:szCs w:val="20"/>
    </w:rPr>
  </w:style>
  <w:style w:type="character" w:customStyle="1" w:styleId="198">
    <w:name w:val="Char Char5"/>
    <w:qFormat/>
    <w:locked/>
    <w:uiPriority w:val="0"/>
    <w:rPr>
      <w:rFonts w:ascii="Arial" w:hAnsi="Arial" w:eastAsia="宋体"/>
      <w:b/>
      <w:bCs/>
      <w:sz w:val="24"/>
      <w:szCs w:val="24"/>
      <w:lang w:val="en-US" w:eastAsia="zh-CN" w:bidi="ar-SA"/>
    </w:rPr>
  </w:style>
  <w:style w:type="character" w:customStyle="1" w:styleId="199">
    <w:name w:val="纯文本 字符"/>
    <w:uiPriority w:val="0"/>
    <w:rPr>
      <w:rFonts w:ascii="宋体" w:hAnsi="ISOCT" w:eastAsia="宋体"/>
      <w:kern w:val="2"/>
      <w:sz w:val="21"/>
      <w:szCs w:val="21"/>
      <w:lang w:val="en-US" w:eastAsia="zh-CN" w:bidi="ar-SA"/>
    </w:rPr>
  </w:style>
  <w:style w:type="character" w:customStyle="1" w:styleId="200">
    <w:name w:val="正文文本缩进 3 Char"/>
    <w:basedOn w:val="42"/>
    <w:link w:val="33"/>
    <w:qFormat/>
    <w:uiPriority w:val="0"/>
    <w:rPr>
      <w:rFonts w:ascii="Times New Roman" w:hAnsi="Times New Roman" w:eastAsia="仿宋" w:cs="Times New Roman"/>
      <w:sz w:val="16"/>
      <w:szCs w:val="16"/>
    </w:rPr>
  </w:style>
  <w:style w:type="character" w:customStyle="1" w:styleId="201">
    <w:name w:val="正文 宋体 小四 Char"/>
    <w:link w:val="202"/>
    <w:qFormat/>
    <w:uiPriority w:val="0"/>
    <w:rPr>
      <w:rFonts w:ascii="宋体" w:hAnsi="宋体"/>
      <w:kern w:val="2"/>
      <w:sz w:val="24"/>
    </w:rPr>
  </w:style>
  <w:style w:type="paragraph" w:customStyle="1" w:styleId="202">
    <w:name w:val="正文 宋体 小四"/>
    <w:basedOn w:val="1"/>
    <w:link w:val="201"/>
    <w:qFormat/>
    <w:uiPriority w:val="0"/>
    <w:pPr>
      <w:topLinePunct w:val="0"/>
      <w:adjustRightInd/>
      <w:snapToGrid/>
      <w:ind w:firstLine="480" w:firstLineChars="0"/>
    </w:pPr>
    <w:rPr>
      <w:rFonts w:ascii="宋体" w:hAnsi="宋体" w:eastAsia="宋体" w:cs="Calibri"/>
      <w:kern w:val="2"/>
      <w:szCs w:val="20"/>
    </w:rPr>
  </w:style>
  <w:style w:type="paragraph" w:customStyle="1" w:styleId="203">
    <w:name w:val="TOC 标题1"/>
    <w:basedOn w:val="2"/>
    <w:next w:val="1"/>
    <w:semiHidden/>
    <w:unhideWhenUsed/>
    <w:qFormat/>
    <w:uiPriority w:val="39"/>
    <w:pPr>
      <w:pageBreakBefore w:val="0"/>
      <w:widowControl/>
      <w:tabs>
        <w:tab w:val="clear" w:pos="432"/>
      </w:tabs>
      <w:topLinePunct w:val="0"/>
      <w:adjustRightInd/>
      <w:snapToGrid/>
      <w:spacing w:before="480" w:line="276" w:lineRule="auto"/>
      <w:outlineLvl w:val="9"/>
    </w:pPr>
    <w:rPr>
      <w:rFonts w:asciiTheme="majorHAnsi" w:hAnsiTheme="majorHAnsi" w:eastAsiaTheme="majorEastAsia" w:cstheme="majorBidi"/>
      <w:color w:val="366091" w:themeColor="accent1" w:themeShade="BF"/>
      <w:sz w:val="28"/>
      <w:szCs w:val="28"/>
    </w:rPr>
  </w:style>
  <w:style w:type="character" w:customStyle="1" w:styleId="204">
    <w:name w:val="Char Char30"/>
    <w:qFormat/>
    <w:uiPriority w:val="0"/>
    <w:rPr>
      <w:b/>
      <w:bCs/>
      <w:sz w:val="24"/>
      <w:szCs w:val="24"/>
      <w:lang w:val="zh-CN"/>
    </w:rPr>
  </w:style>
  <w:style w:type="paragraph" w:customStyle="1" w:styleId="205">
    <w:name w:val="正文宋体"/>
    <w:basedOn w:val="1"/>
    <w:uiPriority w:val="0"/>
    <w:pPr>
      <w:widowControl/>
      <w:topLinePunct w:val="0"/>
      <w:adjustRightInd/>
      <w:snapToGrid/>
      <w:spacing w:line="300" w:lineRule="auto"/>
      <w:ind w:firstLine="0" w:firstLineChars="0"/>
      <w:jc w:val="left"/>
    </w:pPr>
    <w:rPr>
      <w:rFonts w:ascii="宋体" w:hAnsi="宋体" w:eastAsia="宋体" w:cs="宋体"/>
      <w:sz w:val="28"/>
      <w:szCs w:val="20"/>
    </w:rPr>
  </w:style>
  <w:style w:type="paragraph" w:customStyle="1" w:styleId="206">
    <w:name w:val="标题4   改 Char Char Char"/>
    <w:basedOn w:val="1"/>
    <w:semiHidden/>
    <w:qFormat/>
    <w:uiPriority w:val="0"/>
    <w:pPr>
      <w:topLinePunct w:val="0"/>
      <w:adjustRightInd/>
      <w:spacing w:line="240" w:lineRule="atLeast"/>
      <w:ind w:firstLine="0" w:firstLineChars="0"/>
      <w:jc w:val="center"/>
    </w:pPr>
    <w:rPr>
      <w:rFonts w:eastAsia="宋体"/>
      <w:color w:val="000000"/>
      <w:kern w:val="2"/>
      <w:sz w:val="21"/>
      <w:szCs w:val="21"/>
    </w:rPr>
  </w:style>
  <w:style w:type="paragraph" w:customStyle="1" w:styleId="207">
    <w:name w:val="p0"/>
    <w:basedOn w:val="1"/>
    <w:qFormat/>
    <w:uiPriority w:val="0"/>
    <w:pPr>
      <w:widowControl/>
      <w:topLinePunct w:val="0"/>
      <w:adjustRightInd/>
      <w:snapToGrid/>
      <w:spacing w:line="240" w:lineRule="auto"/>
      <w:ind w:firstLine="0" w:firstLineChars="0"/>
    </w:pPr>
    <w:rPr>
      <w:rFonts w:eastAsia="宋体"/>
      <w:sz w:val="21"/>
      <w:szCs w:val="21"/>
    </w:rPr>
  </w:style>
  <w:style w:type="character" w:customStyle="1" w:styleId="208">
    <w:name w:val="style131"/>
    <w:uiPriority w:val="0"/>
    <w:rPr>
      <w:rFonts w:eastAsia="宋体"/>
      <w:color w:val="FF0000"/>
      <w:kern w:val="2"/>
      <w:sz w:val="21"/>
      <w:szCs w:val="21"/>
      <w:lang w:val="en-US" w:eastAsia="zh-CN" w:bidi="ar-SA"/>
    </w:rPr>
  </w:style>
  <w:style w:type="character" w:customStyle="1" w:styleId="209">
    <w:name w:val="1文本正文 Char"/>
    <w:link w:val="210"/>
    <w:qFormat/>
    <w:uiPriority w:val="0"/>
    <w:rPr>
      <w:color w:val="000000"/>
      <w:kern w:val="2"/>
      <w:sz w:val="24"/>
      <w:szCs w:val="24"/>
    </w:rPr>
  </w:style>
  <w:style w:type="paragraph" w:customStyle="1" w:styleId="210">
    <w:name w:val="1文本正文"/>
    <w:basedOn w:val="1"/>
    <w:link w:val="209"/>
    <w:qFormat/>
    <w:uiPriority w:val="0"/>
    <w:pPr>
      <w:topLinePunct w:val="0"/>
      <w:adjustRightInd/>
      <w:snapToGrid/>
      <w:spacing w:line="427" w:lineRule="exact"/>
    </w:pPr>
    <w:rPr>
      <w:rFonts w:ascii="Calibri" w:hAnsi="Calibri" w:eastAsia="宋体" w:cs="Calibri"/>
      <w:color w:val="000000"/>
      <w:kern w:val="2"/>
    </w:rPr>
  </w:style>
  <w:style w:type="character" w:customStyle="1" w:styleId="211">
    <w:name w:val="页眉 字符"/>
    <w:semiHidden/>
    <w:locked/>
    <w:uiPriority w:val="0"/>
    <w:rPr>
      <w:rFonts w:eastAsia="宋体"/>
      <w:color w:val="000000"/>
      <w:kern w:val="2"/>
      <w:sz w:val="18"/>
      <w:szCs w:val="18"/>
      <w:lang w:val="en-US" w:eastAsia="zh-CN" w:bidi="ar-SA"/>
    </w:rPr>
  </w:style>
  <w:style w:type="character" w:customStyle="1" w:styleId="212">
    <w:name w:val="样式1 Char"/>
    <w:qFormat/>
    <w:uiPriority w:val="0"/>
    <w:rPr>
      <w:rFonts w:ascii="宋体" w:hAnsi="宋体" w:eastAsia="宋体"/>
      <w:snapToGrid w:val="0"/>
      <w:color w:val="000000"/>
      <w:sz w:val="24"/>
      <w:szCs w:val="24"/>
      <w:lang w:val="en-US" w:eastAsia="zh-CN" w:bidi="ar-SA"/>
    </w:rPr>
  </w:style>
  <w:style w:type="character" w:customStyle="1" w:styleId="213">
    <w:name w:val="表头 Char2"/>
    <w:link w:val="192"/>
    <w:qFormat/>
    <w:uiPriority w:val="0"/>
    <w:rPr>
      <w:rFonts w:ascii="Times New Roman" w:hAnsi="Times New Roman" w:eastAsia="仿宋_GB2312" w:cs="Times New Roman"/>
      <w:b/>
      <w:bCs/>
      <w:sz w:val="24"/>
      <w:szCs w:val="21"/>
    </w:rPr>
  </w:style>
  <w:style w:type="paragraph" w:customStyle="1" w:styleId="214">
    <w:name w:val="表中"/>
    <w:basedOn w:val="13"/>
    <w:uiPriority w:val="0"/>
    <w:pPr>
      <w:tabs>
        <w:tab w:val="left" w:pos="567"/>
      </w:tabs>
      <w:adjustRightInd w:val="0"/>
      <w:snapToGrid w:val="0"/>
      <w:spacing w:line="240" w:lineRule="atLeast"/>
      <w:ind w:right="-57" w:firstLine="0" w:firstLineChars="0"/>
      <w:jc w:val="center"/>
      <w:textAlignment w:val="top"/>
    </w:pPr>
    <w:rPr>
      <w:rFonts w:eastAsia="宋体"/>
      <w:snapToGrid w:val="0"/>
      <w:color w:val="000000"/>
      <w:kern w:val="0"/>
      <w:sz w:val="21"/>
      <w:szCs w:val="21"/>
    </w:rPr>
  </w:style>
  <w:style w:type="character" w:customStyle="1" w:styleId="215">
    <w:name w:val="font31"/>
    <w:basedOn w:val="42"/>
    <w:uiPriority w:val="0"/>
    <w:rPr>
      <w:rFonts w:hint="default" w:ascii="Times New Roman" w:hAnsi="Times New Roman" w:cs="Times New Roman"/>
      <w:b/>
      <w:bCs/>
      <w:color w:val="000000"/>
      <w:sz w:val="21"/>
      <w:szCs w:val="21"/>
      <w:u w:val="none"/>
    </w:rPr>
  </w:style>
  <w:style w:type="character" w:customStyle="1" w:styleId="216">
    <w:name w:val="font21"/>
    <w:basedOn w:val="42"/>
    <w:qFormat/>
    <w:uiPriority w:val="0"/>
    <w:rPr>
      <w:rFonts w:hint="default" w:ascii="Times New Roman" w:hAnsi="Times New Roman" w:cs="Times New Roman"/>
      <w:b/>
      <w:bCs/>
      <w:color w:val="000000"/>
      <w:sz w:val="21"/>
      <w:szCs w:val="21"/>
      <w:u w:val="none"/>
      <w:vertAlign w:val="superscript"/>
    </w:rPr>
  </w:style>
  <w:style w:type="character" w:customStyle="1" w:styleId="217">
    <w:name w:val="font91"/>
    <w:basedOn w:val="42"/>
    <w:uiPriority w:val="0"/>
    <w:rPr>
      <w:rFonts w:hint="eastAsia" w:ascii="宋体" w:hAnsi="宋体" w:eastAsia="宋体"/>
      <w:color w:val="000000"/>
      <w:sz w:val="22"/>
      <w:szCs w:val="22"/>
      <w:u w:val="none"/>
    </w:rPr>
  </w:style>
  <w:style w:type="character" w:customStyle="1" w:styleId="218">
    <w:name w:val="font71"/>
    <w:basedOn w:val="42"/>
    <w:qFormat/>
    <w:uiPriority w:val="0"/>
    <w:rPr>
      <w:rFonts w:hint="default" w:ascii="Times New Roman" w:hAnsi="Times New Roman" w:cs="Times New Roman"/>
      <w:color w:val="000000"/>
      <w:sz w:val="22"/>
      <w:szCs w:val="22"/>
      <w:u w:val="none"/>
    </w:rPr>
  </w:style>
  <w:style w:type="character" w:customStyle="1" w:styleId="219">
    <w:name w:val="font01"/>
    <w:basedOn w:val="42"/>
    <w:qFormat/>
    <w:uiPriority w:val="0"/>
    <w:rPr>
      <w:rFonts w:hint="eastAsia" w:ascii="宋体" w:hAnsi="宋体" w:eastAsia="宋体"/>
      <w:color w:val="000000"/>
      <w:sz w:val="22"/>
      <w:szCs w:val="22"/>
      <w:u w:val="none"/>
    </w:rPr>
  </w:style>
  <w:style w:type="character" w:customStyle="1" w:styleId="220">
    <w:name w:val="font61"/>
    <w:basedOn w:val="42"/>
    <w:uiPriority w:val="0"/>
    <w:rPr>
      <w:rFonts w:hint="eastAsia" w:ascii="仿宋_GB2312" w:eastAsia="仿宋_GB2312"/>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header" Target="header2.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4.emf"/><Relationship Id="rId45" Type="http://schemas.openxmlformats.org/officeDocument/2006/relationships/oleObject" Target="embeddings/oleObject4.bin"/><Relationship Id="rId44" Type="http://schemas.openxmlformats.org/officeDocument/2006/relationships/chart" Target="charts/chart2.xml"/><Relationship Id="rId43" Type="http://schemas.openxmlformats.org/officeDocument/2006/relationships/chart" Target="charts/chart1.xml"/><Relationship Id="rId42" Type="http://schemas.openxmlformats.org/officeDocument/2006/relationships/image" Target="media/image13.wmf"/><Relationship Id="rId41" Type="http://schemas.openxmlformats.org/officeDocument/2006/relationships/oleObject" Target="embeddings/oleObject3.bin"/><Relationship Id="rId40" Type="http://schemas.openxmlformats.org/officeDocument/2006/relationships/image" Target="media/image12.wmf"/><Relationship Id="rId4" Type="http://schemas.openxmlformats.org/officeDocument/2006/relationships/footer" Target="footer1.xml"/><Relationship Id="rId39" Type="http://schemas.openxmlformats.org/officeDocument/2006/relationships/oleObject" Target="embeddings/oleObject2.bin"/><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emf"/><Relationship Id="rId33" Type="http://schemas.openxmlformats.org/officeDocument/2006/relationships/oleObject" Target="embeddings/oleObject1.bin"/><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jpeg"/><Relationship Id="rId3" Type="http://schemas.openxmlformats.org/officeDocument/2006/relationships/header" Target="header1.xml"/><Relationship Id="rId29" Type="http://schemas.openxmlformats.org/officeDocument/2006/relationships/image" Target="media/image3.jpeg"/><Relationship Id="rId28" Type="http://schemas.openxmlformats.org/officeDocument/2006/relationships/image" Target="media/image2.jpeg"/><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header" Target="header15.xml"/><Relationship Id="rId24" Type="http://schemas.openxmlformats.org/officeDocument/2006/relationships/header" Target="header14.xml"/><Relationship Id="rId23" Type="http://schemas.openxmlformats.org/officeDocument/2006/relationships/footer" Target="footer8.xml"/><Relationship Id="rId22" Type="http://schemas.openxmlformats.org/officeDocument/2006/relationships/footer" Target="footer7.xml"/><Relationship Id="rId21" Type="http://schemas.openxmlformats.org/officeDocument/2006/relationships/header" Target="header13.xml"/><Relationship Id="rId20" Type="http://schemas.openxmlformats.org/officeDocument/2006/relationships/header" Target="header12.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21644;&#30000;&#39033;&#30446;\&#27700;&#22303;&#20445;&#25345;\&#31532;&#21313;&#22235;&#24072;224&#22242;&#22242;&#37096;&#27745;&#27700;&#31649;&#32593;&#25913;&#36896;&#39033;&#30446;\224&#22242;&#22242;&#37096;&#27745;&#27700;&#31649;&#25913;&#36896;&#24213;&#31295;-8.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21644;&#30000;&#39033;&#30446;\&#27700;&#22303;&#20445;&#25345;\&#31532;&#21313;&#22235;&#24072;224&#22242;&#22242;&#37096;&#27745;&#27700;&#31649;&#32593;&#25913;&#36896;&#39033;&#30446;\224&#22242;&#22242;&#37096;&#27745;&#27700;&#31649;&#25913;&#36896;&#24213;&#31295;-8.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面积土石方!$E$69</c:f>
              <c:strCache>
                <c:ptCount val="1"/>
                <c:pt idx="0">
                  <c:v>管道工程区</c:v>
                </c:pt>
              </c:strCache>
            </c:strRef>
          </c:tx>
          <c:invertIfNegative val="0"/>
          <c:dLbls>
            <c:delete val="1"/>
          </c:dLbls>
          <c:cat>
            <c:strRef>
              <c:f>面积土石方!$F$68:$H$68</c:f>
              <c:strCache>
                <c:ptCount val="3"/>
                <c:pt idx="0">
                  <c:v>背景流失量(t)</c:v>
                </c:pt>
                <c:pt idx="1">
                  <c:v>预测流失量(t)</c:v>
                </c:pt>
                <c:pt idx="2">
                  <c:v>新增流失量(t)</c:v>
                </c:pt>
              </c:strCache>
            </c:strRef>
          </c:cat>
          <c:val>
            <c:numRef>
              <c:f>面积土石方!$F$69:$H$69</c:f>
              <c:numCache>
                <c:formatCode>0_ </c:formatCode>
                <c:ptCount val="3"/>
                <c:pt idx="0">
                  <c:v>140.502</c:v>
                </c:pt>
                <c:pt idx="1">
                  <c:v>184.521</c:v>
                </c:pt>
                <c:pt idx="2">
                  <c:v>44.019</c:v>
                </c:pt>
              </c:numCache>
            </c:numRef>
          </c:val>
        </c:ser>
        <c:ser>
          <c:idx val="1"/>
          <c:order val="1"/>
          <c:tx>
            <c:strRef>
              <c:f>面积土石方!$E$70</c:f>
              <c:strCache>
                <c:ptCount val="1"/>
                <c:pt idx="0">
                  <c:v>附属构筑物区</c:v>
                </c:pt>
              </c:strCache>
            </c:strRef>
          </c:tx>
          <c:invertIfNegative val="0"/>
          <c:dLbls>
            <c:delete val="1"/>
          </c:dLbls>
          <c:cat>
            <c:strRef>
              <c:f>面积土石方!$F$68:$H$68</c:f>
              <c:strCache>
                <c:ptCount val="3"/>
                <c:pt idx="0">
                  <c:v>背景流失量(t)</c:v>
                </c:pt>
                <c:pt idx="1">
                  <c:v>预测流失量(t)</c:v>
                </c:pt>
                <c:pt idx="2">
                  <c:v>新增流失量(t)</c:v>
                </c:pt>
              </c:strCache>
            </c:strRef>
          </c:cat>
          <c:val>
            <c:numRef>
              <c:f>面积土石方!$F$70:$H$70</c:f>
              <c:numCache>
                <c:formatCode>0_ </c:formatCode>
                <c:ptCount val="3"/>
                <c:pt idx="0">
                  <c:v>4.704</c:v>
                </c:pt>
                <c:pt idx="1">
                  <c:v>6.342</c:v>
                </c:pt>
                <c:pt idx="2">
                  <c:v>1.638</c:v>
                </c:pt>
              </c:numCache>
            </c:numRef>
          </c:val>
        </c:ser>
        <c:dLbls>
          <c:showLegendKey val="0"/>
          <c:showVal val="0"/>
          <c:showCatName val="0"/>
          <c:showSerName val="0"/>
          <c:showPercent val="0"/>
          <c:showBubbleSize val="0"/>
        </c:dLbls>
        <c:gapWidth val="150"/>
        <c:axId val="267231616"/>
        <c:axId val="267233536"/>
      </c:barChart>
      <c:catAx>
        <c:axId val="26723161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7233536"/>
        <c:crosses val="autoZero"/>
        <c:auto val="1"/>
        <c:lblAlgn val="ctr"/>
        <c:lblOffset val="100"/>
        <c:noMultiLvlLbl val="0"/>
      </c:catAx>
      <c:valAx>
        <c:axId val="267233536"/>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7231616"/>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面积土石方!$F$75</c:f>
              <c:strCache>
                <c:ptCount val="1"/>
                <c:pt idx="0">
                  <c:v>施工期</c:v>
                </c:pt>
              </c:strCache>
            </c:strRef>
          </c:tx>
          <c:invertIfNegative val="0"/>
          <c:dLbls>
            <c:delete val="1"/>
          </c:dLbls>
          <c:cat>
            <c:strRef>
              <c:f>面积土石方!$E$76:$E$77</c:f>
              <c:strCache>
                <c:ptCount val="2"/>
                <c:pt idx="0">
                  <c:v>管道工程区</c:v>
                </c:pt>
                <c:pt idx="1">
                  <c:v>附属构筑物区</c:v>
                </c:pt>
              </c:strCache>
            </c:strRef>
          </c:cat>
          <c:val>
            <c:numRef>
              <c:f>面积土石方!$F$76:$F$77</c:f>
              <c:numCache>
                <c:formatCode>0_ </c:formatCode>
                <c:ptCount val="2"/>
                <c:pt idx="0">
                  <c:v>6.504</c:v>
                </c:pt>
                <c:pt idx="1">
                  <c:v>0.408</c:v>
                </c:pt>
              </c:numCache>
            </c:numRef>
          </c:val>
        </c:ser>
        <c:ser>
          <c:idx val="1"/>
          <c:order val="1"/>
          <c:tx>
            <c:strRef>
              <c:f>面积土石方!$G$75</c:f>
              <c:strCache>
                <c:ptCount val="1"/>
                <c:pt idx="0">
                  <c:v>自然恢复期</c:v>
                </c:pt>
              </c:strCache>
            </c:strRef>
          </c:tx>
          <c:invertIfNegative val="0"/>
          <c:dLbls>
            <c:delete val="1"/>
          </c:dLbls>
          <c:cat>
            <c:strRef>
              <c:f>面积土石方!$E$76:$E$77</c:f>
              <c:strCache>
                <c:ptCount val="2"/>
                <c:pt idx="0">
                  <c:v>管道工程区</c:v>
                </c:pt>
                <c:pt idx="1">
                  <c:v>附属构筑物区</c:v>
                </c:pt>
              </c:strCache>
            </c:strRef>
          </c:cat>
          <c:val>
            <c:numRef>
              <c:f>面积土石方!$G$76:$G$77</c:f>
              <c:numCache>
                <c:formatCode>0_ </c:formatCode>
                <c:ptCount val="2"/>
                <c:pt idx="0">
                  <c:v>37.515</c:v>
                </c:pt>
                <c:pt idx="1">
                  <c:v>1.23</c:v>
                </c:pt>
              </c:numCache>
            </c:numRef>
          </c:val>
        </c:ser>
        <c:dLbls>
          <c:showLegendKey val="0"/>
          <c:showVal val="0"/>
          <c:showCatName val="0"/>
          <c:showSerName val="0"/>
          <c:showPercent val="0"/>
          <c:showBubbleSize val="0"/>
        </c:dLbls>
        <c:gapWidth val="75"/>
        <c:axId val="165977088"/>
        <c:axId val="165978880"/>
      </c:barChart>
      <c:catAx>
        <c:axId val="165977088"/>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65978880"/>
        <c:crosses val="autoZero"/>
        <c:auto val="1"/>
        <c:lblAlgn val="ctr"/>
        <c:lblOffset val="100"/>
        <c:noMultiLvlLbl val="0"/>
      </c:catAx>
      <c:valAx>
        <c:axId val="165978880"/>
        <c:scaling>
          <c:orientation val="minMax"/>
        </c:scaling>
        <c:delete val="0"/>
        <c:axPos val="l"/>
        <c:majorGridlines/>
        <c:numFmt formatCode="0_ "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65977088"/>
        <c:crosses val="autoZero"/>
        <c:crossBetween val="between"/>
      </c:valAx>
      <c:spPr>
        <a:solidFill>
          <a:schemeClr val="bg1"/>
        </a:solid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51"/>
    <customShpInfo spid="_x0000_s1049"/>
    <customShpInfo spid="_x0000_s1048"/>
    <customShpInfo spid="_x0000_s1047"/>
    <customShpInfo spid="_x0000_s1046"/>
    <customShpInfo spid="_x0000_s1045"/>
    <customShpInfo spid="_x0000_s1044"/>
    <customShpInfo spid="_x0000_s1043"/>
    <customShpInfo spid="_x0000_s1042"/>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BCDD93-154D-4780-9B60-6AACAAB79CD2}">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106</Pages>
  <Words>8698</Words>
  <Characters>49584</Characters>
  <Lines>413</Lines>
  <Paragraphs>116</Paragraphs>
  <TotalTime>2394</TotalTime>
  <ScaleCrop>false</ScaleCrop>
  <LinksUpToDate>false</LinksUpToDate>
  <CharactersWithSpaces>58166</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2019-04-27T08:11:00Z</dcterms:created>
  <dc:creator>YlmF</dc:creator>
  <cp:lastModifiedBy>张军</cp:lastModifiedBy>
  <cp:lastPrinted>2016-01-03T20:05:00Z</cp:lastPrinted>
  <dcterms:modified xsi:type="dcterms:W3CDTF">2020-10-13T03:35:56Z</dcterms:modified>
  <dc:title>2</dc:title>
  <cp:revision>744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